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349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3498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Quart Barry D</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4" w:lineRule="auto"/>
        <w:rPr>
          <w:sz w:val="20"/>
          <w:szCs w:val="20"/>
          <w:color w:val="auto"/>
        </w:rPr>
      </w:pPr>
      <w:r>
        <w:rPr>
          <w:rFonts w:ascii="Times New Roman" w:cs="Times New Roman" w:eastAsia="Times New Roman" w:hAnsi="Times New Roman"/>
          <w:sz w:val="16"/>
          <w:szCs w:val="16"/>
          <w:color w:val="0000FF"/>
        </w:rPr>
        <w:t>C/O KINIKSA PHARMACEUTICALS INT'L 105 PICCADILLY, SECOND FLOOR</w:t>
      </w:r>
    </w:p>
    <w:p>
      <w:pPr>
        <w:spacing w:after="0" w:line="15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LONDON</w:t>
      </w:r>
      <w:r>
        <w:rPr>
          <w:sz w:val="20"/>
          <w:szCs w:val="20"/>
          <w:color w:val="auto"/>
        </w:rPr>
        <w:tab/>
      </w:r>
      <w:r>
        <w:rPr>
          <w:rFonts w:ascii="Times New Roman" w:cs="Times New Roman" w:eastAsia="Times New Roman" w:hAnsi="Times New Roman"/>
          <w:sz w:val="17"/>
          <w:szCs w:val="17"/>
          <w:color w:val="0000FF"/>
        </w:rPr>
        <w:t>X0</w:t>
      </w:r>
      <w:r>
        <w:rPr>
          <w:sz w:val="20"/>
          <w:szCs w:val="20"/>
          <w:color w:val="auto"/>
        </w:rPr>
        <w:tab/>
      </w:r>
      <w:r>
        <w:rPr>
          <w:rFonts w:ascii="Times New Roman" w:cs="Times New Roman" w:eastAsia="Times New Roman" w:hAnsi="Times New Roman"/>
          <w:sz w:val="16"/>
          <w:szCs w:val="16"/>
          <w:color w:val="0000FF"/>
        </w:rPr>
        <w:t>W1J 7NJ</w:t>
      </w:r>
    </w:p>
    <w:p>
      <w:pPr>
        <w:spacing w:after="0" w:line="31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Kiniksa Pharmaceuticals International, plc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340" w:type="dxa"/>
            <w:vAlign w:val="bottom"/>
            <w:tcBorders>
              <w:bottom w:val="single" w:sz="8" w:color="0000EE"/>
            </w:tcBorders>
          </w:tcPr>
          <w:p>
            <w:pPr>
              <w:spacing w:after="0"/>
              <w:rPr>
                <w:sz w:val="3"/>
                <w:szCs w:val="3"/>
                <w:color w:val="auto"/>
              </w:rPr>
            </w:pPr>
          </w:p>
        </w:tc>
        <w:tc>
          <w:tcPr>
            <w:tcW w:w="3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38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KNSA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3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2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05/29/2026</w:t>
            </w:r>
          </w:p>
        </w:tc>
        <w:tc>
          <w:tcPr>
            <w:tcW w:w="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3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9" w:lineRule="exact"/>
        <w:rPr>
          <w:sz w:val="24"/>
          <w:szCs w:val="24"/>
          <w:color w:val="auto"/>
        </w:rPr>
      </w:pPr>
    </w:p>
    <w:p>
      <w:pPr>
        <w:sectPr>
          <w:pgSz w:w="11900" w:h="16838" w:orient="portrait"/>
          <w:cols w:equalWidth="0" w:num="2">
            <w:col w:w="3220" w:space="6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6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4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Ordinary Share</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05/29/2026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2,799</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15,345</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12,158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48.38</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2"/>
              <w:spacing w:after="0" w:line="141" w:lineRule="exact"/>
              <w:rPr>
                <w:sz w:val="20"/>
                <w:szCs w:val="20"/>
                <w:color w:val="auto"/>
              </w:rPr>
            </w:pPr>
            <w:r>
              <w:rPr>
                <w:rFonts w:ascii="Times New Roman" w:cs="Times New Roman" w:eastAsia="Times New Roman" w:hAnsi="Times New Roman"/>
                <w:sz w:val="13"/>
                <w:szCs w:val="13"/>
                <w:color w:val="0000FF"/>
              </w:rPr>
              <w:t>12,158</w:t>
            </w: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05/28/2036</w:t>
            </w:r>
          </w:p>
        </w:tc>
        <w:tc>
          <w:tcPr>
            <w:tcW w:w="66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5"/>
                <w:szCs w:val="5"/>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12,185</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2,026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82"/>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4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2,026</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2,799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vMerge w:val="continue"/>
          </w:tcPr>
          <w:p>
            <w:pPr>
              <w:spacing w:after="0"/>
              <w:rPr>
                <w:sz w:val="12"/>
                <w:szCs w:val="12"/>
                <w:color w:val="auto"/>
              </w:rPr>
            </w:pPr>
          </w:p>
        </w:tc>
        <w:tc>
          <w:tcPr>
            <w:tcW w:w="10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05/29/2026</w:t>
            </w:r>
          </w:p>
        </w:tc>
        <w:tc>
          <w:tcPr>
            <w:tcW w:w="1100" w:type="dxa"/>
            <w:vAlign w:val="bottom"/>
          </w:tcPr>
          <w:p>
            <w:pPr>
              <w:spacing w:after="0"/>
              <w:rPr>
                <w:sz w:val="12"/>
                <w:szCs w:val="12"/>
                <w:color w:val="auto"/>
              </w:rPr>
            </w:pPr>
          </w:p>
        </w:tc>
        <w:tc>
          <w:tcPr>
            <w:tcW w:w="74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12"/>
                <w:szCs w:val="12"/>
                <w:color w:val="auto"/>
              </w:rPr>
            </w:pPr>
          </w:p>
        </w:tc>
        <w:tc>
          <w:tcPr>
            <w:tcW w:w="42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2,799</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continue"/>
          </w:tcPr>
          <w:p>
            <w:pPr>
              <w:spacing w:after="0"/>
              <w:rPr>
                <w:sz w:val="12"/>
                <w:szCs w:val="12"/>
                <w:color w:val="auto"/>
              </w:rPr>
            </w:pPr>
          </w:p>
        </w:tc>
        <w:tc>
          <w:tcPr>
            <w:tcW w:w="74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80" w:type="dxa"/>
            <w:vAlign w:val="bottom"/>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jc w:val="center"/>
              <w:ind w:right="18"/>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Share Unit (RSU) represents a contingent right to receive one Class A Ordinary Share of the Issuer.</w:t>
      </w:r>
    </w:p>
    <w:p>
      <w:pPr>
        <w:spacing w:after="0" w:line="41" w:lineRule="exact"/>
        <w:rPr>
          <w:rFonts w:ascii="Times New Roman" w:cs="Times New Roman" w:eastAsia="Times New Roman" w:hAnsi="Times New Roman"/>
          <w:sz w:val="13"/>
          <w:szCs w:val="13"/>
          <w:color w:val="008000"/>
        </w:rPr>
      </w:pPr>
    </w:p>
    <w:p>
      <w:pPr>
        <w:ind w:left="40" w:right="2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twelve substantially equal monthly installments following the date of the grant with the final installment vesting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their entirety on the earlier of a) the anniversary of the date of the grant and b) the date of the Issuer's annual meeting of shareholders in the following year. The date of the grant is May 29, 2026.</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vested in a single installment on May 29, 2026; there was no expiration date for the RSUs.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Douglas Barry, Attorney-in-  </w:t>
      </w:r>
      <w:r>
        <w:rPr>
          <w:rFonts w:ascii="Times New Roman" w:cs="Times New Roman" w:eastAsia="Times New Roman" w:hAnsi="Times New Roman"/>
          <w:sz w:val="33"/>
          <w:szCs w:val="33"/>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5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57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84243" TargetMode="External"/><Relationship Id="rId14" Type="http://schemas.openxmlformats.org/officeDocument/2006/relationships/hyperlink" Target="http://www.sec.gov/cgi-bin/browse-edgar?action=getcompany&amp;CIK=00017304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2026-06-02T15:55:16Z</dcterms:created>
  <dcterms:modified xsi:type="dcterms:W3CDTF">2026-06-02T15:55:16Z</dcterms:modified>
</cp:coreProperties>
</file>