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5349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34987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Popovits Kimberly J</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line="374" w:lineRule="auto"/>
        <w:rPr>
          <w:sz w:val="20"/>
          <w:szCs w:val="20"/>
          <w:color w:val="auto"/>
        </w:rPr>
      </w:pPr>
      <w:r>
        <w:rPr>
          <w:rFonts w:ascii="Times New Roman" w:cs="Times New Roman" w:eastAsia="Times New Roman" w:hAnsi="Times New Roman"/>
          <w:sz w:val="16"/>
          <w:szCs w:val="16"/>
          <w:color w:val="0000FF"/>
        </w:rPr>
        <w:t>C/O KINIKSA PHARMACEUTICALS INT'L 105 PICCADILLY, SECOND FLOOR</w:t>
      </w:r>
    </w:p>
    <w:p>
      <w:pPr>
        <w:spacing w:after="0" w:line="154"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LONDON</w:t>
      </w:r>
      <w:r>
        <w:rPr>
          <w:sz w:val="20"/>
          <w:szCs w:val="20"/>
          <w:color w:val="auto"/>
        </w:rPr>
        <w:tab/>
      </w:r>
      <w:r>
        <w:rPr>
          <w:rFonts w:ascii="Times New Roman" w:cs="Times New Roman" w:eastAsia="Times New Roman" w:hAnsi="Times New Roman"/>
          <w:sz w:val="17"/>
          <w:szCs w:val="17"/>
          <w:color w:val="0000FF"/>
        </w:rPr>
        <w:t>X0</w:t>
      </w:r>
      <w:r>
        <w:rPr>
          <w:sz w:val="20"/>
          <w:szCs w:val="20"/>
          <w:color w:val="auto"/>
        </w:rPr>
        <w:tab/>
      </w:r>
      <w:r>
        <w:rPr>
          <w:rFonts w:ascii="Times New Roman" w:cs="Times New Roman" w:eastAsia="Times New Roman" w:hAnsi="Times New Roman"/>
          <w:sz w:val="16"/>
          <w:szCs w:val="16"/>
          <w:color w:val="0000FF"/>
        </w:rPr>
        <w:t>W1J 7NJ</w:t>
      </w:r>
    </w:p>
    <w:p>
      <w:pPr>
        <w:spacing w:after="0" w:line="31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Kiniksa Pharmaceuticals International, plc </w:t>
              </w:r>
            </w:hyperlink>
            <w:r>
              <w:rPr>
                <w:rFonts w:ascii="Times New Roman" w:cs="Times New Roman" w:eastAsia="Times New Roman" w:hAnsi="Times New Roman"/>
                <w:sz w:val="16"/>
                <w:szCs w:val="16"/>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2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3340" w:type="dxa"/>
            <w:vAlign w:val="bottom"/>
            <w:tcBorders>
              <w:bottom w:val="single" w:sz="8" w:color="0000EE"/>
            </w:tcBorders>
          </w:tcPr>
          <w:p>
            <w:pPr>
              <w:spacing w:after="0"/>
              <w:rPr>
                <w:sz w:val="3"/>
                <w:szCs w:val="3"/>
                <w:color w:val="auto"/>
              </w:rPr>
            </w:pPr>
          </w:p>
        </w:tc>
        <w:tc>
          <w:tcPr>
            <w:tcW w:w="300" w:type="dxa"/>
            <w:vAlign w:val="bottom"/>
          </w:tcPr>
          <w:p>
            <w:pPr>
              <w:spacing w:after="0"/>
              <w:rPr>
                <w:sz w:val="3"/>
                <w:szCs w:val="3"/>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8"/>
        </w:trPr>
        <w:tc>
          <w:tcPr>
            <w:tcW w:w="384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 xml:space="preserve">KNSA </w:t>
            </w:r>
            <w:r>
              <w:rPr>
                <w:rFonts w:ascii="Times New Roman" w:cs="Times New Roman" w:eastAsia="Times New Roman" w:hAnsi="Times New Roman"/>
                <w:sz w:val="20"/>
                <w:szCs w:val="20"/>
                <w:color w:val="000000"/>
              </w:rPr>
              <w:t>]</w:t>
            </w:r>
          </w:p>
        </w:tc>
        <w:tc>
          <w:tcPr>
            <w:tcW w:w="182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3840" w:type="dxa"/>
            <w:vAlign w:val="bottom"/>
            <w:gridSpan w:val="4"/>
            <w:vMerge w:val="continue"/>
          </w:tcPr>
          <w:p>
            <w:pPr>
              <w:spacing w:after="0"/>
              <w:rPr>
                <w:sz w:val="9"/>
                <w:szCs w:val="9"/>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3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820" w:type="dxa"/>
            <w:vAlign w:val="bottom"/>
          </w:tcPr>
          <w:p>
            <w:pPr>
              <w:ind w:left="580"/>
              <w:spacing w:after="0" w:line="107" w:lineRule="exact"/>
              <w:rPr>
                <w:sz w:val="20"/>
                <w:szCs w:val="20"/>
                <w:color w:val="auto"/>
              </w:rPr>
            </w:pPr>
            <w:r>
              <w:rPr>
                <w:rFonts w:ascii="Arial" w:cs="Arial" w:eastAsia="Arial" w:hAnsi="Arial"/>
                <w:sz w:val="12"/>
                <w:szCs w:val="12"/>
                <w:color w:val="auto"/>
              </w:rPr>
              <w:t>below)</w:t>
            </w:r>
          </w:p>
        </w:tc>
        <w:tc>
          <w:tcPr>
            <w:tcW w:w="1460" w:type="dxa"/>
            <w:vAlign w:val="bottom"/>
          </w:tcPr>
          <w:p>
            <w:pPr>
              <w:ind w:left="320"/>
              <w:spacing w:after="0" w:line="107"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7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18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5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05/29/2026</w:t>
            </w:r>
          </w:p>
        </w:tc>
        <w:tc>
          <w:tcPr>
            <w:tcW w:w="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33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3280" w:type="dxa"/>
            <w:vAlign w:val="bottom"/>
            <w:tcBorders>
              <w:bottom w:val="single" w:sz="8" w:color="2C2C2C"/>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99" w:lineRule="exact"/>
        <w:rPr>
          <w:sz w:val="24"/>
          <w:szCs w:val="24"/>
          <w:color w:val="auto"/>
        </w:rPr>
      </w:pPr>
    </w:p>
    <w:p>
      <w:pPr>
        <w:sectPr>
          <w:pgSz w:w="11900" w:h="16838" w:orient="portrait"/>
          <w:cols w:equalWidth="0" w:num="2">
            <w:col w:w="3220" w:space="6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86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86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4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Ordinary Share</w:t>
            </w:r>
          </w:p>
        </w:tc>
        <w:tc>
          <w:tcPr>
            <w:tcW w:w="184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05/29/2026</w:t>
            </w: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2,799</w:t>
            </w:r>
          </w:p>
        </w:tc>
        <w:tc>
          <w:tcPr>
            <w:tcW w:w="6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1320" w:type="dxa"/>
            <w:vAlign w:val="bottom"/>
            <w:gridSpan w:val="3"/>
          </w:tcPr>
          <w:p>
            <w:pPr>
              <w:jc w:val="right"/>
              <w:ind w:right="361"/>
              <w:spacing w:after="0"/>
              <w:rPr>
                <w:sz w:val="20"/>
                <w:szCs w:val="20"/>
                <w:color w:val="auto"/>
              </w:rPr>
            </w:pPr>
            <w:r>
              <w:rPr>
                <w:rFonts w:ascii="Times New Roman" w:cs="Times New Roman" w:eastAsia="Times New Roman" w:hAnsi="Times New Roman"/>
                <w:sz w:val="17"/>
                <w:szCs w:val="17"/>
                <w:color w:val="0000FF"/>
              </w:rPr>
              <w:t>15,345</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4"/>
                <w:szCs w:val="14"/>
                <w:color w:val="auto"/>
              </w:rPr>
            </w:pPr>
          </w:p>
        </w:tc>
        <w:tc>
          <w:tcPr>
            <w:tcW w:w="74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1"/>
                <w:szCs w:val="11"/>
                <w:color w:val="auto"/>
              </w:rPr>
            </w:pPr>
          </w:p>
        </w:tc>
        <w:tc>
          <w:tcPr>
            <w:tcW w:w="74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74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4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12,158</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48.38</w:t>
            </w:r>
          </w:p>
        </w:tc>
        <w:tc>
          <w:tcPr>
            <w:tcW w:w="10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05/29/2026</w:t>
            </w:r>
          </w:p>
        </w:tc>
        <w:tc>
          <w:tcPr>
            <w:tcW w:w="1100" w:type="dxa"/>
            <w:vAlign w:val="bottom"/>
          </w:tcPr>
          <w:p>
            <w:pPr>
              <w:spacing w:after="0"/>
              <w:rPr>
                <w:sz w:val="5"/>
                <w:szCs w:val="5"/>
                <w:color w:val="auto"/>
              </w:rPr>
            </w:pPr>
          </w:p>
        </w:tc>
        <w:tc>
          <w:tcPr>
            <w:tcW w:w="74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jc w:val="right"/>
              <w:ind w:right="42"/>
              <w:spacing w:after="0" w:line="141" w:lineRule="exact"/>
              <w:rPr>
                <w:sz w:val="20"/>
                <w:szCs w:val="20"/>
                <w:color w:val="auto"/>
              </w:rPr>
            </w:pPr>
            <w:r>
              <w:rPr>
                <w:rFonts w:ascii="Times New Roman" w:cs="Times New Roman" w:eastAsia="Times New Roman" w:hAnsi="Times New Roman"/>
                <w:sz w:val="13"/>
                <w:szCs w:val="13"/>
                <w:color w:val="0000FF"/>
              </w:rPr>
              <w:t>12,158</w:t>
            </w:r>
          </w:p>
        </w:tc>
        <w:tc>
          <w:tcPr>
            <w:tcW w:w="4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restart"/>
          </w:tcPr>
          <w:p>
            <w:pPr>
              <w:ind w:left="20"/>
              <w:spacing w:after="0" w:line="141" w:lineRule="exact"/>
              <w:rPr>
                <w:sz w:val="20"/>
                <w:szCs w:val="20"/>
                <w:color w:val="auto"/>
              </w:rPr>
            </w:pPr>
            <w:r>
              <w:rPr>
                <w:rFonts w:ascii="Times New Roman" w:cs="Times New Roman" w:eastAsia="Times New Roman" w:hAnsi="Times New Roman"/>
                <w:sz w:val="13"/>
                <w:szCs w:val="13"/>
                <w:color w:val="0000FF"/>
              </w:rPr>
              <w:t>05/28/2036</w:t>
            </w:r>
          </w:p>
        </w:tc>
        <w:tc>
          <w:tcPr>
            <w:tcW w:w="66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continue"/>
          </w:tcPr>
          <w:p>
            <w:pPr>
              <w:spacing w:after="0"/>
              <w:rPr>
                <w:sz w:val="5"/>
                <w:szCs w:val="5"/>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4"/>
              </w:rPr>
              <w:t>12,158</w:t>
            </w: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restart"/>
          </w:tcPr>
          <w:p>
            <w:pPr>
              <w:jc w:val="center"/>
              <w:ind w:right="18"/>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2,026</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Share</w:t>
            </w:r>
          </w:p>
        </w:tc>
        <w:tc>
          <w:tcPr>
            <w:tcW w:w="760" w:type="dxa"/>
            <w:vAlign w:val="bottom"/>
            <w:vMerge w:val="continue"/>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05/29/2026</w:t>
            </w:r>
          </w:p>
        </w:tc>
        <w:tc>
          <w:tcPr>
            <w:tcW w:w="1100" w:type="dxa"/>
            <w:vAlign w:val="bottom"/>
          </w:tcPr>
          <w:p>
            <w:pPr>
              <w:spacing w:after="0"/>
              <w:rPr>
                <w:sz w:val="12"/>
                <w:szCs w:val="12"/>
                <w:color w:val="auto"/>
              </w:rPr>
            </w:pPr>
          </w:p>
        </w:tc>
        <w:tc>
          <w:tcPr>
            <w:tcW w:w="74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jc w:val="right"/>
              <w:ind w:right="82"/>
              <w:spacing w:after="0" w:line="141" w:lineRule="exact"/>
              <w:rPr>
                <w:sz w:val="20"/>
                <w:szCs w:val="20"/>
                <w:color w:val="auto"/>
              </w:rPr>
            </w:pPr>
            <w:r>
              <w:rPr>
                <w:rFonts w:ascii="Times New Roman" w:cs="Times New Roman" w:eastAsia="Times New Roman" w:hAnsi="Times New Roman"/>
                <w:sz w:val="13"/>
                <w:szCs w:val="13"/>
                <w:color w:val="0000FF"/>
              </w:rPr>
              <w:t>2,026</w:t>
            </w:r>
          </w:p>
        </w:tc>
        <w:tc>
          <w:tcPr>
            <w:tcW w:w="4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continue"/>
          </w:tcPr>
          <w:p>
            <w:pPr>
              <w:spacing w:after="0"/>
              <w:rPr>
                <w:sz w:val="12"/>
                <w:szCs w:val="12"/>
                <w:color w:val="auto"/>
              </w:rPr>
            </w:pPr>
          </w:p>
        </w:tc>
        <w:tc>
          <w:tcPr>
            <w:tcW w:w="74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81"/>
              <w:spacing w:after="0" w:line="141" w:lineRule="exact"/>
              <w:rPr>
                <w:sz w:val="20"/>
                <w:szCs w:val="20"/>
                <w:color w:val="auto"/>
              </w:rPr>
            </w:pPr>
            <w:r>
              <w:rPr>
                <w:rFonts w:ascii="Times New Roman" w:cs="Times New Roman" w:eastAsia="Times New Roman" w:hAnsi="Times New Roman"/>
                <w:sz w:val="13"/>
                <w:szCs w:val="13"/>
                <w:color w:val="0000FF"/>
              </w:rPr>
              <w:t>2,026</w:t>
            </w:r>
          </w:p>
        </w:tc>
        <w:tc>
          <w:tcPr>
            <w:tcW w:w="28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2,799</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Share</w:t>
            </w:r>
          </w:p>
        </w:tc>
        <w:tc>
          <w:tcPr>
            <w:tcW w:w="760" w:type="dxa"/>
            <w:vAlign w:val="bottom"/>
            <w:vMerge w:val="continue"/>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05/29/2026</w:t>
            </w:r>
          </w:p>
        </w:tc>
        <w:tc>
          <w:tcPr>
            <w:tcW w:w="1100" w:type="dxa"/>
            <w:vAlign w:val="bottom"/>
          </w:tcPr>
          <w:p>
            <w:pPr>
              <w:spacing w:after="0"/>
              <w:rPr>
                <w:sz w:val="12"/>
                <w:szCs w:val="12"/>
                <w:color w:val="auto"/>
              </w:rPr>
            </w:pPr>
          </w:p>
        </w:tc>
        <w:tc>
          <w:tcPr>
            <w:tcW w:w="74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80" w:type="dxa"/>
            <w:vAlign w:val="bottom"/>
          </w:tcPr>
          <w:p>
            <w:pPr>
              <w:spacing w:after="0"/>
              <w:rPr>
                <w:sz w:val="12"/>
                <w:szCs w:val="12"/>
                <w:color w:val="auto"/>
              </w:rPr>
            </w:pPr>
          </w:p>
        </w:tc>
        <w:tc>
          <w:tcPr>
            <w:tcW w:w="420" w:type="dxa"/>
            <w:vAlign w:val="bottom"/>
          </w:tcPr>
          <w:p>
            <w:pPr>
              <w:ind w:left="40"/>
              <w:spacing w:after="0" w:line="141" w:lineRule="exact"/>
              <w:rPr>
                <w:sz w:val="20"/>
                <w:szCs w:val="20"/>
                <w:color w:val="auto"/>
              </w:rPr>
            </w:pPr>
            <w:r>
              <w:rPr>
                <w:rFonts w:ascii="Times New Roman" w:cs="Times New Roman" w:eastAsia="Times New Roman" w:hAnsi="Times New Roman"/>
                <w:sz w:val="13"/>
                <w:szCs w:val="13"/>
                <w:color w:val="0000FF"/>
              </w:rPr>
              <w:t>2,799</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continue"/>
          </w:tcPr>
          <w:p>
            <w:pPr>
              <w:spacing w:after="0"/>
              <w:rPr>
                <w:sz w:val="12"/>
                <w:szCs w:val="12"/>
                <w:color w:val="auto"/>
              </w:rPr>
            </w:pPr>
          </w:p>
        </w:tc>
        <w:tc>
          <w:tcPr>
            <w:tcW w:w="74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81"/>
              <w:spacing w:after="0" w:line="141" w:lineRule="exact"/>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-2524125</wp:posOffset>
            </wp:positionV>
            <wp:extent cx="29210" cy="25298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52984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Share Unit (RSU) represents a contingent right to receive one Class A Ordinary Share of the Issuer.</w:t>
      </w:r>
    </w:p>
    <w:p>
      <w:pPr>
        <w:spacing w:after="0" w:line="41" w:lineRule="exact"/>
        <w:rPr>
          <w:rFonts w:ascii="Times New Roman" w:cs="Times New Roman" w:eastAsia="Times New Roman" w:hAnsi="Times New Roman"/>
          <w:sz w:val="13"/>
          <w:szCs w:val="13"/>
          <w:color w:val="008000"/>
        </w:rPr>
      </w:pPr>
    </w:p>
    <w:p>
      <w:pPr>
        <w:ind w:left="40" w:right="200"/>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and becomes exercisable in twelve substantially equal monthly installments following the date of the grant with the final installment vesting on the earlier of a) the anniversary of the date of the grant and b) the date of the Issuer's annual meeting of shareholders in the following year. The date of the grant is May 29, 2026.</w:t>
      </w:r>
    </w:p>
    <w:p>
      <w:pPr>
        <w:spacing w:after="0" w:line="19" w:lineRule="exact"/>
        <w:rPr>
          <w:rFonts w:ascii="Times New Roman" w:cs="Times New Roman" w:eastAsia="Times New Roman" w:hAnsi="Times New Roman"/>
          <w:sz w:val="13"/>
          <w:szCs w:val="13"/>
          <w:color w:val="008000"/>
        </w:rPr>
      </w:pPr>
    </w:p>
    <w:p>
      <w:pPr>
        <w:ind w:left="40" w:right="400"/>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their entirety on the earlier of a) the anniversary of the date of the grant and b) the date of the Issuer's annual meeting of shareholders in the following year. The date of the grant is May 29, 2026.</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vested in a single installment on May 29, 2026; there was no expiration date for the RSUs.</w:t>
      </w:r>
    </w:p>
    <w:p>
      <w:pPr>
        <w:ind w:left="6600"/>
        <w:spacing w:after="0" w:line="183" w:lineRule="auto"/>
        <w:rPr>
          <w:sz w:val="20"/>
          <w:szCs w:val="20"/>
          <w:color w:val="auto"/>
        </w:rPr>
      </w:pPr>
      <w:r>
        <w:rPr>
          <w:rFonts w:ascii="Times New Roman" w:cs="Times New Roman" w:eastAsia="Times New Roman" w:hAnsi="Times New Roman"/>
          <w:sz w:val="17"/>
          <w:szCs w:val="17"/>
          <w:color w:val="0000FF"/>
        </w:rPr>
        <w:t xml:space="preserve">/s/ Douglas Barry, Attorney-in-  </w:t>
      </w:r>
      <w:r>
        <w:rPr>
          <w:rFonts w:ascii="Times New Roman" w:cs="Times New Roman" w:eastAsia="Times New Roman" w:hAnsi="Times New Roman"/>
          <w:sz w:val="33"/>
          <w:szCs w:val="33"/>
          <w:color w:val="0000FF"/>
          <w:vertAlign w:val="subscript"/>
        </w:rPr>
        <w:t>06/02/2026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157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572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-21590</wp:posOffset>
            </wp:positionV>
            <wp:extent cx="1816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161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-86360</wp:posOffset>
            </wp:positionV>
            <wp:extent cx="4800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213" w:lineRule="exact"/>
        <w:rPr>
          <w:sz w:val="20"/>
          <w:szCs w:val="20"/>
          <w:color w:val="auto"/>
        </w:rPr>
      </w:pPr>
    </w:p>
    <w:p>
      <w:pPr>
        <w:jc w:val="both"/>
        <w:ind w:right="20" w:firstLine="612"/>
        <w:spacing w:after="0" w:line="275"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Kiniksa Pharmaceuticals International, plc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the undersigned hereby constitutes and appoints the individuals named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attached hereto and as may be amended from time to time, or any of them signing singly, with full power of substitution and resubstitution, to act as the undersigned’s true and lawful attorney-in-fact to:</w:t>
      </w:r>
    </w:p>
    <w:p>
      <w:pPr>
        <w:spacing w:after="0" w:line="175" w:lineRule="exact"/>
        <w:rPr>
          <w:sz w:val="20"/>
          <w:szCs w:val="20"/>
          <w:color w:val="auto"/>
        </w:rPr>
      </w:pPr>
    </w:p>
    <w:p>
      <w:pPr>
        <w:jc w:val="both"/>
        <w:ind w:left="1220" w:hanging="563"/>
        <w:spacing w:after="0" w:line="244" w:lineRule="auto"/>
        <w:tabs>
          <w:tab w:leader="none" w:pos="1194"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prepare, execute in the undersigned’s name and on the undersigned’s behalf, and submit to the United States Securities and Exchange Commission (the “</w:t>
      </w:r>
      <w:r>
        <w:rPr>
          <w:rFonts w:ascii="Times New Roman" w:cs="Times New Roman" w:eastAsia="Times New Roman" w:hAnsi="Times New Roman"/>
          <w:sz w:val="19"/>
          <w:szCs w:val="19"/>
          <w:b w:val="1"/>
          <w:bCs w:val="1"/>
          <w:i w:val="1"/>
          <w:iCs w:val="1"/>
          <w:color w:val="auto"/>
        </w:rPr>
        <w:t>SEC</w:t>
      </w:r>
      <w:r>
        <w:rPr>
          <w:rFonts w:ascii="Times New Roman" w:cs="Times New Roman" w:eastAsia="Times New Roman" w:hAnsi="Times New Roman"/>
          <w:sz w:val="19"/>
          <w:szCs w:val="19"/>
          <w:color w:val="auto"/>
        </w:rPr>
        <w:t>”)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203" w:lineRule="exact"/>
        <w:rPr>
          <w:rFonts w:ascii="Times New Roman" w:cs="Times New Roman" w:eastAsia="Times New Roman" w:hAnsi="Times New Roman"/>
          <w:sz w:val="19"/>
          <w:szCs w:val="19"/>
          <w:color w:val="auto"/>
        </w:rPr>
      </w:pPr>
    </w:p>
    <w:p>
      <w:pPr>
        <w:ind w:left="1220" w:hanging="563"/>
        <w:spacing w:after="0" w:line="264" w:lineRule="auto"/>
        <w:tabs>
          <w:tab w:leader="none" w:pos="1194"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Forms 3, 4, and 5 in accordance with Section 16 of the Securities Exchange Act of 1934, as amended, and the rules thereunder;</w:t>
      </w:r>
    </w:p>
    <w:p>
      <w:pPr>
        <w:spacing w:after="0" w:line="157" w:lineRule="exact"/>
        <w:rPr>
          <w:rFonts w:ascii="Times New Roman" w:cs="Times New Roman" w:eastAsia="Times New Roman" w:hAnsi="Times New Roman"/>
          <w:sz w:val="19"/>
          <w:szCs w:val="19"/>
          <w:color w:val="auto"/>
        </w:rPr>
      </w:pPr>
    </w:p>
    <w:p>
      <w:pPr>
        <w:jc w:val="both"/>
        <w:ind w:left="1220" w:hanging="563"/>
        <w:spacing w:after="0" w:line="251" w:lineRule="auto"/>
        <w:tabs>
          <w:tab w:leader="none" w:pos="1194"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95" w:lineRule="exact"/>
        <w:rPr>
          <w:rFonts w:ascii="Times New Roman" w:cs="Times New Roman" w:eastAsia="Times New Roman" w:hAnsi="Times New Roman"/>
          <w:sz w:val="19"/>
          <w:szCs w:val="19"/>
          <w:color w:val="auto"/>
        </w:rPr>
      </w:pPr>
    </w:p>
    <w:p>
      <w:pPr>
        <w:jc w:val="both"/>
        <w:ind w:left="1220" w:hanging="563"/>
        <w:spacing w:after="0" w:line="247" w:lineRule="auto"/>
        <w:tabs>
          <w:tab w:leader="none" w:pos="1194"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8" w:lineRule="exact"/>
        <w:rPr>
          <w:sz w:val="20"/>
          <w:szCs w:val="20"/>
          <w:color w:val="auto"/>
        </w:rPr>
      </w:pPr>
    </w:p>
    <w:p>
      <w:pPr>
        <w:jc w:val="both"/>
        <w:ind w:firstLine="612"/>
        <w:spacing w:after="0" w:line="244" w:lineRule="auto"/>
        <w:rPr>
          <w:sz w:val="20"/>
          <w:szCs w:val="20"/>
          <w:color w:val="auto"/>
        </w:rPr>
      </w:pPr>
      <w:r>
        <w:rPr>
          <w:rFonts w:ascii="Times New Roman" w:cs="Times New Roman" w:eastAsia="Times New Roman" w:hAnsi="Times New Roman"/>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91" w:lineRule="exact"/>
        <w:rPr>
          <w:sz w:val="20"/>
          <w:szCs w:val="20"/>
          <w:color w:val="auto"/>
        </w:rPr>
      </w:pPr>
    </w:p>
    <w:p>
      <w:pPr>
        <w:jc w:val="both"/>
        <w:ind w:firstLine="612"/>
        <w:spacing w:after="0" w:line="251" w:lineRule="auto"/>
        <w:rPr>
          <w:sz w:val="20"/>
          <w:szCs w:val="20"/>
          <w:color w:val="auto"/>
        </w:rPr>
      </w:pPr>
      <w:r>
        <w:rPr>
          <w:rFonts w:ascii="Times New Roman" w:cs="Times New Roman" w:eastAsia="Times New Roman" w:hAnsi="Times New Roman"/>
          <w:sz w:val="19"/>
          <w:szCs w:val="19"/>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95" w:lineRule="exact"/>
        <w:rPr>
          <w:sz w:val="20"/>
          <w:szCs w:val="20"/>
          <w:color w:val="auto"/>
        </w:rPr>
      </w:pPr>
    </w:p>
    <w:p>
      <w:pPr>
        <w:jc w:val="both"/>
        <w:ind w:firstLine="612"/>
        <w:spacing w:after="0" w:line="251"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3, 4, and 5 with respect to the undersigned’s holdings of and transactions in securities issued by Kiniksa Pharmaceuticals International, plc, unless earlier revoked by the undersigned in a signed writing delivered to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680085</wp:posOffset>
            </wp:positionV>
            <wp:extent cx="6969760" cy="889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69760" cy="88900"/>
                    </a:xfrm>
                    <a:prstGeom prst="rect">
                      <a:avLst/>
                    </a:prstGeom>
                    <a:noFill/>
                  </pic:spPr>
                </pic:pic>
              </a:graphicData>
            </a:graphic>
          </wp:anchor>
        </w:drawing>
      </w:r>
    </w:p>
    <w:p>
      <w:pPr>
        <w:sectPr>
          <w:pgSz w:w="11900" w:h="16838" w:orient="portrait"/>
          <w:cols w:equalWidth="0" w:num="1">
            <w:col w:w="10680"/>
          </w:cols>
          <w:pgMar w:left="460" w:top="638" w:right="759" w:bottom="1440" w:gutter="0" w:footer="0" w:header="0"/>
        </w:sectPr>
      </w:pPr>
    </w:p>
    <w:bookmarkStart w:id="2" w:name="page3"/>
    <w:bookmarkEnd w:id="2"/>
    <w:p>
      <w:pPr>
        <w:ind w:left="3640" w:right="779" w:hanging="4003"/>
        <w:spacing w:after="0" w:line="329" w:lineRule="auto"/>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9/18/2025</w:t>
      </w:r>
      <w:r>
        <w:rPr>
          <w:sz w:val="20"/>
          <w:szCs w:val="20"/>
          <w:color w:val="auto"/>
        </w:rPr>
        <w:t xml:space="preserve"> </w:t>
      </w:r>
      <w:r>
        <w:rPr>
          <w:rFonts w:ascii="Times New Roman" w:cs="Times New Roman" w:eastAsia="Times New Roman" w:hAnsi="Times New Roman"/>
          <w:sz w:val="19"/>
          <w:szCs w:val="19"/>
          <w:color w:val="auto"/>
        </w:rPr>
        <w:t>. /s/ Kimberly J. Popovits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4474845</wp:posOffset>
            </wp:positionH>
            <wp:positionV relativeFrom="paragraph">
              <wp:posOffset>-62865</wp:posOffset>
            </wp:positionV>
            <wp:extent cx="266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26670" cy="8255"/>
                    </a:xfrm>
                    <a:prstGeom prst="rect">
                      <a:avLst/>
                    </a:prstGeom>
                    <a:noFill/>
                  </pic:spPr>
                </pic:pic>
              </a:graphicData>
            </a:graphic>
          </wp:anchor>
        </w:drawing>
        <w:drawing>
          <wp:anchor simplePos="0" relativeHeight="251657728" behindDoc="1" locked="0" layoutInCell="0" allowOverlap="1">
            <wp:simplePos x="0" y="0"/>
            <wp:positionH relativeFrom="column">
              <wp:posOffset>2101850</wp:posOffset>
            </wp:positionH>
            <wp:positionV relativeFrom="paragraph">
              <wp:posOffset>163195</wp:posOffset>
            </wp:positionV>
            <wp:extent cx="18313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9"/>
          <w:szCs w:val="19"/>
          <w:color w:val="auto"/>
        </w:rPr>
        <w:t>Print Name: Kimberly J. Popovits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701040</wp:posOffset>
            </wp:positionV>
            <wp:extent cx="6969760" cy="889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6969760" cy="88900"/>
                    </a:xfrm>
                    <a:prstGeom prst="rect">
                      <a:avLst/>
                    </a:prstGeom>
                    <a:noFill/>
                  </pic:spPr>
                </pic:pic>
              </a:graphicData>
            </a:graphic>
          </wp:anchor>
        </w:drawing>
        <w:drawing>
          <wp:anchor simplePos="0" relativeHeight="251657728" behindDoc="1" locked="0" layoutInCell="0" allowOverlap="1">
            <wp:simplePos x="0" y="0"/>
            <wp:positionH relativeFrom="column">
              <wp:posOffset>2709545</wp:posOffset>
            </wp:positionH>
            <wp:positionV relativeFrom="paragraph">
              <wp:posOffset>-11430</wp:posOffset>
            </wp:positionV>
            <wp:extent cx="12439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1243965" cy="8255"/>
                    </a:xfrm>
                    <a:prstGeom prst="rect">
                      <a:avLst/>
                    </a:prstGeom>
                    <a:noFill/>
                  </pic:spPr>
                </pic:pic>
              </a:graphicData>
            </a:graphic>
          </wp:anchor>
        </w:drawing>
      </w:r>
    </w:p>
    <w:p>
      <w:pPr>
        <w:sectPr>
          <w:pgSz w:w="11900" w:h="16838" w:orient="portrait"/>
          <w:cols w:equalWidth="0" w:num="1">
            <w:col w:w="9019"/>
          </w:cols>
          <w:pgMar w:left="1440" w:top="591" w:right="1440" w:bottom="1440" w:gutter="0" w:footer="0" w:header="0"/>
        </w:sectPr>
      </w:pPr>
    </w:p>
    <w:bookmarkStart w:id="3" w:name="page4"/>
    <w:bookmarkEnd w:id="3"/>
    <w:p>
      <w:pPr>
        <w:ind w:left="4880"/>
        <w:spacing w:after="0"/>
        <w:rPr>
          <w:sz w:val="20"/>
          <w:szCs w:val="20"/>
          <w:color w:val="auto"/>
        </w:rPr>
      </w:pPr>
      <w:r>
        <w:rPr>
          <w:rFonts w:ascii="Times New Roman" w:cs="Times New Roman" w:eastAsia="Times New Roman" w:hAnsi="Times New Roman"/>
          <w:sz w:val="19"/>
          <w:szCs w:val="19"/>
          <w:b w:val="1"/>
          <w:bCs w:val="1"/>
          <w:u w:val="single" w:color="auto"/>
          <w:color w:val="auto"/>
        </w:rPr>
        <w:t>Schedule A</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Individuals Appointed as Attorney-in-Fact with Full Power of Substitution and Resubstitution</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Doug Barry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Michael Megna</w:t>
      </w:r>
    </w:p>
    <w:p>
      <w:pPr>
        <w:spacing w:after="0" w:line="238" w:lineRule="auto"/>
        <w:rPr>
          <w:sz w:val="20"/>
          <w:szCs w:val="20"/>
          <w:color w:val="auto"/>
        </w:rPr>
      </w:pPr>
      <w:r>
        <w:rPr>
          <w:rFonts w:ascii="Times New Roman" w:cs="Times New Roman" w:eastAsia="Times New Roman" w:hAnsi="Times New Roman"/>
          <w:sz w:val="19"/>
          <w:szCs w:val="19"/>
          <w:color w:val="auto"/>
        </w:rPr>
        <w:t>Mark Ragosa</w:t>
      </w:r>
    </w:p>
    <w:p>
      <w:pPr>
        <w:spacing w:after="0" w:line="238" w:lineRule="auto"/>
        <w:rPr>
          <w:sz w:val="20"/>
          <w:szCs w:val="20"/>
          <w:color w:val="auto"/>
        </w:rPr>
      </w:pPr>
      <w:r>
        <w:rPr>
          <w:rFonts w:ascii="Times New Roman" w:cs="Times New Roman" w:eastAsia="Times New Roman" w:hAnsi="Times New Roman"/>
          <w:sz w:val="19"/>
          <w:szCs w:val="19"/>
          <w:color w:val="auto"/>
        </w:rPr>
        <w:t>Timothy Perdew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Aaron Young</w:t>
      </w:r>
    </w:p>
    <w:sectPr>
      <w:pgSz w:w="11900" w:h="16838" w:orient="portrait"/>
      <w:cols w:equalWidth="0" w:num="1">
        <w:col w:w="9999"/>
      </w:cols>
      <w:pgMar w:left="460" w:top="65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13" Type="http://schemas.openxmlformats.org/officeDocument/2006/relationships/hyperlink" Target="http://www.sec.gov/cgi-bin/browse-edgar?action=getcompany&amp;CIK=0001333482" TargetMode="External"/><Relationship Id="rId14" Type="http://schemas.openxmlformats.org/officeDocument/2006/relationships/hyperlink" Target="http://www.sec.gov/cgi-bin/browse-edgar?action=getcompany&amp;CIK=00017304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2026-06-02T15:55:00Z</dcterms:created>
  <dcterms:modified xsi:type="dcterms:W3CDTF">2026-06-02T15:55:00Z</dcterms:modified>
</cp:coreProperties>
</file>