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3" w:lineRule="exact"/>
        <w:rPr>
          <w:sz w:val="24"/>
          <w:szCs w:val="24"/>
          <w:color w:val="auto"/>
        </w:rPr>
      </w:pPr>
    </w:p>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rPr>
          <w:rFonts w:ascii="Arial" w:cs="Arial" w:eastAsia="Arial" w:hAnsi="Arial"/>
          <w:sz w:val="19"/>
          <w:szCs w:val="19"/>
          <w:u w:val="single" w:color="auto"/>
          <w:color w:val="0000EE"/>
        </w:rPr>
      </w:pPr>
      <w:hyperlink w:anchor="page218">
        <w:r>
          <w:rPr>
            <w:rFonts w:ascii="Arial" w:cs="Arial" w:eastAsia="Arial" w:hAnsi="Arial"/>
            <w:sz w:val="19"/>
            <w:szCs w:val="19"/>
            <w:u w:val="single" w:color="auto"/>
            <w:color w:val="0000EE"/>
          </w:rPr>
          <w:t>INDEX TO CONSOLIDATED FINANCIAL STATEMENTS</w:t>
        </w:r>
      </w:hyperlink>
    </w:p>
    <w:p>
      <w:pPr>
        <w:spacing w:after="0" w:line="198"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Filed Pursuant to Rule 424(b)(4)</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333-224488</w:t>
      </w:r>
    </w:p>
    <w:p>
      <w:pPr>
        <w:spacing w:after="0" w:line="17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PROSPECTUS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8,477,777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125095</wp:posOffset>
            </wp:positionV>
            <wp:extent cx="1539875" cy="1064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9875" cy="1064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Class A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125095</wp:posOffset>
            </wp:positionV>
            <wp:extent cx="13176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0"/>
        <w:spacing w:after="0"/>
        <w:rPr>
          <w:sz w:val="20"/>
          <w:szCs w:val="20"/>
          <w:color w:val="auto"/>
        </w:rPr>
      </w:pPr>
      <w:r>
        <w:rPr>
          <w:rFonts w:ascii="Arial" w:cs="Arial" w:eastAsia="Arial" w:hAnsi="Arial"/>
          <w:sz w:val="13"/>
          <w:szCs w:val="13"/>
          <w:color w:val="auto"/>
        </w:rPr>
        <w:t>This is an initial public offering of our Class A common shares. All 8,477,777 Class A common shares are being sold by us.</w:t>
      </w:r>
    </w:p>
    <w:p>
      <w:pPr>
        <w:spacing w:after="0" w:line="188" w:lineRule="exact"/>
        <w:rPr>
          <w:sz w:val="24"/>
          <w:szCs w:val="24"/>
          <w:color w:val="auto"/>
        </w:rPr>
      </w:pPr>
    </w:p>
    <w:p>
      <w:pPr>
        <w:ind w:right="160" w:firstLine="429"/>
        <w:spacing w:after="0"/>
        <w:rPr>
          <w:sz w:val="20"/>
          <w:szCs w:val="20"/>
          <w:color w:val="auto"/>
        </w:rPr>
      </w:pPr>
      <w:r>
        <w:rPr>
          <w:rFonts w:ascii="Arial" w:cs="Arial" w:eastAsia="Arial" w:hAnsi="Arial"/>
          <w:sz w:val="13"/>
          <w:szCs w:val="13"/>
          <w:color w:val="auto"/>
        </w:rPr>
        <w:t>Prior to this offering, there has been no public market for our Class A common shares. The initial public offering price per share is $18.00. Our Class A common shares have been approved for listing on The Nasdaq Global Select Market under the symbol "KNSA."</w:t>
      </w:r>
    </w:p>
    <w:p>
      <w:pPr>
        <w:spacing w:after="0" w:line="184" w:lineRule="exact"/>
        <w:rPr>
          <w:sz w:val="24"/>
          <w:szCs w:val="24"/>
          <w:color w:val="auto"/>
        </w:rPr>
      </w:pPr>
    </w:p>
    <w:p>
      <w:pPr>
        <w:ind w:right="60" w:firstLine="429"/>
        <w:spacing w:after="0" w:line="280"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as modified by the Jumpstart Our Business Startups Act of 2012, and as such have elected to comply with certain reduced public company reporting requirements for this prospectus and future filings. See "Prospectus Summary — Implications of Being an Emerging Growth Company."</w:t>
      </w:r>
    </w:p>
    <w:p>
      <w:pPr>
        <w:spacing w:after="0" w:line="147" w:lineRule="exact"/>
        <w:rPr>
          <w:sz w:val="24"/>
          <w:szCs w:val="24"/>
          <w:color w:val="auto"/>
        </w:rPr>
      </w:pPr>
    </w:p>
    <w:p>
      <w:pPr>
        <w:ind w:left="420"/>
        <w:spacing w:after="0"/>
        <w:rPr>
          <w:sz w:val="20"/>
          <w:szCs w:val="20"/>
          <w:color w:val="auto"/>
        </w:rPr>
      </w:pPr>
      <w:r>
        <w:rPr>
          <w:rFonts w:ascii="Arial" w:cs="Arial" w:eastAsia="Arial" w:hAnsi="Arial"/>
          <w:sz w:val="13"/>
          <w:szCs w:val="13"/>
          <w:i w:val="1"/>
          <w:iCs w:val="1"/>
          <w:color w:val="auto"/>
        </w:rPr>
        <w:t>Investing in our Class A common shares involves risk. See "Risk Factors" beginning on page 13 to read about factors you should consider before buying our Class A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125730</wp:posOffset>
            </wp:positionV>
            <wp:extent cx="1317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80" w:firstLine="428"/>
        <w:spacing w:after="0" w:line="265"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104140</wp:posOffset>
            </wp:positionV>
            <wp:extent cx="1317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1140" w:type="dxa"/>
        <w:tblCellMar>
          <w:top w:w="0" w:type="dxa"/>
          <w:left w:w="0" w:type="dxa"/>
          <w:bottom w:w="0" w:type="dxa"/>
          <w:right w:w="0" w:type="dxa"/>
        </w:tblCellMar>
      </w:tblPr>
      <w:tr>
        <w:trPr>
          <w:trHeight w:val="202"/>
        </w:trPr>
        <w:tc>
          <w:tcPr>
            <w:tcW w:w="9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Per Share</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Total</w:t>
            </w:r>
          </w:p>
        </w:tc>
      </w:tr>
      <w:tr>
        <w:trPr>
          <w:trHeight w:val="142"/>
        </w:trPr>
        <w:tc>
          <w:tcPr>
            <w:tcW w:w="5020" w:type="dxa"/>
            <w:vAlign w:val="bottom"/>
            <w:gridSpan w:val="2"/>
          </w:tcPr>
          <w:p>
            <w:pPr>
              <w:spacing w:after="0" w:line="142" w:lineRule="exact"/>
              <w:rPr>
                <w:sz w:val="20"/>
                <w:szCs w:val="20"/>
                <w:color w:val="auto"/>
              </w:rPr>
            </w:pPr>
            <w:r>
              <w:rPr>
                <w:rFonts w:ascii="Arial" w:cs="Arial" w:eastAsia="Arial" w:hAnsi="Arial"/>
                <w:sz w:val="13"/>
                <w:szCs w:val="13"/>
                <w:color w:val="auto"/>
              </w:rPr>
              <w:t>Initial public offering price</w:t>
            </w:r>
          </w:p>
        </w:tc>
        <w:tc>
          <w:tcPr>
            <w:tcW w:w="17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18.00</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w w:val="99"/>
              </w:rPr>
              <w:t>152,599,986</w:t>
            </w:r>
          </w:p>
        </w:tc>
      </w:tr>
      <w:tr>
        <w:trPr>
          <w:trHeight w:val="176"/>
        </w:trPr>
        <w:tc>
          <w:tcPr>
            <w:tcW w:w="5020" w:type="dxa"/>
            <w:vAlign w:val="bottom"/>
            <w:gridSpan w:val="2"/>
          </w:tcPr>
          <w:p>
            <w:pPr>
              <w:spacing w:after="0" w:line="176"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9"/>
                <w:szCs w:val="19"/>
                <w:color w:val="auto"/>
                <w:vertAlign w:val="superscript"/>
              </w:rPr>
              <w:t>(1)</w:t>
            </w:r>
          </w:p>
        </w:tc>
        <w:tc>
          <w:tcPr>
            <w:tcW w:w="1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1.26</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10,681,999</w:t>
            </w:r>
          </w:p>
        </w:tc>
      </w:tr>
      <w:tr>
        <w:trPr>
          <w:trHeight w:val="154"/>
        </w:trPr>
        <w:tc>
          <w:tcPr>
            <w:tcW w:w="5020" w:type="dxa"/>
            <w:vAlign w:val="bottom"/>
            <w:gridSpan w:val="2"/>
          </w:tcPr>
          <w:p>
            <w:pPr>
              <w:spacing w:after="0"/>
              <w:rPr>
                <w:sz w:val="20"/>
                <w:szCs w:val="20"/>
                <w:color w:val="auto"/>
              </w:rPr>
            </w:pPr>
            <w:r>
              <w:rPr>
                <w:rFonts w:ascii="Arial" w:cs="Arial" w:eastAsia="Arial" w:hAnsi="Arial"/>
                <w:sz w:val="13"/>
                <w:szCs w:val="13"/>
                <w:color w:val="auto"/>
              </w:rPr>
              <w:t>Proceeds, before expenses, to Kiniksa Pharmaceuticals, Ltd.</w:t>
            </w:r>
          </w:p>
        </w:tc>
        <w:tc>
          <w:tcPr>
            <w:tcW w:w="1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16.74</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141,917,987</w:t>
            </w:r>
          </w:p>
        </w:tc>
      </w:tr>
      <w:tr>
        <w:trPr>
          <w:trHeight w:val="83"/>
        </w:trPr>
        <w:tc>
          <w:tcPr>
            <w:tcW w:w="94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133" w:lineRule="exact"/>
        <w:rPr>
          <w:sz w:val="24"/>
          <w:szCs w:val="24"/>
          <w:color w:val="auto"/>
        </w:rPr>
      </w:pPr>
    </w:p>
    <w:p>
      <w:pPr>
        <w:ind w:left="1620" w:hanging="480"/>
        <w:spacing w:after="0"/>
        <w:tabs>
          <w:tab w:leader="none" w:pos="1620" w:val="left"/>
        </w:tabs>
        <w:numPr>
          <w:ilvl w:val="0"/>
          <w:numId w:val="1"/>
        </w:numPr>
        <w:rPr>
          <w:rFonts w:ascii="Arial" w:cs="Arial" w:eastAsia="Arial" w:hAnsi="Arial"/>
          <w:sz w:val="19"/>
          <w:szCs w:val="19"/>
          <w:color w:val="auto"/>
          <w:vertAlign w:val="superscript"/>
        </w:rPr>
      </w:pPr>
      <w:r>
        <w:rPr>
          <w:rFonts w:ascii="Arial" w:cs="Arial" w:eastAsia="Arial" w:hAnsi="Arial"/>
          <w:sz w:val="13"/>
          <w:szCs w:val="13"/>
          <w:color w:val="auto"/>
        </w:rPr>
        <w:t>See "Underwriting" beginning on page 207 for additional information regarding underwriting compensation.</w:t>
      </w:r>
    </w:p>
    <w:p>
      <w:pPr>
        <w:spacing w:after="0" w:line="183" w:lineRule="exact"/>
        <w:rPr>
          <w:sz w:val="24"/>
          <w:szCs w:val="24"/>
          <w:color w:val="auto"/>
        </w:rPr>
      </w:pPr>
    </w:p>
    <w:p>
      <w:pPr>
        <w:ind w:right="80" w:firstLine="429"/>
        <w:spacing w:after="0" w:line="233" w:lineRule="auto"/>
        <w:rPr>
          <w:sz w:val="20"/>
          <w:szCs w:val="20"/>
          <w:color w:val="auto"/>
        </w:rPr>
      </w:pPr>
      <w:r>
        <w:rPr>
          <w:rFonts w:ascii="Arial" w:cs="Arial" w:eastAsia="Arial" w:hAnsi="Arial"/>
          <w:sz w:val="13"/>
          <w:szCs w:val="13"/>
          <w:color w:val="auto"/>
        </w:rPr>
        <w:t>Following this offering, we will have four classes of common shares outstanding: Class A common shares, Class A1 common shares, Class B common shares and Class B1 common shares. All classes of our common shares will be economically equivalent to each other. The rights of the holders of our Class A common shares, Class A1 common shares, Class B common shares and Class B1 common shares will be identical, except with respect to voting, conversion and transferability. Each Class A common share will be entitled to one vote and will not be convertible into any other class of our share capital. Each Class B common share will be entitled to ten votes and will be convertible at any time at the election of the holder into one Class A common share or one Class B1 common share and will automatically convert into Class A common shares upon transfer to an unaffiliated party. The rights of the holders of our Class A1 common shares and Class B1 common shares will be identical, except with respect to conversion. Each Class A1 common share and Class B1 common share will have no associated voting rights. Each Class A1 common share will be convertible into one Class A common share, subject to certain limitations, as described in this prospectus. Each Class B1 common share will be convertible into one Class A common share or one Class B common share, subject to certain limitations, as described in this prospectus. Immediately following this offering, the holders of Class A common shares will account for 24.1% of our aggregate voting power and the holders of Class B common shares will account for the remaining 75.9% of our aggregate voting power. See "Description of Share Capital — Common Shares" for more information on the rights of the holders of our Class A common shares, Class A1 common shares, Class B common shares and Class B1 common shares.</w:t>
      </w:r>
    </w:p>
    <w:p>
      <w:pPr>
        <w:spacing w:after="0" w:line="189" w:lineRule="exact"/>
        <w:rPr>
          <w:sz w:val="24"/>
          <w:szCs w:val="24"/>
          <w:color w:val="auto"/>
        </w:rPr>
      </w:pPr>
    </w:p>
    <w:p>
      <w:pPr>
        <w:ind w:left="420"/>
        <w:spacing w:after="0"/>
        <w:rPr>
          <w:sz w:val="20"/>
          <w:szCs w:val="20"/>
          <w:color w:val="auto"/>
        </w:rPr>
      </w:pPr>
      <w:r>
        <w:rPr>
          <w:rFonts w:ascii="Arial" w:cs="Arial" w:eastAsia="Arial" w:hAnsi="Arial"/>
          <w:sz w:val="13"/>
          <w:szCs w:val="13"/>
          <w:color w:val="auto"/>
        </w:rPr>
        <w:t>We have granted the underwriters the option to purchase up to an additional 1,271,666 of our Class A common shares for a period of 30 days after the date of this prospectus.</w:t>
      </w:r>
    </w:p>
    <w:p>
      <w:pPr>
        <w:spacing w:after="0" w:line="188" w:lineRule="exact"/>
        <w:rPr>
          <w:sz w:val="24"/>
          <w:szCs w:val="24"/>
          <w:color w:val="auto"/>
        </w:rPr>
      </w:pPr>
    </w:p>
    <w:p>
      <w:pPr>
        <w:ind w:right="200" w:firstLine="429"/>
        <w:spacing w:after="0" w:line="237" w:lineRule="auto"/>
        <w:rPr>
          <w:sz w:val="20"/>
          <w:szCs w:val="20"/>
          <w:color w:val="auto"/>
        </w:rPr>
      </w:pPr>
      <w:r>
        <w:rPr>
          <w:rFonts w:ascii="Arial" w:cs="Arial" w:eastAsia="Arial" w:hAnsi="Arial"/>
          <w:sz w:val="13"/>
          <w:szCs w:val="13"/>
          <w:color w:val="auto"/>
        </w:rPr>
        <w:t>Certain of our existing shareholders, including shareholders affiliated with certain of our directors, have agreed to purchase an aggregate of approximately $55.0 million of Class A common shares in this offering at the initial public offering price per share. The underwriters will receive the same underwriting discount on any shares purchased by these existing shareholders as they will on any other shares sold to the public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114300</wp:posOffset>
            </wp:positionV>
            <wp:extent cx="13176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420" w:type="dxa"/>
        <w:tblCellMar>
          <w:top w:w="0" w:type="dxa"/>
          <w:left w:w="0" w:type="dxa"/>
          <w:bottom w:w="0" w:type="dxa"/>
          <w:right w:w="0" w:type="dxa"/>
        </w:tblCellMar>
      </w:tblPr>
      <w:tr>
        <w:trPr>
          <w:trHeight w:val="154"/>
        </w:trPr>
        <w:tc>
          <w:tcPr>
            <w:tcW w:w="7440" w:type="dxa"/>
            <w:vAlign w:val="bottom"/>
            <w:gridSpan w:val="3"/>
          </w:tcPr>
          <w:p>
            <w:pPr>
              <w:spacing w:after="0"/>
              <w:rPr>
                <w:sz w:val="20"/>
                <w:szCs w:val="20"/>
                <w:color w:val="auto"/>
              </w:rPr>
            </w:pPr>
            <w:r>
              <w:rPr>
                <w:rFonts w:ascii="Arial" w:cs="Arial" w:eastAsia="Arial" w:hAnsi="Arial"/>
                <w:sz w:val="13"/>
                <w:szCs w:val="13"/>
                <w:color w:val="auto"/>
              </w:rPr>
              <w:t>The underwriters expect to deliver the Class A common shares to investors against payment on or about May 29, 2018.</w:t>
            </w:r>
          </w:p>
        </w:tc>
        <w:tc>
          <w:tcPr>
            <w:tcW w:w="2420" w:type="dxa"/>
            <w:vAlign w:val="bottom"/>
          </w:tcPr>
          <w:p>
            <w:pPr>
              <w:spacing w:after="0"/>
              <w:rPr>
                <w:sz w:val="13"/>
                <w:szCs w:val="13"/>
                <w:color w:val="auto"/>
              </w:rPr>
            </w:pPr>
          </w:p>
        </w:tc>
      </w:tr>
      <w:tr>
        <w:trPr>
          <w:trHeight w:val="436"/>
        </w:trPr>
        <w:tc>
          <w:tcPr>
            <w:tcW w:w="7440" w:type="dxa"/>
            <w:vAlign w:val="bottom"/>
            <w:gridSpan w:val="3"/>
          </w:tcPr>
          <w:p>
            <w:pPr>
              <w:ind w:left="720"/>
              <w:spacing w:after="0"/>
              <w:rPr>
                <w:sz w:val="20"/>
                <w:szCs w:val="20"/>
                <w:color w:val="auto"/>
              </w:rPr>
            </w:pPr>
            <w:r>
              <w:rPr>
                <w:rFonts w:ascii="Arial" w:cs="Arial" w:eastAsia="Arial" w:hAnsi="Arial"/>
                <w:sz w:val="22"/>
                <w:szCs w:val="22"/>
                <w:b w:val="1"/>
                <w:bCs w:val="1"/>
                <w:color w:val="auto"/>
              </w:rPr>
              <w:t>Goldman Sachs &amp; Co. LLC</w:t>
            </w:r>
          </w:p>
        </w:tc>
        <w:tc>
          <w:tcPr>
            <w:tcW w:w="242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440"/>
        </w:trPr>
        <w:tc>
          <w:tcPr>
            <w:tcW w:w="7440" w:type="dxa"/>
            <w:vAlign w:val="bottom"/>
            <w:gridSpan w:val="3"/>
          </w:tcPr>
          <w:p>
            <w:pPr>
              <w:ind w:left="720"/>
              <w:spacing w:after="0"/>
              <w:rPr>
                <w:sz w:val="20"/>
                <w:szCs w:val="20"/>
                <w:color w:val="auto"/>
              </w:rPr>
            </w:pPr>
            <w:r>
              <w:rPr>
                <w:rFonts w:ascii="Arial" w:cs="Arial" w:eastAsia="Arial" w:hAnsi="Arial"/>
                <w:sz w:val="19"/>
                <w:szCs w:val="19"/>
                <w:b w:val="1"/>
                <w:bCs w:val="1"/>
                <w:color w:val="auto"/>
              </w:rPr>
              <w:t>JMP Securities</w:t>
            </w:r>
          </w:p>
        </w:tc>
        <w:tc>
          <w:tcPr>
            <w:tcW w:w="2420" w:type="dxa"/>
            <w:vAlign w:val="bottom"/>
          </w:tcPr>
          <w:p>
            <w:pPr>
              <w:jc w:val="right"/>
              <w:spacing w:after="0"/>
              <w:rPr>
                <w:sz w:val="20"/>
                <w:szCs w:val="20"/>
                <w:color w:val="auto"/>
              </w:rPr>
            </w:pPr>
            <w:r>
              <w:rPr>
                <w:rFonts w:ascii="Arial" w:cs="Arial" w:eastAsia="Arial" w:hAnsi="Arial"/>
                <w:sz w:val="19"/>
                <w:szCs w:val="19"/>
                <w:b w:val="1"/>
                <w:bCs w:val="1"/>
                <w:color w:val="auto"/>
              </w:rPr>
              <w:t>Wedbush PacGrow</w:t>
            </w:r>
          </w:p>
        </w:tc>
      </w:tr>
      <w:tr>
        <w:trPr>
          <w:trHeight w:val="183"/>
        </w:trPr>
        <w:tc>
          <w:tcPr>
            <w:tcW w:w="426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420" w:type="dxa"/>
            <w:vAlign w:val="bottom"/>
          </w:tcPr>
          <w:p>
            <w:pPr>
              <w:spacing w:after="0"/>
              <w:rPr>
                <w:sz w:val="15"/>
                <w:szCs w:val="15"/>
                <w:color w:val="auto"/>
              </w:rPr>
            </w:pPr>
          </w:p>
        </w:tc>
      </w:tr>
    </w:tbl>
    <w:p>
      <w:pPr>
        <w:spacing w:after="0" w:line="200" w:lineRule="exact"/>
        <w:rPr>
          <w:sz w:val="24"/>
          <w:szCs w:val="24"/>
          <w:color w:val="auto"/>
        </w:rPr>
      </w:pPr>
    </w:p>
    <w:p>
      <w:pPr>
        <w:sectPr>
          <w:pgSz w:w="11900" w:h="16838" w:orient="portrait"/>
          <w:cols w:equalWidth="0" w:num="1">
            <w:col w:w="11440"/>
          </w:cols>
          <w:pgMar w:left="240" w:top="627" w:right="219" w:bottom="817" w:gutter="0" w:footer="0" w:header="0"/>
        </w:sectPr>
      </w:pPr>
    </w:p>
    <w:p>
      <w:pPr>
        <w:spacing w:after="0" w:line="200" w:lineRule="exact"/>
        <w:rPr>
          <w:sz w:val="24"/>
          <w:szCs w:val="24"/>
          <w:color w:val="auto"/>
        </w:rPr>
      </w:pP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Prospectus dated May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26630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627" w:right="219" w:bottom="81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640" w:type="dxa"/>
            <w:vAlign w:val="bottom"/>
            <w:gridSpan w:val="29"/>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8"/>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6"/>
          </w:tcPr>
          <w:p>
            <w:pPr>
              <w:ind w:left="20"/>
              <w:spacing w:after="0"/>
              <w:rPr>
                <w:sz w:val="20"/>
                <w:szCs w:val="20"/>
                <w:color w:val="auto"/>
              </w:rPr>
            </w:pPr>
            <w:r>
              <w:rPr>
                <w:rFonts w:ascii="Arial" w:cs="Arial" w:eastAsia="Arial" w:hAnsi="Arial"/>
                <w:sz w:val="16"/>
                <w:szCs w:val="16"/>
                <w:b w:val="1"/>
                <w:bCs w:val="1"/>
                <w:color w:val="auto"/>
              </w:rPr>
              <w:t>TABLE OF CONTENTS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8"/>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Page</w:t>
            </w:r>
          </w:p>
        </w:tc>
      </w:tr>
      <w:tr>
        <w:trPr>
          <w:trHeight w:val="157"/>
        </w:trPr>
        <w:tc>
          <w:tcPr>
            <w:tcW w:w="1140" w:type="dxa"/>
            <w:vAlign w:val="bottom"/>
          </w:tcPr>
          <w:p>
            <w:pPr>
              <w:spacing w:after="0"/>
              <w:rPr>
                <w:sz w:val="13"/>
                <w:szCs w:val="13"/>
                <w:color w:val="auto"/>
              </w:rPr>
            </w:pPr>
          </w:p>
        </w:tc>
        <w:tc>
          <w:tcPr>
            <w:tcW w:w="8500" w:type="dxa"/>
            <w:vAlign w:val="bottom"/>
            <w:gridSpan w:val="28"/>
          </w:tcPr>
          <w:p>
            <w:pPr>
              <w:spacing w:after="0" w:line="157" w:lineRule="exact"/>
              <w:rPr>
                <w:rFonts w:ascii="Arial" w:cs="Arial" w:eastAsia="Arial" w:hAnsi="Arial"/>
                <w:sz w:val="16"/>
                <w:szCs w:val="16"/>
                <w:color w:val="0000EE"/>
              </w:rPr>
            </w:pPr>
            <w:hyperlink w:anchor="page4">
              <w:r>
                <w:rPr>
                  <w:rFonts w:ascii="Arial" w:cs="Arial" w:eastAsia="Arial" w:hAnsi="Arial"/>
                  <w:sz w:val="16"/>
                  <w:szCs w:val="16"/>
                  <w:color w:val="0000EE"/>
                </w:rPr>
                <w:t>Prospectus Summary</w:t>
              </w:r>
            </w:hyperlink>
          </w:p>
        </w:tc>
        <w:tc>
          <w:tcPr>
            <w:tcW w:w="500" w:type="dxa"/>
            <w:vAlign w:val="bottom"/>
            <w:gridSpan w:val="4"/>
          </w:tcPr>
          <w:p>
            <w:pPr>
              <w:jc w:val="right"/>
              <w:spacing w:after="0" w:line="157" w:lineRule="exact"/>
              <w:rPr>
                <w:rFonts w:ascii="Arial" w:cs="Arial" w:eastAsia="Arial" w:hAnsi="Arial"/>
                <w:sz w:val="16"/>
                <w:szCs w:val="16"/>
                <w:color w:val="0000EE"/>
              </w:rPr>
            </w:pPr>
            <w:hyperlink w:anchor="page4">
              <w:r>
                <w:rPr>
                  <w:rFonts w:ascii="Arial" w:cs="Arial" w:eastAsia="Arial" w:hAnsi="Arial"/>
                  <w:sz w:val="16"/>
                  <w:szCs w:val="16"/>
                  <w:color w:val="0000EE"/>
                </w:rPr>
                <w:t>1</w:t>
              </w:r>
            </w:hyperlink>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80" w:type="dxa"/>
            <w:vAlign w:val="bottom"/>
            <w:tcBorders>
              <w:bottom w:val="single" w:sz="8" w:color="0000EE"/>
            </w:tcBorders>
            <w:gridSpan w:val="5"/>
          </w:tcPr>
          <w:p>
            <w:pPr>
              <w:spacing w:after="0" w:line="161" w:lineRule="exact"/>
              <w:rPr>
                <w:rFonts w:ascii="Arial" w:cs="Arial" w:eastAsia="Arial" w:hAnsi="Arial"/>
                <w:sz w:val="16"/>
                <w:szCs w:val="16"/>
                <w:color w:val="0000EE"/>
                <w:w w:val="94"/>
              </w:rPr>
            </w:pPr>
            <w:hyperlink w:anchor="page16">
              <w:r>
                <w:rPr>
                  <w:rFonts w:ascii="Arial" w:cs="Arial" w:eastAsia="Arial" w:hAnsi="Arial"/>
                  <w:sz w:val="16"/>
                  <w:szCs w:val="16"/>
                  <w:color w:val="0000EE"/>
                  <w:w w:val="94"/>
                </w:rPr>
                <w:t>Risk Factors</w:t>
              </w:r>
            </w:hyperlink>
          </w:p>
        </w:tc>
        <w:tc>
          <w:tcPr>
            <w:tcW w:w="620" w:type="dxa"/>
            <w:vAlign w:val="bottom"/>
            <w:gridSpan w:val="6"/>
          </w:tcPr>
          <w:p>
            <w:pPr>
              <w:spacing w:after="0"/>
              <w:rPr>
                <w:sz w:val="13"/>
                <w:szCs w:val="13"/>
                <w:color w:val="auto"/>
              </w:rPr>
            </w:pPr>
          </w:p>
        </w:tc>
        <w:tc>
          <w:tcPr>
            <w:tcW w:w="7000" w:type="dxa"/>
            <w:vAlign w:val="bottom"/>
            <w:gridSpan w:val="17"/>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16">
              <w:r>
                <w:rPr>
                  <w:rFonts w:ascii="Arial" w:cs="Arial" w:eastAsia="Arial" w:hAnsi="Arial"/>
                  <w:sz w:val="16"/>
                  <w:szCs w:val="16"/>
                  <w:color w:val="0000EE"/>
                  <w:w w:val="89"/>
                </w:rPr>
                <w:t>13</w:t>
              </w:r>
            </w:hyperlink>
          </w:p>
        </w:tc>
      </w:tr>
      <w:tr>
        <w:trPr>
          <w:trHeight w:val="161"/>
        </w:trPr>
        <w:tc>
          <w:tcPr>
            <w:tcW w:w="1140" w:type="dxa"/>
            <w:vAlign w:val="bottom"/>
          </w:tcPr>
          <w:p>
            <w:pPr>
              <w:spacing w:after="0"/>
              <w:rPr>
                <w:sz w:val="13"/>
                <w:szCs w:val="13"/>
                <w:color w:val="auto"/>
              </w:rPr>
            </w:pPr>
          </w:p>
        </w:tc>
        <w:tc>
          <w:tcPr>
            <w:tcW w:w="3720" w:type="dxa"/>
            <w:vAlign w:val="bottom"/>
            <w:tcBorders>
              <w:bottom w:val="single" w:sz="8" w:color="0000EE"/>
            </w:tcBorders>
            <w:gridSpan w:val="22"/>
          </w:tcPr>
          <w:p>
            <w:pPr>
              <w:spacing w:after="0" w:line="161" w:lineRule="exact"/>
              <w:rPr>
                <w:rFonts w:ascii="Arial" w:cs="Arial" w:eastAsia="Arial" w:hAnsi="Arial"/>
                <w:sz w:val="16"/>
                <w:szCs w:val="16"/>
                <w:color w:val="0000EE"/>
                <w:w w:val="97"/>
              </w:rPr>
            </w:pPr>
            <w:hyperlink w:anchor="page84">
              <w:r>
                <w:rPr>
                  <w:rFonts w:ascii="Arial" w:cs="Arial" w:eastAsia="Arial" w:hAnsi="Arial"/>
                  <w:sz w:val="16"/>
                  <w:szCs w:val="16"/>
                  <w:color w:val="0000EE"/>
                  <w:w w:val="97"/>
                </w:rPr>
                <w:t>Special Note Regarding Forward-Looking Statements</w:t>
              </w:r>
            </w:hyperlink>
          </w:p>
        </w:tc>
        <w:tc>
          <w:tcPr>
            <w:tcW w:w="4780" w:type="dxa"/>
            <w:vAlign w:val="bottom"/>
            <w:gridSpan w:val="6"/>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84">
              <w:r>
                <w:rPr>
                  <w:rFonts w:ascii="Arial" w:cs="Arial" w:eastAsia="Arial" w:hAnsi="Arial"/>
                  <w:sz w:val="16"/>
                  <w:szCs w:val="16"/>
                  <w:color w:val="0000EE"/>
                  <w:w w:val="89"/>
                </w:rPr>
                <w:t>81</w:t>
              </w:r>
            </w:hyperlink>
          </w:p>
        </w:tc>
      </w:tr>
      <w:tr>
        <w:trPr>
          <w:trHeight w:val="161"/>
        </w:trPr>
        <w:tc>
          <w:tcPr>
            <w:tcW w:w="1140" w:type="dxa"/>
            <w:vAlign w:val="bottom"/>
          </w:tcPr>
          <w:p>
            <w:pPr>
              <w:spacing w:after="0"/>
              <w:rPr>
                <w:sz w:val="13"/>
                <w:szCs w:val="13"/>
                <w:color w:val="auto"/>
              </w:rPr>
            </w:pPr>
          </w:p>
        </w:tc>
        <w:tc>
          <w:tcPr>
            <w:tcW w:w="1680" w:type="dxa"/>
            <w:vAlign w:val="bottom"/>
            <w:tcBorders>
              <w:bottom w:val="single" w:sz="8" w:color="0000EE"/>
            </w:tcBorders>
            <w:gridSpan w:val="13"/>
          </w:tcPr>
          <w:p>
            <w:pPr>
              <w:spacing w:after="0" w:line="161" w:lineRule="exact"/>
              <w:rPr>
                <w:rFonts w:ascii="Arial" w:cs="Arial" w:eastAsia="Arial" w:hAnsi="Arial"/>
                <w:sz w:val="16"/>
                <w:szCs w:val="16"/>
                <w:color w:val="0000EE"/>
                <w:w w:val="97"/>
              </w:rPr>
            </w:pPr>
            <w:hyperlink w:anchor="page86">
              <w:r>
                <w:rPr>
                  <w:rFonts w:ascii="Arial" w:cs="Arial" w:eastAsia="Arial" w:hAnsi="Arial"/>
                  <w:sz w:val="16"/>
                  <w:szCs w:val="16"/>
                  <w:color w:val="0000EE"/>
                  <w:w w:val="97"/>
                </w:rPr>
                <w:t>Industry and Other Data</w:t>
              </w:r>
            </w:hyperlink>
          </w:p>
        </w:tc>
        <w:tc>
          <w:tcPr>
            <w:tcW w:w="6820" w:type="dxa"/>
            <w:vAlign w:val="bottom"/>
            <w:gridSpan w:val="15"/>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86">
              <w:r>
                <w:rPr>
                  <w:rFonts w:ascii="Arial" w:cs="Arial" w:eastAsia="Arial" w:hAnsi="Arial"/>
                  <w:sz w:val="16"/>
                  <w:szCs w:val="16"/>
                  <w:color w:val="0000EE"/>
                  <w:w w:val="89"/>
                </w:rPr>
                <w:t>83</w:t>
              </w:r>
            </w:hyperlink>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87">
              <w:r>
                <w:rPr>
                  <w:rFonts w:ascii="Arial" w:cs="Arial" w:eastAsia="Arial" w:hAnsi="Arial"/>
                  <w:sz w:val="16"/>
                  <w:szCs w:val="16"/>
                  <w:color w:val="0000EE"/>
                </w:rPr>
                <w:t>Use of Proceeds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r>
      <w:tr>
        <w:trPr>
          <w:trHeight w:val="161"/>
        </w:trPr>
        <w:tc>
          <w:tcPr>
            <w:tcW w:w="1140" w:type="dxa"/>
            <w:vAlign w:val="bottom"/>
          </w:tcPr>
          <w:p>
            <w:pPr>
              <w:spacing w:after="0"/>
              <w:rPr>
                <w:sz w:val="13"/>
                <w:szCs w:val="13"/>
                <w:color w:val="auto"/>
              </w:rPr>
            </w:pPr>
          </w:p>
        </w:tc>
        <w:tc>
          <w:tcPr>
            <w:tcW w:w="1080" w:type="dxa"/>
            <w:vAlign w:val="bottom"/>
            <w:tcBorders>
              <w:top w:val="single" w:sz="8" w:color="0000EE"/>
              <w:bottom w:val="single" w:sz="8" w:color="0000EE"/>
            </w:tcBorders>
            <w:gridSpan w:val="8"/>
          </w:tcPr>
          <w:p>
            <w:pPr>
              <w:spacing w:after="0" w:line="161" w:lineRule="exact"/>
              <w:rPr>
                <w:rFonts w:ascii="Arial" w:cs="Arial" w:eastAsia="Arial" w:hAnsi="Arial"/>
                <w:sz w:val="16"/>
                <w:szCs w:val="16"/>
                <w:color w:val="0000EE"/>
                <w:w w:val="96"/>
              </w:rPr>
            </w:pPr>
            <w:hyperlink w:anchor="page88">
              <w:r>
                <w:rPr>
                  <w:rFonts w:ascii="Arial" w:cs="Arial" w:eastAsia="Arial" w:hAnsi="Arial"/>
                  <w:sz w:val="16"/>
                  <w:szCs w:val="16"/>
                  <w:color w:val="0000EE"/>
                  <w:w w:val="96"/>
                </w:rPr>
                <w:t>Dividend Policy</w:t>
              </w:r>
            </w:hyperlink>
          </w:p>
        </w:tc>
        <w:tc>
          <w:tcPr>
            <w:tcW w:w="80" w:type="dxa"/>
            <w:vAlign w:val="bottom"/>
            <w:tcBorders>
              <w:top w:val="single" w:sz="8" w:color="0000EE"/>
            </w:tcBorders>
          </w:tcPr>
          <w:p>
            <w:pPr>
              <w:spacing w:after="0"/>
              <w:rPr>
                <w:sz w:val="13"/>
                <w:szCs w:val="13"/>
                <w:color w:val="auto"/>
              </w:rPr>
            </w:pPr>
          </w:p>
        </w:tc>
        <w:tc>
          <w:tcPr>
            <w:tcW w:w="7340" w:type="dxa"/>
            <w:vAlign w:val="bottom"/>
            <w:gridSpan w:val="19"/>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line="161" w:lineRule="exact"/>
              <w:rPr>
                <w:rFonts w:ascii="Arial" w:cs="Arial" w:eastAsia="Arial" w:hAnsi="Arial"/>
                <w:sz w:val="16"/>
                <w:szCs w:val="16"/>
                <w:color w:val="0000EE"/>
                <w:w w:val="89"/>
              </w:rPr>
            </w:pPr>
            <w:hyperlink w:anchor="page88">
              <w:r>
                <w:rPr>
                  <w:rFonts w:ascii="Arial" w:cs="Arial" w:eastAsia="Arial" w:hAnsi="Arial"/>
                  <w:sz w:val="16"/>
                  <w:szCs w:val="16"/>
                  <w:color w:val="0000EE"/>
                  <w:w w:val="89"/>
                </w:rPr>
                <w:t>85</w:t>
              </w:r>
            </w:hyperlink>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89">
              <w:r>
                <w:rPr>
                  <w:rFonts w:ascii="Arial" w:cs="Arial" w:eastAsia="Arial" w:hAnsi="Arial"/>
                  <w:sz w:val="16"/>
                  <w:szCs w:val="16"/>
                  <w:color w:val="0000EE"/>
                </w:rPr>
                <w:t>Capitalization</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r>
      <w:tr>
        <w:trPr>
          <w:trHeight w:val="161"/>
        </w:trPr>
        <w:tc>
          <w:tcPr>
            <w:tcW w:w="1140" w:type="dxa"/>
            <w:vAlign w:val="bottom"/>
          </w:tcPr>
          <w:p>
            <w:pPr>
              <w:spacing w:after="0"/>
              <w:rPr>
                <w:sz w:val="13"/>
                <w:szCs w:val="13"/>
                <w:color w:val="auto"/>
              </w:rPr>
            </w:pPr>
          </w:p>
        </w:tc>
        <w:tc>
          <w:tcPr>
            <w:tcW w:w="940" w:type="dxa"/>
            <w:vAlign w:val="bottom"/>
            <w:tcBorders>
              <w:top w:val="single" w:sz="8" w:color="0000EE"/>
            </w:tcBorders>
            <w:gridSpan w:val="6"/>
          </w:tcPr>
          <w:p>
            <w:pPr>
              <w:spacing w:after="0" w:line="161" w:lineRule="exact"/>
              <w:rPr>
                <w:rFonts w:ascii="Arial" w:cs="Arial" w:eastAsia="Arial" w:hAnsi="Arial"/>
                <w:sz w:val="16"/>
                <w:szCs w:val="16"/>
                <w:color w:val="0000EE"/>
              </w:rPr>
            </w:pPr>
            <w:hyperlink w:anchor="page92">
              <w:r>
                <w:rPr>
                  <w:rFonts w:ascii="Arial" w:cs="Arial" w:eastAsia="Arial" w:hAnsi="Arial"/>
                  <w:sz w:val="16"/>
                  <w:szCs w:val="16"/>
                  <w:color w:val="0000EE"/>
                </w:rPr>
                <w:t>Dilution</w:t>
              </w:r>
            </w:hyperlink>
          </w:p>
        </w:tc>
        <w:tc>
          <w:tcPr>
            <w:tcW w:w="7560" w:type="dxa"/>
            <w:vAlign w:val="bottom"/>
            <w:gridSpan w:val="22"/>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top w:val="single" w:sz="8" w:color="0000EE"/>
            </w:tcBorders>
            <w:gridSpan w:val="2"/>
          </w:tcPr>
          <w:p>
            <w:pPr>
              <w:jc w:val="right"/>
              <w:spacing w:after="0" w:line="161" w:lineRule="exact"/>
              <w:rPr>
                <w:rFonts w:ascii="Arial" w:cs="Arial" w:eastAsia="Arial" w:hAnsi="Arial"/>
                <w:sz w:val="16"/>
                <w:szCs w:val="16"/>
                <w:color w:val="0000EE"/>
                <w:w w:val="89"/>
              </w:rPr>
            </w:pPr>
            <w:hyperlink w:anchor="page92">
              <w:r>
                <w:rPr>
                  <w:rFonts w:ascii="Arial" w:cs="Arial" w:eastAsia="Arial" w:hAnsi="Arial"/>
                  <w:sz w:val="16"/>
                  <w:szCs w:val="16"/>
                  <w:color w:val="0000EE"/>
                  <w:w w:val="89"/>
                </w:rPr>
                <w:t>89</w:t>
              </w:r>
            </w:hyperlink>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620" w:type="dxa"/>
            <w:vAlign w:val="bottom"/>
            <w:tcBorders>
              <w:bottom w:val="single" w:sz="8" w:color="0000EE"/>
            </w:tcBorders>
            <w:gridSpan w:val="17"/>
          </w:tcPr>
          <w:p>
            <w:pPr>
              <w:spacing w:after="0" w:line="161" w:lineRule="exact"/>
              <w:rPr>
                <w:rFonts w:ascii="Arial" w:cs="Arial" w:eastAsia="Arial" w:hAnsi="Arial"/>
                <w:sz w:val="16"/>
                <w:szCs w:val="16"/>
                <w:color w:val="0000EE"/>
                <w:w w:val="97"/>
              </w:rPr>
            </w:pPr>
            <w:hyperlink w:anchor="page94">
              <w:r>
                <w:rPr>
                  <w:rFonts w:ascii="Arial" w:cs="Arial" w:eastAsia="Arial" w:hAnsi="Arial"/>
                  <w:sz w:val="16"/>
                  <w:szCs w:val="16"/>
                  <w:color w:val="0000EE"/>
                  <w:w w:val="97"/>
                </w:rPr>
                <w:t>Selected Consolidated Financial Data</w:t>
              </w:r>
            </w:hyperlink>
          </w:p>
        </w:tc>
        <w:tc>
          <w:tcPr>
            <w:tcW w:w="5880" w:type="dxa"/>
            <w:vAlign w:val="bottom"/>
            <w:gridSpan w:val="11"/>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94">
              <w:r>
                <w:rPr>
                  <w:rFonts w:ascii="Arial" w:cs="Arial" w:eastAsia="Arial" w:hAnsi="Arial"/>
                  <w:sz w:val="16"/>
                  <w:szCs w:val="16"/>
                  <w:color w:val="0000EE"/>
                  <w:w w:val="89"/>
                </w:rPr>
                <w:t>91</w:t>
              </w:r>
            </w:hyperlink>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96">
              <w:r>
                <w:rPr>
                  <w:rFonts w:ascii="Arial" w:cs="Arial" w:eastAsia="Arial" w:hAnsi="Arial"/>
                  <w:sz w:val="16"/>
                  <w:szCs w:val="16"/>
                  <w:color w:val="0000EE"/>
                </w:rPr>
                <w:t>Management's Discussion and Analysis of Financial Condition and Results of Operations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96">
              <w:r>
                <w:rPr>
                  <w:rFonts w:ascii="Arial" w:cs="Arial" w:eastAsia="Arial" w:hAnsi="Arial"/>
                  <w:sz w:val="16"/>
                  <w:szCs w:val="16"/>
                  <w:color w:val="0000EE"/>
                </w:rPr>
                <w:t>93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640" w:type="dxa"/>
            <w:vAlign w:val="bottom"/>
            <w:gridSpan w:val="4"/>
          </w:tcPr>
          <w:p>
            <w:pPr>
              <w:spacing w:after="0" w:line="161" w:lineRule="exact"/>
              <w:rPr>
                <w:rFonts w:ascii="Arial" w:cs="Arial" w:eastAsia="Arial" w:hAnsi="Arial"/>
                <w:sz w:val="16"/>
                <w:szCs w:val="16"/>
                <w:color w:val="0000EE"/>
                <w:w w:val="95"/>
              </w:rPr>
            </w:pPr>
            <w:hyperlink w:anchor="page114">
              <w:r>
                <w:rPr>
                  <w:rFonts w:ascii="Arial" w:cs="Arial" w:eastAsia="Arial" w:hAnsi="Arial"/>
                  <w:sz w:val="16"/>
                  <w:szCs w:val="16"/>
                  <w:color w:val="0000EE"/>
                  <w:w w:val="95"/>
                </w:rPr>
                <w:t>Business</w:t>
              </w:r>
            </w:hyperlink>
          </w:p>
        </w:tc>
        <w:tc>
          <w:tcPr>
            <w:tcW w:w="5520" w:type="dxa"/>
            <w:vAlign w:val="bottom"/>
            <w:gridSpan w:val="23"/>
          </w:tcPr>
          <w:p>
            <w:pPr>
              <w:spacing w:after="0"/>
              <w:rPr>
                <w:sz w:val="13"/>
                <w:szCs w:val="13"/>
                <w:color w:val="auto"/>
              </w:rPr>
            </w:pPr>
          </w:p>
        </w:tc>
        <w:tc>
          <w:tcPr>
            <w:tcW w:w="2340" w:type="dxa"/>
            <w:vAlign w:val="bottom"/>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14">
              <w:r>
                <w:rPr>
                  <w:rFonts w:ascii="Arial" w:cs="Arial" w:eastAsia="Arial" w:hAnsi="Arial"/>
                  <w:sz w:val="16"/>
                  <w:szCs w:val="16"/>
                  <w:color w:val="0000EE"/>
                </w:rPr>
                <w:t>111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80" w:type="dxa"/>
            <w:vAlign w:val="bottom"/>
            <w:gridSpan w:val="5"/>
          </w:tcPr>
          <w:p>
            <w:pPr>
              <w:spacing w:after="0" w:line="161" w:lineRule="exact"/>
              <w:rPr>
                <w:rFonts w:ascii="Arial" w:cs="Arial" w:eastAsia="Arial" w:hAnsi="Arial"/>
                <w:sz w:val="16"/>
                <w:szCs w:val="16"/>
                <w:color w:val="0000EE"/>
                <w:w w:val="89"/>
              </w:rPr>
            </w:pPr>
            <w:hyperlink w:anchor="page153">
              <w:r>
                <w:rPr>
                  <w:rFonts w:ascii="Arial" w:cs="Arial" w:eastAsia="Arial" w:hAnsi="Arial"/>
                  <w:sz w:val="16"/>
                  <w:szCs w:val="16"/>
                  <w:color w:val="0000EE"/>
                  <w:w w:val="89"/>
                </w:rPr>
                <w:t>Management</w:t>
              </w:r>
            </w:hyperlink>
          </w:p>
        </w:tc>
        <w:tc>
          <w:tcPr>
            <w:tcW w:w="7620" w:type="dxa"/>
            <w:vAlign w:val="bottom"/>
            <w:gridSpan w:val="23"/>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53">
              <w:r>
                <w:rPr>
                  <w:rFonts w:ascii="Arial" w:cs="Arial" w:eastAsia="Arial" w:hAnsi="Arial"/>
                  <w:sz w:val="16"/>
                  <w:szCs w:val="16"/>
                  <w:color w:val="0000EE"/>
                </w:rPr>
                <w:t>150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640" w:type="dxa"/>
            <w:vAlign w:val="bottom"/>
            <w:gridSpan w:val="18"/>
          </w:tcPr>
          <w:p>
            <w:pPr>
              <w:spacing w:after="0" w:line="161" w:lineRule="exact"/>
              <w:rPr>
                <w:rFonts w:ascii="Arial" w:cs="Arial" w:eastAsia="Arial" w:hAnsi="Arial"/>
                <w:sz w:val="16"/>
                <w:szCs w:val="16"/>
                <w:color w:val="0000EE"/>
                <w:w w:val="97"/>
              </w:rPr>
            </w:pPr>
            <w:hyperlink w:anchor="page160">
              <w:r>
                <w:rPr>
                  <w:rFonts w:ascii="Arial" w:cs="Arial" w:eastAsia="Arial" w:hAnsi="Arial"/>
                  <w:sz w:val="16"/>
                  <w:szCs w:val="16"/>
                  <w:color w:val="0000EE"/>
                  <w:w w:val="97"/>
                </w:rPr>
                <w:t>Executive and Director Compensation</w:t>
              </w:r>
            </w:hyperlink>
          </w:p>
        </w:tc>
        <w:tc>
          <w:tcPr>
            <w:tcW w:w="5860" w:type="dxa"/>
            <w:vAlign w:val="bottom"/>
            <w:gridSpan w:val="10"/>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60">
              <w:r>
                <w:rPr>
                  <w:rFonts w:ascii="Arial" w:cs="Arial" w:eastAsia="Arial" w:hAnsi="Arial"/>
                  <w:sz w:val="16"/>
                  <w:szCs w:val="16"/>
                  <w:color w:val="0000EE"/>
                </w:rPr>
                <w:t>157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860" w:type="dxa"/>
            <w:vAlign w:val="bottom"/>
            <w:gridSpan w:val="23"/>
          </w:tcPr>
          <w:p>
            <w:pPr>
              <w:spacing w:after="0" w:line="161" w:lineRule="exact"/>
              <w:rPr>
                <w:rFonts w:ascii="Arial" w:cs="Arial" w:eastAsia="Arial" w:hAnsi="Arial"/>
                <w:sz w:val="16"/>
                <w:szCs w:val="16"/>
                <w:color w:val="0000EE"/>
                <w:w w:val="97"/>
              </w:rPr>
            </w:pPr>
            <w:hyperlink w:anchor="page173">
              <w:r>
                <w:rPr>
                  <w:rFonts w:ascii="Arial" w:cs="Arial" w:eastAsia="Arial" w:hAnsi="Arial"/>
                  <w:sz w:val="16"/>
                  <w:szCs w:val="16"/>
                  <w:color w:val="0000EE"/>
                  <w:w w:val="97"/>
                </w:rPr>
                <w:t>Certain Relationships and Related Person Transactions</w:t>
              </w:r>
            </w:hyperlink>
          </w:p>
        </w:tc>
        <w:tc>
          <w:tcPr>
            <w:tcW w:w="4640" w:type="dxa"/>
            <w:vAlign w:val="bottom"/>
            <w:gridSpan w:val="5"/>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73">
              <w:r>
                <w:rPr>
                  <w:rFonts w:ascii="Arial" w:cs="Arial" w:eastAsia="Arial" w:hAnsi="Arial"/>
                  <w:sz w:val="16"/>
                  <w:szCs w:val="16"/>
                  <w:color w:val="0000EE"/>
                </w:rPr>
                <w:t>170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1580" w:type="dxa"/>
            <w:vAlign w:val="bottom"/>
            <w:gridSpan w:val="12"/>
          </w:tcPr>
          <w:p>
            <w:pPr>
              <w:spacing w:after="0" w:line="161" w:lineRule="exact"/>
              <w:rPr>
                <w:rFonts w:ascii="Arial" w:cs="Arial" w:eastAsia="Arial" w:hAnsi="Arial"/>
                <w:sz w:val="16"/>
                <w:szCs w:val="16"/>
                <w:color w:val="0000EE"/>
                <w:w w:val="96"/>
              </w:rPr>
            </w:pPr>
            <w:hyperlink w:anchor="page177">
              <w:r>
                <w:rPr>
                  <w:rFonts w:ascii="Arial" w:cs="Arial" w:eastAsia="Arial" w:hAnsi="Arial"/>
                  <w:sz w:val="16"/>
                  <w:szCs w:val="16"/>
                  <w:color w:val="0000EE"/>
                  <w:w w:val="96"/>
                </w:rPr>
                <w:t>Principal Shareholders</w:t>
              </w:r>
            </w:hyperlink>
          </w:p>
        </w:tc>
        <w:tc>
          <w:tcPr>
            <w:tcW w:w="2280" w:type="dxa"/>
            <w:vAlign w:val="bottom"/>
            <w:gridSpan w:val="11"/>
          </w:tcPr>
          <w:p>
            <w:pPr>
              <w:spacing w:after="0"/>
              <w:rPr>
                <w:sz w:val="13"/>
                <w:szCs w:val="13"/>
                <w:color w:val="auto"/>
              </w:rPr>
            </w:pPr>
          </w:p>
        </w:tc>
        <w:tc>
          <w:tcPr>
            <w:tcW w:w="4640" w:type="dxa"/>
            <w:vAlign w:val="bottom"/>
            <w:gridSpan w:val="5"/>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77">
              <w:r>
                <w:rPr>
                  <w:rFonts w:ascii="Arial" w:cs="Arial" w:eastAsia="Arial" w:hAnsi="Arial"/>
                  <w:sz w:val="16"/>
                  <w:szCs w:val="16"/>
                  <w:color w:val="0000EE"/>
                </w:rPr>
                <w:t>174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1960" w:type="dxa"/>
            <w:vAlign w:val="bottom"/>
            <w:gridSpan w:val="14"/>
          </w:tcPr>
          <w:p>
            <w:pPr>
              <w:spacing w:after="0" w:line="161" w:lineRule="exact"/>
              <w:rPr>
                <w:rFonts w:ascii="Arial" w:cs="Arial" w:eastAsia="Arial" w:hAnsi="Arial"/>
                <w:sz w:val="16"/>
                <w:szCs w:val="16"/>
                <w:color w:val="0000EE"/>
                <w:w w:val="97"/>
              </w:rPr>
            </w:pPr>
            <w:hyperlink w:anchor="page181">
              <w:r>
                <w:rPr>
                  <w:rFonts w:ascii="Arial" w:cs="Arial" w:eastAsia="Arial" w:hAnsi="Arial"/>
                  <w:sz w:val="16"/>
                  <w:szCs w:val="16"/>
                  <w:color w:val="0000EE"/>
                  <w:w w:val="97"/>
                </w:rPr>
                <w:t>Description of Share Capital</w:t>
              </w:r>
            </w:hyperlink>
          </w:p>
        </w:tc>
        <w:tc>
          <w:tcPr>
            <w:tcW w:w="6540" w:type="dxa"/>
            <w:vAlign w:val="bottom"/>
            <w:gridSpan w:val="14"/>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81">
              <w:r>
                <w:rPr>
                  <w:rFonts w:ascii="Arial" w:cs="Arial" w:eastAsia="Arial" w:hAnsi="Arial"/>
                  <w:sz w:val="16"/>
                  <w:szCs w:val="16"/>
                  <w:color w:val="0000EE"/>
                </w:rPr>
                <w:t>178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192">
              <w:r>
                <w:rPr>
                  <w:rFonts w:ascii="Arial" w:cs="Arial" w:eastAsia="Arial" w:hAnsi="Arial"/>
                  <w:sz w:val="16"/>
                  <w:szCs w:val="16"/>
                  <w:color w:val="0000EE"/>
                </w:rPr>
                <w:t>Shares Eligible for Future Sale</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192">
              <w:r>
                <w:rPr>
                  <w:rFonts w:ascii="Arial" w:cs="Arial" w:eastAsia="Arial" w:hAnsi="Arial"/>
                  <w:sz w:val="16"/>
                  <w:szCs w:val="16"/>
                  <w:color w:val="0000EE"/>
                </w:rPr>
                <w:t>189</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195">
              <w:r>
                <w:rPr>
                  <w:rFonts w:ascii="Arial" w:cs="Arial" w:eastAsia="Arial" w:hAnsi="Arial"/>
                  <w:sz w:val="16"/>
                  <w:szCs w:val="16"/>
                  <w:color w:val="0000EE"/>
                </w:rPr>
                <w:t>Bermuda Company Considerations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195">
              <w:r>
                <w:rPr>
                  <w:rFonts w:ascii="Arial" w:cs="Arial" w:eastAsia="Arial" w:hAnsi="Arial"/>
                  <w:sz w:val="16"/>
                  <w:szCs w:val="16"/>
                  <w:color w:val="0000EE"/>
                </w:rPr>
                <w:t>192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203">
              <w:r>
                <w:rPr>
                  <w:rFonts w:ascii="Arial" w:cs="Arial" w:eastAsia="Arial" w:hAnsi="Arial"/>
                  <w:sz w:val="16"/>
                  <w:szCs w:val="16"/>
                  <w:color w:val="0000EE"/>
                </w:rPr>
                <w:t>Material Bermuda and U.S. Federal Income Tax Considerations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03">
              <w:r>
                <w:rPr>
                  <w:rFonts w:ascii="Arial" w:cs="Arial" w:eastAsia="Arial" w:hAnsi="Arial"/>
                  <w:sz w:val="16"/>
                  <w:szCs w:val="16"/>
                  <w:color w:val="0000EE"/>
                </w:rPr>
                <w:t>200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4400" w:type="dxa"/>
            <w:vAlign w:val="bottom"/>
            <w:gridSpan w:val="24"/>
          </w:tcPr>
          <w:p>
            <w:pPr>
              <w:spacing w:after="0" w:line="161" w:lineRule="exact"/>
              <w:rPr>
                <w:rFonts w:ascii="Arial" w:cs="Arial" w:eastAsia="Arial" w:hAnsi="Arial"/>
                <w:sz w:val="16"/>
                <w:szCs w:val="16"/>
                <w:color w:val="0000EE"/>
              </w:rPr>
            </w:pPr>
            <w:hyperlink w:anchor="page210">
              <w:r>
                <w:rPr>
                  <w:rFonts w:ascii="Arial" w:cs="Arial" w:eastAsia="Arial" w:hAnsi="Arial"/>
                  <w:sz w:val="16"/>
                  <w:szCs w:val="16"/>
                  <w:color w:val="0000EE"/>
                </w:rPr>
                <w:t>Underwriting</w:t>
              </w:r>
            </w:hyperlink>
          </w:p>
        </w:tc>
        <w:tc>
          <w:tcPr>
            <w:tcW w:w="4100" w:type="dxa"/>
            <w:vAlign w:val="bottom"/>
            <w:gridSpan w:val="4"/>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0">
              <w:r>
                <w:rPr>
                  <w:rFonts w:ascii="Arial" w:cs="Arial" w:eastAsia="Arial" w:hAnsi="Arial"/>
                  <w:sz w:val="16"/>
                  <w:szCs w:val="16"/>
                  <w:color w:val="0000EE"/>
                </w:rPr>
                <w:t>207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960" w:type="dxa"/>
            <w:vAlign w:val="bottom"/>
            <w:gridSpan w:val="7"/>
          </w:tcPr>
          <w:p>
            <w:pPr>
              <w:spacing w:after="0" w:line="161" w:lineRule="exact"/>
              <w:rPr>
                <w:rFonts w:ascii="Arial" w:cs="Arial" w:eastAsia="Arial" w:hAnsi="Arial"/>
                <w:sz w:val="16"/>
                <w:szCs w:val="16"/>
                <w:color w:val="0000EE"/>
                <w:w w:val="96"/>
              </w:rPr>
            </w:pPr>
            <w:hyperlink w:anchor="page216">
              <w:r>
                <w:rPr>
                  <w:rFonts w:ascii="Arial" w:cs="Arial" w:eastAsia="Arial" w:hAnsi="Arial"/>
                  <w:sz w:val="16"/>
                  <w:szCs w:val="16"/>
                  <w:color w:val="0000EE"/>
                  <w:w w:val="96"/>
                </w:rPr>
                <w:t>Legal Matters</w:t>
              </w:r>
            </w:hyperlink>
          </w:p>
        </w:tc>
        <w:tc>
          <w:tcPr>
            <w:tcW w:w="7540" w:type="dxa"/>
            <w:vAlign w:val="bottom"/>
            <w:gridSpan w:val="21"/>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213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540" w:type="dxa"/>
            <w:vAlign w:val="bottom"/>
            <w:gridSpan w:val="3"/>
          </w:tcPr>
          <w:p>
            <w:pPr>
              <w:spacing w:after="0" w:line="161" w:lineRule="exact"/>
              <w:rPr>
                <w:rFonts w:ascii="Arial" w:cs="Arial" w:eastAsia="Arial" w:hAnsi="Arial"/>
                <w:sz w:val="16"/>
                <w:szCs w:val="16"/>
                <w:color w:val="0000EE"/>
                <w:w w:val="95"/>
              </w:rPr>
            </w:pPr>
            <w:hyperlink w:anchor="page216">
              <w:r>
                <w:rPr>
                  <w:rFonts w:ascii="Arial" w:cs="Arial" w:eastAsia="Arial" w:hAnsi="Arial"/>
                  <w:sz w:val="16"/>
                  <w:szCs w:val="16"/>
                  <w:color w:val="0000EE"/>
                  <w:w w:val="95"/>
                </w:rPr>
                <w:t>Experts</w:t>
              </w:r>
            </w:hyperlink>
          </w:p>
        </w:tc>
        <w:tc>
          <w:tcPr>
            <w:tcW w:w="420" w:type="dxa"/>
            <w:vAlign w:val="bottom"/>
            <w:gridSpan w:val="4"/>
          </w:tcPr>
          <w:p>
            <w:pPr>
              <w:spacing w:after="0"/>
              <w:rPr>
                <w:sz w:val="13"/>
                <w:szCs w:val="13"/>
                <w:color w:val="auto"/>
              </w:rPr>
            </w:pPr>
          </w:p>
        </w:tc>
        <w:tc>
          <w:tcPr>
            <w:tcW w:w="7540" w:type="dxa"/>
            <w:vAlign w:val="bottom"/>
            <w:gridSpan w:val="21"/>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213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Exchange Controls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213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Enforcement of Civil Liabilities Under United States Federal Securities Laws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16">
              <w:r>
                <w:rPr>
                  <w:rFonts w:ascii="Arial" w:cs="Arial" w:eastAsia="Arial" w:hAnsi="Arial"/>
                  <w:sz w:val="16"/>
                  <w:szCs w:val="16"/>
                  <w:color w:val="0000EE"/>
                </w:rPr>
                <w:t>213</w:t>
              </w:r>
            </w:hyperlink>
          </w:p>
        </w:tc>
      </w:tr>
      <w:tr>
        <w:trPr>
          <w:trHeight w:val="20"/>
        </w:trPr>
        <w:tc>
          <w:tcPr>
            <w:tcW w:w="1140" w:type="dxa"/>
            <w:vAlign w:val="bottom"/>
          </w:tcPr>
          <w:p>
            <w:pPr>
              <w:spacing w:after="0" w:line="20" w:lineRule="exact"/>
              <w:rPr>
                <w:sz w:val="1"/>
                <w:szCs w:val="1"/>
                <w:color w:val="auto"/>
              </w:rPr>
            </w:pPr>
          </w:p>
        </w:tc>
        <w:tc>
          <w:tcPr>
            <w:tcW w:w="2680" w:type="dxa"/>
            <w:vAlign w:val="bottom"/>
            <w:gridSpan w:val="1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5260" w:type="dxa"/>
            <w:vAlign w:val="bottom"/>
            <w:gridSpan w:val="25"/>
          </w:tcPr>
          <w:p>
            <w:pPr>
              <w:spacing w:after="0" w:line="161" w:lineRule="exact"/>
              <w:rPr>
                <w:rFonts w:ascii="Arial" w:cs="Arial" w:eastAsia="Arial" w:hAnsi="Arial"/>
                <w:sz w:val="16"/>
                <w:szCs w:val="16"/>
                <w:color w:val="0000EE"/>
              </w:rPr>
            </w:pPr>
            <w:hyperlink w:anchor="page217">
              <w:r>
                <w:rPr>
                  <w:rFonts w:ascii="Arial" w:cs="Arial" w:eastAsia="Arial" w:hAnsi="Arial"/>
                  <w:sz w:val="16"/>
                  <w:szCs w:val="16"/>
                  <w:color w:val="0000EE"/>
                </w:rPr>
                <w:t>Where You Can Find More Information</w:t>
              </w:r>
            </w:hyperlink>
          </w:p>
        </w:tc>
        <w:tc>
          <w:tcPr>
            <w:tcW w:w="3240" w:type="dxa"/>
            <w:vAlign w:val="bottom"/>
            <w:gridSpan w:val="3"/>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7">
              <w:r>
                <w:rPr>
                  <w:rFonts w:ascii="Arial" w:cs="Arial" w:eastAsia="Arial" w:hAnsi="Arial"/>
                  <w:sz w:val="16"/>
                  <w:szCs w:val="16"/>
                  <w:color w:val="0000EE"/>
                </w:rPr>
                <w:t>214</w:t>
              </w:r>
            </w:hyperlink>
          </w:p>
        </w:tc>
      </w:tr>
      <w:tr>
        <w:trPr>
          <w:trHeight w:val="20"/>
        </w:trPr>
        <w:tc>
          <w:tcPr>
            <w:tcW w:w="1140" w:type="dxa"/>
            <w:vAlign w:val="bottom"/>
          </w:tcPr>
          <w:p>
            <w:pPr>
              <w:spacing w:after="0" w:line="20" w:lineRule="exact"/>
              <w:rPr>
                <w:sz w:val="1"/>
                <w:szCs w:val="1"/>
                <w:color w:val="auto"/>
              </w:rPr>
            </w:pPr>
          </w:p>
        </w:tc>
        <w:tc>
          <w:tcPr>
            <w:tcW w:w="2680" w:type="dxa"/>
            <w:vAlign w:val="bottom"/>
            <w:gridSpan w:val="19"/>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28"/>
          </w:tcPr>
          <w:p>
            <w:pPr>
              <w:spacing w:after="0" w:line="161" w:lineRule="exact"/>
              <w:rPr>
                <w:rFonts w:ascii="Arial" w:cs="Arial" w:eastAsia="Arial" w:hAnsi="Arial"/>
                <w:sz w:val="16"/>
                <w:szCs w:val="16"/>
                <w:color w:val="0000EE"/>
              </w:rPr>
            </w:pPr>
            <w:hyperlink w:anchor="page218">
              <w:r>
                <w:rPr>
                  <w:rFonts w:ascii="Arial" w:cs="Arial" w:eastAsia="Arial" w:hAnsi="Arial"/>
                  <w:sz w:val="16"/>
                  <w:szCs w:val="16"/>
                  <w:color w:val="0000EE"/>
                </w:rPr>
                <w:t>Index to Consolidated Financial Statements</w:t>
              </w:r>
            </w:hyperlink>
          </w:p>
        </w:tc>
        <w:tc>
          <w:tcPr>
            <w:tcW w:w="260" w:type="dxa"/>
            <w:vAlign w:val="bottom"/>
          </w:tcPr>
          <w:p>
            <w:pPr>
              <w:spacing w:after="0"/>
              <w:rPr>
                <w:sz w:val="13"/>
                <w:szCs w:val="13"/>
                <w:color w:val="auto"/>
              </w:rPr>
            </w:pPr>
          </w:p>
        </w:tc>
        <w:tc>
          <w:tcPr>
            <w:tcW w:w="240" w:type="dxa"/>
            <w:vAlign w:val="bottom"/>
            <w:gridSpan w:val="3"/>
          </w:tcPr>
          <w:p>
            <w:pPr>
              <w:jc w:val="right"/>
              <w:spacing w:after="0" w:line="161" w:lineRule="exact"/>
              <w:rPr>
                <w:rFonts w:ascii="Arial" w:cs="Arial" w:eastAsia="Arial" w:hAnsi="Arial"/>
                <w:sz w:val="16"/>
                <w:szCs w:val="16"/>
                <w:color w:val="0000EE"/>
                <w:w w:val="91"/>
              </w:rPr>
            </w:pPr>
            <w:hyperlink w:anchor="page218">
              <w:r>
                <w:rPr>
                  <w:rFonts w:ascii="Arial" w:cs="Arial" w:eastAsia="Arial" w:hAnsi="Arial"/>
                  <w:sz w:val="16"/>
                  <w:szCs w:val="16"/>
                  <w:color w:val="0000EE"/>
                  <w:w w:val="91"/>
                </w:rPr>
                <w:t>F-1</w:t>
              </w:r>
            </w:hyperlink>
          </w:p>
        </w:tc>
      </w:tr>
      <w:tr>
        <w:trPr>
          <w:trHeight w:val="197"/>
        </w:trPr>
        <w:tc>
          <w:tcPr>
            <w:tcW w:w="1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and only under circumstances and in jurisdictions where it is lawful to do so. The information contained in this prospectus or in any applicable free writing prospectus is current only as of its date, regardless of its time of delivery or any sale of our Class A common shares. Our business, financial condition, results of operations and prospects may have changed since that date.</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Class A common shares and the distribution of this prospectus outside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TRADEMARKS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own or have rights to trademarks that we use in connection with the operation of our business, including Kiniksa™ and ARCALYST®. Kiniksa™ is a</w:t>
      </w:r>
    </w:p>
    <w:p>
      <w:pPr>
        <w:spacing w:after="0" w:line="222" w:lineRule="auto"/>
        <w:rPr>
          <w:sz w:val="20"/>
          <w:szCs w:val="20"/>
          <w:color w:val="auto"/>
        </w:rPr>
      </w:pPr>
      <w:r>
        <w:rPr>
          <w:rFonts w:ascii="Arial" w:cs="Arial" w:eastAsia="Arial" w:hAnsi="Arial"/>
          <w:sz w:val="15"/>
          <w:szCs w:val="15"/>
          <w:color w:val="auto"/>
        </w:rPr>
        <w:t xml:space="preserve">trademark of Kiniksa Pharmaceuticals, Ltd. and ARCALYST® is a trademark of Regeneron Pharmaceuticals, Inc. Solely for convenience, trademarks, service marks and trade names referred to in this prospectus, including Kiniksa and ARCALYST, are listed without the ®, </w:t>
      </w:r>
      <w:r>
        <w:rPr>
          <w:rFonts w:ascii="Arial" w:cs="Arial" w:eastAsia="Arial" w:hAnsi="Arial"/>
          <w:sz w:val="25"/>
          <w:szCs w:val="25"/>
          <w:b w:val="1"/>
          <w:bCs w:val="1"/>
          <w:color w:val="auto"/>
          <w:vertAlign w:val="superscript"/>
        </w:rPr>
        <w:t>SM</w:t>
      </w:r>
      <w:r>
        <w:rPr>
          <w:rFonts w:ascii="Arial" w:cs="Arial" w:eastAsia="Arial" w:hAnsi="Arial"/>
          <w:sz w:val="15"/>
          <w:szCs w:val="15"/>
          <w:color w:val="auto"/>
        </w:rPr>
        <w:t xml:space="preserve"> and ™ symbols. We will assert, to the fullest extent under applicable law, our rights to our intellectual property. Trademarks, service marks and trade names of third parties are the intellectual property of such parties.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052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505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PROSPECTUS SUMMARY</w:t>
      </w:r>
    </w:p>
    <w:p>
      <w:pPr>
        <w:spacing w:after="0" w:line="194" w:lineRule="exact"/>
        <w:rPr>
          <w:sz w:val="20"/>
          <w:szCs w:val="20"/>
          <w:color w:val="auto"/>
        </w:rPr>
      </w:pPr>
    </w:p>
    <w:p>
      <w:pPr>
        <w:ind w:left="200" w:right="140" w:firstLine="435"/>
        <w:spacing w:after="0" w:line="242"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Class A common shares. You should read this entire prospectus carefully, especially the sections entitled "Risk Factors" and "Management's Discussion and Analysis of Financial Condition and Results of Operations" and our consolidated financial statements and the related notes appearing at the end of this prospectus, before making an investment decision. This prospectus includes forward-looking statements that involve risks and uncertainties. See "Special Note Regarding Forward-Looking Statements."</w:t>
      </w:r>
    </w:p>
    <w:p>
      <w:pPr>
        <w:spacing w:after="0" w:line="170" w:lineRule="exact"/>
        <w:rPr>
          <w:sz w:val="20"/>
          <w:szCs w:val="20"/>
          <w:color w:val="auto"/>
        </w:rPr>
      </w:pPr>
    </w:p>
    <w:p>
      <w:pPr>
        <w:ind w:left="200" w:right="720" w:firstLine="435"/>
        <w:spacing w:after="0" w:line="262" w:lineRule="auto"/>
        <w:rPr>
          <w:sz w:val="20"/>
          <w:szCs w:val="20"/>
          <w:color w:val="auto"/>
        </w:rPr>
      </w:pPr>
      <w:r>
        <w:rPr>
          <w:rFonts w:ascii="Arial" w:cs="Arial" w:eastAsia="Arial" w:hAnsi="Arial"/>
          <w:sz w:val="16"/>
          <w:szCs w:val="16"/>
          <w:i w:val="1"/>
          <w:iCs w:val="1"/>
          <w:color w:val="auto"/>
        </w:rPr>
        <w:t>As used in this prospectus, unless the context otherwise requires, references to "we," "us," "our," the "Company" and "Kiniksa" refer to Kiniksa Pharmaceuticals, Ltd. and its consolidated subsidiary, together.</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left="200" w:right="40" w:firstLine="436"/>
        <w:spacing w:after="0" w:line="257" w:lineRule="auto"/>
        <w:rPr>
          <w:sz w:val="20"/>
          <w:szCs w:val="20"/>
          <w:color w:val="auto"/>
        </w:rPr>
      </w:pPr>
      <w:r>
        <w:rPr>
          <w:rFonts w:ascii="Arial" w:cs="Arial" w:eastAsia="Arial" w:hAnsi="Arial"/>
          <w:sz w:val="15"/>
          <w:szCs w:val="15"/>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Programs</w:t>
      </w:r>
    </w:p>
    <w:p>
      <w:pPr>
        <w:spacing w:after="0" w:line="202" w:lineRule="exact"/>
        <w:rPr>
          <w:sz w:val="20"/>
          <w:szCs w:val="20"/>
          <w:color w:val="auto"/>
        </w:rPr>
      </w:pPr>
    </w:p>
    <w:p>
      <w:pPr>
        <w:ind w:left="1180" w:hanging="492"/>
        <w:spacing w:after="0" w:line="239"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Rilonacept</w:t>
      </w:r>
      <w:r>
        <w:rPr>
          <w:rFonts w:ascii="Arial" w:cs="Arial" w:eastAsia="Arial" w:hAnsi="Arial"/>
          <w:sz w:val="16"/>
          <w:szCs w:val="16"/>
          <w:b w:val="1"/>
          <w:bCs w:val="1"/>
          <w:color w:val="auto"/>
        </w:rPr>
        <w:t xml:space="preserve"> </w:t>
      </w:r>
      <w:r>
        <w:rPr>
          <w:rFonts w:ascii="Arial" w:cs="Arial" w:eastAsia="Arial" w:hAnsi="Arial"/>
          <w:sz w:val="16"/>
          <w:szCs w:val="16"/>
          <w:color w:val="auto"/>
        </w:rPr>
        <w:t>(ARCALYST) is a protein for inhibiting interleukin-1a</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interleukin-1b. Cytokines are small proteins that play a key role in cell</w:t>
      </w:r>
      <w:r>
        <w:rPr>
          <w:rFonts w:ascii="Arial" w:cs="Arial" w:eastAsia="Arial" w:hAnsi="Arial"/>
          <w:sz w:val="16"/>
          <w:szCs w:val="16"/>
          <w:b w:val="1"/>
          <w:bCs w:val="1"/>
          <w:color w:val="auto"/>
        </w:rPr>
        <w:t xml:space="preserve"> </w:t>
      </w:r>
      <w:r>
        <w:rPr>
          <w:rFonts w:ascii="Arial" w:cs="Arial" w:eastAsia="Arial" w:hAnsi="Arial"/>
          <w:sz w:val="16"/>
          <w:szCs w:val="16"/>
          <w:color w:val="auto"/>
        </w:rPr>
        <w:t>signaling. Rilonacept is approved by the U.S. Food and Drug Administration, or FDA, for the treatment of cryopyrin-associated periodic syndromes, or CAPS, and has been commercially available from Regeneron Pharmaceuticals, Inc., or Regeneron, for this indication since 2008. We are initially developing rilonacept for the treatment of recurrent pericarditis, a debilitating inflammatory cardiovascular disease. We are not aware of any therapy currently approved by the FDA for the treatment of recurrent pericarditis. We are currently conducting an open-label Phase 2 proof-of-concept clinical trial in this disease and expect to report preliminary data in 2018. The trial is divided into five parts to evaluate rilonacept in various subgroups of patients with pericarditis. As of April 23, 2018, a total of four subjects were enrolled in the clinical trial. Three of the four subjects were experiencing symptomatic recurrent pericarditis at the time of enrollment. All three subjects showed a reduction in C-reactive protein measurements, as well as a reduction in scores of an 11-point Numerical Rating Scale instrument for assessing pericardial-associated chest pain, in the first week of treatment. The fourth subject, in a separate patient cohort, was on corticosteroids at the time of enrollment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w:t>
      </w:r>
    </w:p>
    <w:p>
      <w:pPr>
        <w:spacing w:after="0" w:line="163" w:lineRule="exact"/>
        <w:rPr>
          <w:rFonts w:ascii="Arial" w:cs="Arial" w:eastAsia="Arial" w:hAnsi="Arial"/>
          <w:sz w:val="16"/>
          <w:szCs w:val="16"/>
          <w:color w:val="auto"/>
        </w:rPr>
      </w:pPr>
    </w:p>
    <w:p>
      <w:pPr>
        <w:jc w:val="both"/>
        <w:ind w:left="1180" w:right="240" w:hanging="492"/>
        <w:spacing w:after="0" w:line="251"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Mavrilimumab</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antagonizes the signaling of granulocyte macrophage colony stimulating factor, or GM-CSF. We</w:t>
      </w:r>
      <w:r>
        <w:rPr>
          <w:rFonts w:ascii="Arial" w:cs="Arial" w:eastAsia="Arial" w:hAnsi="Arial"/>
          <w:sz w:val="16"/>
          <w:szCs w:val="16"/>
          <w:b w:val="1"/>
          <w:bCs w:val="1"/>
          <w:color w:val="auto"/>
        </w:rPr>
        <w:t xml:space="preserve"> </w:t>
      </w:r>
      <w:r>
        <w:rPr>
          <w:rFonts w:ascii="Arial" w:cs="Arial" w:eastAsia="Arial" w:hAnsi="Arial"/>
          <w:sz w:val="16"/>
          <w:szCs w:val="16"/>
          <w:color w:val="auto"/>
        </w:rPr>
        <w:t>are focusing our initial development efforts for mavrilimumab on giant cell arteritis, or GCA, an inflammatory disease of the blood vessels with unmet medical need that can lead to blindness if left untreated. MedImmune</w:t>
      </w: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3872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387286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180"/>
        <w:spacing w:after="0" w:line="237" w:lineRule="auto"/>
        <w:rPr>
          <w:sz w:val="20"/>
          <w:szCs w:val="20"/>
          <w:color w:val="auto"/>
        </w:rPr>
      </w:pPr>
      <w:r>
        <w:rPr>
          <w:rFonts w:ascii="Arial" w:cs="Arial" w:eastAsia="Arial" w:hAnsi="Arial"/>
          <w:sz w:val="16"/>
          <w:szCs w:val="16"/>
          <w:color w:val="auto"/>
        </w:rPr>
        <w:t>Limited, or MedImmune, initially developed mavrilimumab for the treatment of rheumatoid arthritis, or RA. MedImmune's Investigational New Drug application, or IND, for the clinical development of mavrilimumab for the treatment of RA was initially put on clinical hold in 2010 before human data had been generated due to certain effects that were observed in non-clinical studies, which coincides with a theoretical risk of developing pulmonary alveolar proteinosis, or PAP, possibly in the setting of GM-CSF inhibition. Since then, in 2014, the FDA acknowledged that clinical studies in refractory RA may be appropriate based on MedImmune's clinical studies in Europe in which it dosed over 550 RA patients with mavrilimumab with no evidence of PAP. MedImmune has since withdrawn the IND for mavrilimumab for the treatment of RA. We intend to develop mavrilimumab for the treatment of GCA under a new IND in the United States and new Clinical Trial Application, or CTA, in Europe, and plan to initiate a Phase 2 clinical trial in 2018.</w:t>
      </w:r>
    </w:p>
    <w:p>
      <w:pPr>
        <w:spacing w:after="0" w:line="179" w:lineRule="exact"/>
        <w:rPr>
          <w:sz w:val="20"/>
          <w:szCs w:val="20"/>
          <w:color w:val="auto"/>
        </w:rPr>
      </w:pPr>
    </w:p>
    <w:p>
      <w:pPr>
        <w:ind w:left="1180" w:right="60" w:hanging="492"/>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KPL-716</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simultaneously inhibits the signaling of the cytokines interleukin-31, or IL-31, and oncostatin M, or OSM,</w:t>
      </w:r>
      <w:r>
        <w:rPr>
          <w:rFonts w:ascii="Arial" w:cs="Arial" w:eastAsia="Arial" w:hAnsi="Arial"/>
          <w:sz w:val="16"/>
          <w:szCs w:val="16"/>
          <w:b w:val="1"/>
          <w:bCs w:val="1"/>
          <w:color w:val="auto"/>
        </w:rPr>
        <w:t xml:space="preserve"> </w:t>
      </w:r>
      <w:r>
        <w:rPr>
          <w:rFonts w:ascii="Arial" w:cs="Arial" w:eastAsia="Arial" w:hAnsi="Arial"/>
          <w:sz w:val="16"/>
          <w:szCs w:val="16"/>
          <w:color w:val="auto"/>
        </w:rPr>
        <w:t>by targeting their common receptor subunit, oncostatin M receptor beta, or OSMRb. We plan to study KPL-716 in a variety of pruritic and fibrotic indications driven by these cytokines and we believe KPL-716 is the only monoclonal antibody in development that simultaneously targets both pathways. We are currently enrolling subjects in a Phase 1a/1b clinical trial in healthy volunteers and in subjects with atopic dermatitis as a proof-of-concept for pruritic conditions. We have completed dosing in the first portion of the Phase 1a/1b clinical trial utilizing a single ascending dose design. Each dose cohort in the first portion received a single dose of KPL-716 administered either intravenously or subcutaneously. We expect to report preliminary data from the single ascending dose cohorts of this portion of the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 If the data from the Phase 1a/1b clinical trial are favorable, we expect our two initial targeted indications for future development of KPL-716 to be prurigo nodularis and atopic dermatitis, both inflammatory, pruritic skin conditions with unmet medical need.</w:t>
      </w:r>
    </w:p>
    <w:p>
      <w:pPr>
        <w:spacing w:after="0" w:line="156" w:lineRule="exact"/>
        <w:rPr>
          <w:rFonts w:ascii="Arial" w:cs="Arial" w:eastAsia="Arial" w:hAnsi="Arial"/>
          <w:sz w:val="16"/>
          <w:szCs w:val="16"/>
          <w:color w:val="auto"/>
        </w:rPr>
      </w:pPr>
    </w:p>
    <w:p>
      <w:pPr>
        <w:ind w:left="1180" w:right="140" w:hanging="492"/>
        <w:spacing w:after="0" w:line="251"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KPL-045</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CD30/CD30L interaction, a T-cell co-stimulatory receptor involved in activated T-memory cell</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 We are planning IND-enabling studies in T-cell dependent, B-cell mediated diseases, and expect to file an IND with the FDA for this program in 2019.</w:t>
      </w:r>
    </w:p>
    <w:p>
      <w:pPr>
        <w:spacing w:after="0" w:line="146" w:lineRule="exact"/>
        <w:rPr>
          <w:rFonts w:ascii="Arial" w:cs="Arial" w:eastAsia="Arial" w:hAnsi="Arial"/>
          <w:sz w:val="16"/>
          <w:szCs w:val="16"/>
          <w:color w:val="auto"/>
        </w:rPr>
      </w:pPr>
    </w:p>
    <w:p>
      <w:pPr>
        <w:jc w:val="both"/>
        <w:ind w:left="1180" w:right="80" w:hanging="492"/>
        <w:spacing w:after="0" w:line="251"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KPL-404</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CD40/CD40L interaction, a central control node of T-cell-dependent, B-cell-mediated humoral</w:t>
      </w:r>
      <w:r>
        <w:rPr>
          <w:rFonts w:ascii="Arial" w:cs="Arial" w:eastAsia="Arial" w:hAnsi="Arial"/>
          <w:sz w:val="16"/>
          <w:szCs w:val="16"/>
          <w:b w:val="1"/>
          <w:bCs w:val="1"/>
          <w:color w:val="auto"/>
        </w:rPr>
        <w:t xml:space="preserve"> </w:t>
      </w:r>
      <w:r>
        <w:rPr>
          <w:rFonts w:ascii="Arial" w:cs="Arial" w:eastAsia="Arial" w:hAnsi="Arial"/>
          <w:sz w:val="16"/>
          <w:szCs w:val="16"/>
          <w:color w:val="auto"/>
        </w:rPr>
        <w:t>adaptive immunity. We are planning IND-enabling studies in T-cell dependent, B-cell mediated diseases, and expect to file an IND with the FDA for this program in 2019.</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6063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60636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current pipeline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 w:firstLine="436"/>
        <w:spacing w:after="0" w:line="239" w:lineRule="auto"/>
        <w:rPr>
          <w:sz w:val="20"/>
          <w:szCs w:val="20"/>
          <w:color w:val="auto"/>
        </w:rPr>
      </w:pPr>
      <w:r>
        <w:rPr>
          <w:rFonts w:ascii="Arial" w:cs="Arial" w:eastAsia="Arial" w:hAnsi="Arial"/>
          <w:sz w:val="16"/>
          <w:szCs w:val="16"/>
          <w:color w:val="auto"/>
        </w:rPr>
        <w:t>In addition to the indications described above, we plan to evaluate rilonacept, mavrilimumab and KPL-716 in other indications. We also plan to be opportunistic in our business development activities to identify and potentially acquire the rights to additional programs. We have also initiated our own internal research efforts to discover and develop molecules to address areas of unmet medical need.</w:t>
      </w:r>
    </w:p>
    <w:p>
      <w:pPr>
        <w:spacing w:after="0" w:line="186" w:lineRule="exact"/>
        <w:rPr>
          <w:sz w:val="20"/>
          <w:szCs w:val="20"/>
          <w:color w:val="auto"/>
        </w:rPr>
      </w:pPr>
    </w:p>
    <w:p>
      <w:pPr>
        <w:ind w:left="200" w:right="100" w:firstLine="436"/>
        <w:spacing w:after="0" w:line="239" w:lineRule="auto"/>
        <w:rPr>
          <w:sz w:val="20"/>
          <w:szCs w:val="20"/>
          <w:color w:val="auto"/>
        </w:rPr>
      </w:pPr>
      <w:r>
        <w:rPr>
          <w:rFonts w:ascii="Arial" w:cs="Arial" w:eastAsia="Arial" w:hAnsi="Arial"/>
          <w:sz w:val="16"/>
          <w:szCs w:val="16"/>
          <w:color w:val="auto"/>
        </w:rPr>
        <w:t>We intend to directly commercialize our product candidates, if approved, in the United States and select international markets. In parallel with our product development timelines, we plan to build our own commercial and operational organizations around the world. We anticipate building targeted medical affairs and sales teams focused on specialist physicians who treat the patient populations addressed by our product candidates.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Team</w:t>
      </w:r>
    </w:p>
    <w:p>
      <w:pPr>
        <w:spacing w:after="0" w:line="210" w:lineRule="exact"/>
        <w:rPr>
          <w:sz w:val="20"/>
          <w:szCs w:val="20"/>
          <w:color w:val="auto"/>
        </w:rPr>
      </w:pPr>
    </w:p>
    <w:p>
      <w:pPr>
        <w:ind w:left="200" w:firstLine="436"/>
        <w:spacing w:after="0" w:line="237" w:lineRule="auto"/>
        <w:rPr>
          <w:sz w:val="20"/>
          <w:szCs w:val="20"/>
          <w:color w:val="auto"/>
        </w:rPr>
      </w:pPr>
      <w:r>
        <w:rPr>
          <w:rFonts w:ascii="Arial" w:cs="Arial" w:eastAsia="Arial" w:hAnsi="Arial"/>
          <w:sz w:val="16"/>
          <w:szCs w:val="16"/>
          <w:color w:val="auto"/>
        </w:rPr>
        <w:t>We have assembled an experienced management team with a successful track record, many of whom have previously worked together at companies that developed and commercialized therapeutics for underserved, rare and specialty-focused patient populations. Our team has expertise across the spectrum of global drug discovery, development, manufacturing and commercialization activities in diseases within both large and orphan indications. Our Chairman and Chief Executive Officer, Sanj K. Patel, has more than 25 years of scientific, clinical and commercial experience in the pharmaceutical and biotechnology industries. Our Chief Medical Officer, John F. Paolini, M.D., Ph.D., has more than 15 years of experience planning, operating and executing clinical development programs across a range of disease indications from orphan diseases to large cardiovascular diseases, and ten years as a practicing cardiologist.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Strategy</w:t>
      </w:r>
    </w:p>
    <w:p>
      <w:pPr>
        <w:spacing w:after="0" w:line="210" w:lineRule="exact"/>
        <w:rPr>
          <w:sz w:val="20"/>
          <w:szCs w:val="20"/>
          <w:color w:val="auto"/>
        </w:rPr>
      </w:pPr>
    </w:p>
    <w:p>
      <w:pPr>
        <w:ind w:left="200" w:right="440" w:firstLine="436"/>
        <w:spacing w:after="0" w:line="239" w:lineRule="auto"/>
        <w:rPr>
          <w:sz w:val="20"/>
          <w:szCs w:val="20"/>
          <w:color w:val="auto"/>
        </w:rPr>
      </w:pPr>
      <w:r>
        <w:rPr>
          <w:rFonts w:ascii="Arial" w:cs="Arial" w:eastAsia="Arial" w:hAnsi="Arial"/>
          <w:sz w:val="16"/>
          <w:szCs w:val="16"/>
          <w:color w:val="auto"/>
        </w:rPr>
        <w:t>Our vision is to build a fully-integrated global biopharmaceutical company by discovering, acquiring, developing and commercializing life-changing therapies for debilitating diseases. We are currently developing a pipeline of novel drug product candidates for the treatment of autoinflammatory and autoimmune diseases, and we aim to be an industry leader in these areas.</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4914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491490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pursuing multiple programs in parallel, with the goal of delivering safe and effective therapies to patients as efficiently as possible.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Critical components of our business strategy include the following:</w:t>
      </w:r>
    </w:p>
    <w:p>
      <w:pPr>
        <w:spacing w:after="0" w:line="182" w:lineRule="exact"/>
        <w:rPr>
          <w:sz w:val="20"/>
          <w:szCs w:val="20"/>
          <w:color w:val="auto"/>
        </w:rPr>
      </w:pPr>
    </w:p>
    <w:p>
      <w:pPr>
        <w:ind w:left="1180" w:right="80" w:hanging="492"/>
        <w:spacing w:after="0" w:line="2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Efficiently and rapidly advance our product candidates through the development process. </w:t>
      </w:r>
      <w:r>
        <w:rPr>
          <w:rFonts w:ascii="Arial" w:cs="Arial" w:eastAsia="Arial" w:hAnsi="Arial"/>
          <w:sz w:val="16"/>
          <w:szCs w:val="16"/>
          <w:color w:val="auto"/>
        </w:rPr>
        <w:t>We believe that our product candidates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potential to address significant unmet medical needs and intend to develop them as efficiently and rapidly as possible. In 2018, we expect to report preliminary Phase 2 data for rilonacept and, if the Phase 2 data are favorable, we plan to initiate a Phase 3 clinical trial for rilonacept in recurrent pericarditis. For KPL-716, we anticipate reporting preliminary data from the single dose cohorts in our Phase 1a/1b clinical trial in normal healthy volunteers and subjects with atopic dermatitis in the second half of 2018. We also expect to initiate a Phase 2 clinical trial of mavrilimumab in GCA in 2018.</w:t>
      </w:r>
    </w:p>
    <w:p>
      <w:pPr>
        <w:spacing w:after="0" w:line="153" w:lineRule="exact"/>
        <w:rPr>
          <w:rFonts w:ascii="Arial" w:cs="Arial" w:eastAsia="Arial" w:hAnsi="Arial"/>
          <w:sz w:val="16"/>
          <w:szCs w:val="16"/>
          <w:color w:val="auto"/>
        </w:rPr>
      </w:pPr>
    </w:p>
    <w:p>
      <w:pPr>
        <w:ind w:left="1180" w:right="40" w:hanging="492"/>
        <w:spacing w:after="0" w:line="2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product candidates to bring new or improved therapies to patients in need. </w:t>
      </w:r>
      <w:r>
        <w:rPr>
          <w:rFonts w:ascii="Arial" w:cs="Arial" w:eastAsia="Arial" w:hAnsi="Arial"/>
          <w:sz w:val="16"/>
          <w:szCs w:val="16"/>
          <w:color w:val="auto"/>
        </w:rPr>
        <w:t>We intend to market and commercialize</w:t>
      </w:r>
      <w:r>
        <w:rPr>
          <w:rFonts w:ascii="Arial" w:cs="Arial" w:eastAsia="Arial" w:hAnsi="Arial"/>
          <w:sz w:val="16"/>
          <w:szCs w:val="16"/>
          <w:b w:val="1"/>
          <w:bCs w:val="1"/>
          <w:color w:val="auto"/>
        </w:rPr>
        <w:t xml:space="preserve"> </w:t>
      </w:r>
      <w:r>
        <w:rPr>
          <w:rFonts w:ascii="Arial" w:cs="Arial" w:eastAsia="Arial" w:hAnsi="Arial"/>
          <w:sz w:val="16"/>
          <w:szCs w:val="16"/>
          <w:color w:val="auto"/>
        </w:rPr>
        <w:t>our product candidates, if approved, in the United States and select international markets by developing our own sales, marketing, medical affairs and reimbursement organizations. We anticipate creating a targeted sales organization that supports specialist physicians who treat these specific patient populations and plan to build out this organization as our product candidates approach potential regulatory approval. We believe this approach will allow us to effectively reach patients and prescribers that our product candidates target and leverage the commercial potential of our product candidates.</w:t>
      </w:r>
    </w:p>
    <w:p>
      <w:pPr>
        <w:spacing w:after="0" w:line="153" w:lineRule="exact"/>
        <w:rPr>
          <w:rFonts w:ascii="Arial" w:cs="Arial" w:eastAsia="Arial" w:hAnsi="Arial"/>
          <w:sz w:val="16"/>
          <w:szCs w:val="16"/>
          <w:color w:val="auto"/>
        </w:rPr>
      </w:pPr>
    </w:p>
    <w:p>
      <w:pPr>
        <w:ind w:left="1180" w:right="100" w:hanging="492"/>
        <w:spacing w:after="0" w:line="245"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Maximize our existing portfolio opportunity by expanding use across multiple indications. </w:t>
      </w:r>
      <w:r>
        <w:rPr>
          <w:rFonts w:ascii="Arial" w:cs="Arial" w:eastAsia="Arial" w:hAnsi="Arial"/>
          <w:sz w:val="16"/>
          <w:szCs w:val="16"/>
          <w:color w:val="auto"/>
        </w:rPr>
        <w:t>A core component of our approach to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is identifying assets that each have the potential to treat multiple diseases. We aim to develop and commercialize our product candidates to produce meaningful impact for patients across all relevant indications. Our assets are designed to specifically modulate signaling pathways that are implicated across a spectrum of autoimmune and autoinflammatory conditions. For example, our lead product candidate, rilonacept, is being studied in recurrent pericarditis, and we believe it may be effective in other IL-1a-mediated diseases characterized by painful serosal inflammation. We also believe that both mavrilimumab and KPL-716 have potential in additional indications.</w:t>
      </w:r>
    </w:p>
    <w:p>
      <w:pPr>
        <w:spacing w:after="0" w:line="163" w:lineRule="exact"/>
        <w:rPr>
          <w:rFonts w:ascii="Arial" w:cs="Arial" w:eastAsia="Arial" w:hAnsi="Arial"/>
          <w:sz w:val="16"/>
          <w:szCs w:val="16"/>
          <w:color w:val="auto"/>
        </w:rPr>
      </w:pPr>
    </w:p>
    <w:p>
      <w:pPr>
        <w:ind w:left="1180" w:hanging="492"/>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value-driven approach to identify, acquire, discover and develop new therapies. </w:t>
      </w:r>
      <w:r>
        <w:rPr>
          <w:rFonts w:ascii="Arial" w:cs="Arial" w:eastAsia="Arial" w:hAnsi="Arial"/>
          <w:sz w:val="16"/>
          <w:szCs w:val="16"/>
          <w:color w:val="auto"/>
        </w:rPr>
        <w:t>We follow a disciplined and methodical</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 to our review of new opportunities. We focus on research-based and comprehensive indication mapping exercises to categorize and prioritize indications of interest. We evaluate a variety of factors for potential product candidates and discovery targets, including biologic rationale for addressing the disease, potential for regulatory approval, commercial viability, intellectual property position, prospects for favorable pricing and reimbursement and the impact of competition. We also look at assets that could potentially address multiple indications. In building our current pipeline, we evaluated a large number of opportunities and negotiated agreements with parties for the assets that met our criteria and have acquired the rights to develop and commercialize five separate biologics. Going forward, we intend to be opportunistic in our business development activities.</w:t>
      </w:r>
    </w:p>
    <w:p>
      <w:pPr>
        <w:spacing w:after="0" w:line="156" w:lineRule="exact"/>
        <w:rPr>
          <w:rFonts w:ascii="Arial" w:cs="Arial" w:eastAsia="Arial" w:hAnsi="Arial"/>
          <w:sz w:val="16"/>
          <w:szCs w:val="16"/>
          <w:color w:val="auto"/>
        </w:rPr>
      </w:pPr>
    </w:p>
    <w:p>
      <w:pPr>
        <w:ind w:left="1180" w:right="220" w:hanging="492"/>
        <w:spacing w:after="0" w:line="246"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Build our core capability in autoimmune and autoinflammatory diseases to establish a leadership position in the field. </w:t>
      </w:r>
      <w:r>
        <w:rPr>
          <w:rFonts w:ascii="Arial" w:cs="Arial" w:eastAsia="Arial" w:hAnsi="Arial"/>
          <w:sz w:val="16"/>
          <w:szCs w:val="16"/>
          <w:color w:val="auto"/>
        </w:rPr>
        <w:t>Our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 consists of protein therapeutics across various stages of drug development, including a cytokine trap, rilonacept, and four monoclonal antibodies—mavrilimumab, KPL-716, KPL-045 and KPL-404. Both categories of therapeutics functionally inhibit signaling pathways that are implicated in autoinflammatory-</w:t>
      </w: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4570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45700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180" w:right="180"/>
        <w:spacing w:after="0" w:line="241" w:lineRule="auto"/>
        <w:rPr>
          <w:sz w:val="20"/>
          <w:szCs w:val="20"/>
          <w:color w:val="auto"/>
        </w:rPr>
      </w:pPr>
      <w:r>
        <w:rPr>
          <w:rFonts w:ascii="Arial" w:cs="Arial" w:eastAsia="Arial" w:hAnsi="Arial"/>
          <w:sz w:val="16"/>
          <w:szCs w:val="16"/>
          <w:color w:val="auto"/>
        </w:rPr>
        <w:t>or autoimmune-driven pathologies. We intend to leverage our internal discovery efforts and business development capabilities to complement our existing portfolio to build our core capability and establish a leadership position in the field.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Capital Structure</w:t>
      </w:r>
    </w:p>
    <w:p>
      <w:pPr>
        <w:spacing w:after="0" w:line="210" w:lineRule="exact"/>
        <w:rPr>
          <w:sz w:val="20"/>
          <w:szCs w:val="20"/>
          <w:color w:val="auto"/>
        </w:rPr>
      </w:pPr>
    </w:p>
    <w:p>
      <w:pPr>
        <w:ind w:left="200" w:firstLine="436"/>
        <w:spacing w:after="0" w:line="237" w:lineRule="auto"/>
        <w:rPr>
          <w:sz w:val="20"/>
          <w:szCs w:val="20"/>
          <w:color w:val="auto"/>
        </w:rPr>
      </w:pPr>
      <w:r>
        <w:rPr>
          <w:rFonts w:ascii="Arial" w:cs="Arial" w:eastAsia="Arial" w:hAnsi="Arial"/>
          <w:sz w:val="16"/>
          <w:szCs w:val="16"/>
          <w:color w:val="auto"/>
        </w:rPr>
        <w:t>Following this offering, we will have four classes of common shares: Class A, Class A1, Class B and Class B1. All classes of our common shares will be economically equivalent to each other. The rights of the holders of our Class A common shares, Class A1 common shares, Class B common shares and Class B1 common shares will be identical, except with respect to voting, conversion and transferability. Holders of our Class A common shares — the only class of common shares being sold in this offering — will be entitled to one vote per Class A common share, while holders of our Class B common shares will be entitled to ten votes per Class B common share. Our Class A1 common shares and Class B1 common shares will have no associated voting rights. Following this offering, the Class A common shares will account for 24.1% of our aggregate voting power and the Class B common shares will account for the remaining 75.9% of the aggregate voting power. In addition, the number of Class A1 common shares to be outstanding after this offering will be 12,995,954 and the number of Class B1 common shares to be outstanding after this offering will be 16,057,618. See "Principal Shareholders" and "Description of Share Capital" for more information on beneficial ownership immediately following this offering.</w:t>
      </w:r>
    </w:p>
    <w:p>
      <w:pPr>
        <w:spacing w:after="0" w:line="186" w:lineRule="exact"/>
        <w:rPr>
          <w:sz w:val="20"/>
          <w:szCs w:val="20"/>
          <w:color w:val="auto"/>
        </w:rPr>
      </w:pPr>
    </w:p>
    <w:p>
      <w:pPr>
        <w:ind w:left="200" w:firstLine="427"/>
        <w:spacing w:after="0" w:line="236" w:lineRule="auto"/>
        <w:rPr>
          <w:sz w:val="20"/>
          <w:szCs w:val="20"/>
          <w:color w:val="auto"/>
        </w:rPr>
      </w:pPr>
      <w:r>
        <w:rPr>
          <w:rFonts w:ascii="Arial" w:cs="Arial" w:eastAsia="Arial" w:hAnsi="Arial"/>
          <w:sz w:val="16"/>
          <w:szCs w:val="16"/>
          <w:color w:val="auto"/>
        </w:rPr>
        <w:t>As a result of the Class A common shares and Class B common shares that they will hold upon the closing of this offering, our executive officers and certain other members of our senior management will be able to exercise voting rights with respect to an aggregate of 856,166 Class A common shares and 4,244,005 Class B common shares, which will collectively represent 70.8% of the voting power of our outstanding share capital immediately following this offering. As a result, our executive officers and certain other members of our senior management will have the ability to control the outcome of all matters submitted to our shareholders for approval, including the election, removal, and replacement of directors and any merger, consolidation, or sale of all or substantially all of our assets. However, this percentage may change depending on any conversion of Class A1 common shares, Class B1 common shares or Class B common shares. Each holder of Class A1 common shares may elect to convert its Class A1 common shares into voting Class A common shares at any time, unless, immediately prior to or following such conversion, the holder and its affiliates beneficially own, or would beneficially own, more than 4.99% of the issued and outstanding Class A common shares. Each holder of Class B1 common shares may elect to convert its Class B1 common shares into voting Class A common shares or Class B common shares at any time, unless, immediately prior to or following such conversion, the holder and its affiliates beneficially own, or would beneficially own, more than 4.99% of the issued and outstanding Class A common shares. Any such holder of Class A1 common shares or Class B1 common shares will have the right to increase, decrease or waive this beneficial ownership limitation at its sole discretion by providing us with 61-days' prior written notice. As a result, upon 61-days' prior written notice, entities managed by Baker Bros. Advisors LP could convert their Class A1 common shares and Class B1 common shares into Class A common shares and Class B common shares, respectively, which in the aggregate would result in such entities holding 73.4% of the voting power of our outstanding share capital following this offering.</w:t>
      </w:r>
    </w:p>
    <w:p>
      <w:pPr>
        <w:spacing w:after="0" w:line="193" w:lineRule="exact"/>
        <w:rPr>
          <w:sz w:val="20"/>
          <w:szCs w:val="20"/>
          <w:color w:val="auto"/>
        </w:rPr>
      </w:pPr>
    </w:p>
    <w:p>
      <w:pPr>
        <w:ind w:left="200" w:firstLine="433"/>
        <w:spacing w:after="0" w:line="238" w:lineRule="auto"/>
        <w:rPr>
          <w:sz w:val="20"/>
          <w:szCs w:val="20"/>
          <w:color w:val="auto"/>
        </w:rPr>
      </w:pPr>
      <w:r>
        <w:rPr>
          <w:rFonts w:ascii="Arial" w:cs="Arial" w:eastAsia="Arial" w:hAnsi="Arial"/>
          <w:sz w:val="16"/>
          <w:szCs w:val="16"/>
          <w:color w:val="auto"/>
        </w:rPr>
        <w:t>This concentrated control could delay, defer, or prevent a change of control, merger, consolidation, or sale of all or substantially all of our assets that our other shareholders support. Conversely, this concentrated control could allow our executive officers and certain other members of our senior management to consummate a transaction that our other shareholders do not support. See "Risk Factors — Risks Related to Our Common Shares and This Offering — After this</w:t>
      </w:r>
    </w:p>
    <w:p>
      <w:pPr>
        <w:spacing w:after="0" w:line="200" w:lineRule="exact"/>
        <w:rPr>
          <w:sz w:val="20"/>
          <w:szCs w:val="20"/>
          <w:color w:val="auto"/>
        </w:rPr>
      </w:pP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40"/>
          </w:cols>
          <w:pgMar w:left="240" w:top="142" w:right="5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61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56197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right="240"/>
        <w:spacing w:after="0" w:line="241" w:lineRule="auto"/>
        <w:rPr>
          <w:sz w:val="20"/>
          <w:szCs w:val="20"/>
          <w:color w:val="auto"/>
        </w:rPr>
      </w:pPr>
      <w:r>
        <w:rPr>
          <w:rFonts w:ascii="Arial" w:cs="Arial" w:eastAsia="Arial" w:hAnsi="Arial"/>
          <w:sz w:val="16"/>
          <w:szCs w:val="16"/>
          <w:color w:val="auto"/>
        </w:rPr>
        <w:t>offering, our executive officers and certain other members of our senior management will have the ability to control all matters submitted to shareholders for approval."</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Risks Associated with Our Business</w:t>
      </w:r>
    </w:p>
    <w:p>
      <w:pPr>
        <w:spacing w:after="0" w:line="210" w:lineRule="exact"/>
        <w:rPr>
          <w:sz w:val="20"/>
          <w:szCs w:val="20"/>
          <w:color w:val="auto"/>
        </w:rPr>
      </w:pPr>
    </w:p>
    <w:p>
      <w:pPr>
        <w:ind w:left="200" w:right="300" w:firstLine="436"/>
        <w:spacing w:after="0" w:line="241"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immediately following this prospectus summary. Some of these risks are:</w:t>
      </w:r>
    </w:p>
    <w:p>
      <w:pPr>
        <w:spacing w:after="0" w:line="197" w:lineRule="exact"/>
        <w:rPr>
          <w:sz w:val="20"/>
          <w:szCs w:val="20"/>
          <w:color w:val="auto"/>
        </w:rPr>
      </w:pPr>
    </w:p>
    <w:p>
      <w:pPr>
        <w:ind w:left="1180" w:right="18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73" w:lineRule="exact"/>
        <w:rPr>
          <w:rFonts w:ascii="Arial" w:cs="Arial" w:eastAsia="Arial" w:hAnsi="Arial"/>
          <w:sz w:val="16"/>
          <w:szCs w:val="16"/>
          <w:color w:val="auto"/>
        </w:rPr>
      </w:pPr>
    </w:p>
    <w:p>
      <w:pPr>
        <w:ind w:left="1180" w:hanging="492"/>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successful in our efforts to identify, discover, develop or acquire additional product candidates;</w:t>
      </w:r>
    </w:p>
    <w:p>
      <w:pPr>
        <w:spacing w:after="0" w:line="177" w:lineRule="exact"/>
        <w:rPr>
          <w:rFonts w:ascii="Arial" w:cs="Arial" w:eastAsia="Arial" w:hAnsi="Arial"/>
          <w:sz w:val="16"/>
          <w:szCs w:val="16"/>
          <w:color w:val="auto"/>
        </w:rPr>
      </w:pPr>
    </w:p>
    <w:p>
      <w:pPr>
        <w:ind w:left="1180" w:right="12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heavily on the success of our product candidates and cannot give any assurance that our product candidates will receive regulatory approval for any indication, which is necessary before they can be commercialized;</w:t>
      </w:r>
    </w:p>
    <w:p>
      <w:pPr>
        <w:spacing w:after="0" w:line="185" w:lineRule="exact"/>
        <w:rPr>
          <w:rFonts w:ascii="Arial" w:cs="Arial" w:eastAsia="Arial" w:hAnsi="Arial"/>
          <w:sz w:val="16"/>
          <w:szCs w:val="16"/>
          <w:color w:val="auto"/>
        </w:rPr>
      </w:pPr>
    </w:p>
    <w:p>
      <w:pPr>
        <w:ind w:left="1180" w:right="20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174" w:lineRule="exact"/>
        <w:rPr>
          <w:rFonts w:ascii="Arial" w:cs="Arial" w:eastAsia="Arial" w:hAnsi="Arial"/>
          <w:sz w:val="16"/>
          <w:szCs w:val="16"/>
          <w:color w:val="auto"/>
        </w:rPr>
      </w:pPr>
    </w:p>
    <w:p>
      <w:pPr>
        <w:ind w:left="1180" w:right="40" w:hanging="492"/>
        <w:spacing w:after="0" w:line="238"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had no involvement with or control over the pre-clinical and clinical development of our current product candidates prior to our acquisition of them, and we are dependent on the parties from whom we licensed or acquired such product candidates having conducted their research and development in accordance with the applicable protocols and standards, accurately reported the results of all clinical trials conducted prior to our acquisition and correctly collected and interpreted the data from these trials;</w:t>
      </w:r>
    </w:p>
    <w:p>
      <w:pPr>
        <w:spacing w:after="0" w:line="174" w:lineRule="exact"/>
        <w:rPr>
          <w:rFonts w:ascii="Arial" w:cs="Arial" w:eastAsia="Arial" w:hAnsi="Arial"/>
          <w:sz w:val="16"/>
          <w:szCs w:val="16"/>
          <w:color w:val="auto"/>
        </w:rPr>
      </w:pPr>
    </w:p>
    <w:p>
      <w:pPr>
        <w:ind w:left="1180" w:right="18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acquired product candidates with positive clinical data in diseases other than our target indications, and we cannot be certain that our product candidates will prove to be effective in treating our target indications;</w:t>
      </w:r>
    </w:p>
    <w:p>
      <w:pPr>
        <w:spacing w:after="0" w:line="185" w:lineRule="exact"/>
        <w:rPr>
          <w:rFonts w:ascii="Arial" w:cs="Arial" w:eastAsia="Arial" w:hAnsi="Arial"/>
          <w:sz w:val="16"/>
          <w:szCs w:val="16"/>
          <w:color w:val="auto"/>
        </w:rPr>
      </w:pPr>
    </w:p>
    <w:p>
      <w:pPr>
        <w:ind w:left="1180" w:right="2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to conduct our clinical trials and to manufacture our product candidates for pre-clinical and clinical testing, including our sole source of supply for each of our active pharmaceutical ingredients, and those third parties may not perform satisfactorily, which could delay our product development activities;</w:t>
      </w:r>
    </w:p>
    <w:p>
      <w:pPr>
        <w:spacing w:after="0" w:line="174" w:lineRule="exact"/>
        <w:rPr>
          <w:rFonts w:ascii="Arial" w:cs="Arial" w:eastAsia="Arial" w:hAnsi="Arial"/>
          <w:sz w:val="16"/>
          <w:szCs w:val="16"/>
          <w:color w:val="auto"/>
        </w:rPr>
      </w:pPr>
    </w:p>
    <w:p>
      <w:pPr>
        <w:ind w:left="118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of our product candidates have been licensed or acquired from other parties; if we are unable to adequately protect our product candidates, or to secure and maintain freedom to operate, others could preclude us from commercializing our product candidates or compete against us more directly;</w:t>
      </w:r>
    </w:p>
    <w:p>
      <w:pPr>
        <w:spacing w:after="0" w:line="174" w:lineRule="exact"/>
        <w:rPr>
          <w:rFonts w:ascii="Arial" w:cs="Arial" w:eastAsia="Arial" w:hAnsi="Arial"/>
          <w:sz w:val="16"/>
          <w:szCs w:val="16"/>
          <w:color w:val="auto"/>
        </w:rPr>
      </w:pPr>
    </w:p>
    <w:p>
      <w:pPr>
        <w:ind w:left="1180" w:hanging="492"/>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significant competition from other biotechnology and pharmaceutical companies;</w:t>
      </w:r>
    </w:p>
    <w:p>
      <w:pPr>
        <w:spacing w:after="0" w:line="189" w:lineRule="exact"/>
        <w:rPr>
          <w:rFonts w:ascii="Arial" w:cs="Arial" w:eastAsia="Arial" w:hAnsi="Arial"/>
          <w:sz w:val="16"/>
          <w:szCs w:val="16"/>
          <w:color w:val="auto"/>
        </w:rPr>
      </w:pPr>
    </w:p>
    <w:p>
      <w:pPr>
        <w:ind w:left="1180" w:right="36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concentration of ownership of the voting power of our common shares may prevent new investors in this offering from influencing significant corporate decisions and may have an adverse effect on the price of our Class A common shares; and</w:t>
      </w:r>
    </w:p>
    <w:p>
      <w:pPr>
        <w:spacing w:after="0" w:line="173" w:lineRule="exact"/>
        <w:rPr>
          <w:rFonts w:ascii="Arial" w:cs="Arial" w:eastAsia="Arial" w:hAnsi="Arial"/>
          <w:sz w:val="16"/>
          <w:szCs w:val="16"/>
          <w:color w:val="auto"/>
        </w:rPr>
      </w:pPr>
    </w:p>
    <w:p>
      <w:pPr>
        <w:ind w:left="1180" w:right="4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likely be classified as a passive foreign investment company and we believe we have been classified as a controlled foreign corporation in the current taxable year and may be classified as a passive foreign investment company or controlled foreign corporation in any future taxable year, which may result in adverse U.S. federal income tax consequences to U.S. holders of our Class A common shares.</w:t>
      </w: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175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517525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Corporate Information</w:t>
      </w:r>
    </w:p>
    <w:p>
      <w:pPr>
        <w:spacing w:after="0" w:line="210" w:lineRule="exact"/>
        <w:rPr>
          <w:sz w:val="20"/>
          <w:szCs w:val="20"/>
          <w:color w:val="auto"/>
        </w:rPr>
      </w:pPr>
    </w:p>
    <w:p>
      <w:pPr>
        <w:ind w:left="200" w:right="40" w:firstLine="436"/>
        <w:spacing w:after="0" w:line="258" w:lineRule="auto"/>
        <w:rPr>
          <w:sz w:val="20"/>
          <w:szCs w:val="20"/>
          <w:color w:val="auto"/>
        </w:rPr>
      </w:pPr>
      <w:r>
        <w:rPr>
          <w:rFonts w:ascii="Arial" w:cs="Arial" w:eastAsia="Arial" w:hAnsi="Arial"/>
          <w:sz w:val="15"/>
          <w:szCs w:val="15"/>
          <w:color w:val="auto"/>
        </w:rPr>
        <w:t xml:space="preserve">We are an exempted company incorporated under the laws of Bermuda in July 2015. Our registered office is located in Bermuda at Clarendon House, 2 Church Street, Hamilton HM11, Bermuda. The telephone number of our registered office is +1 (441) 295-5950. Our website address is </w:t>
      </w:r>
      <w:r>
        <w:rPr>
          <w:rFonts w:ascii="Arial" w:cs="Arial" w:eastAsia="Arial" w:hAnsi="Arial"/>
          <w:sz w:val="15"/>
          <w:szCs w:val="15"/>
          <w:i w:val="1"/>
          <w:iCs w:val="1"/>
          <w:color w:val="auto"/>
        </w:rPr>
        <w:t>www.kiniksa.com</w:t>
      </w:r>
      <w:r>
        <w:rPr>
          <w:rFonts w:ascii="Arial" w:cs="Arial" w:eastAsia="Arial" w:hAnsi="Arial"/>
          <w:sz w:val="15"/>
          <w:szCs w:val="15"/>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Class A common shares.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10" w:lineRule="exact"/>
        <w:rPr>
          <w:sz w:val="20"/>
          <w:szCs w:val="20"/>
          <w:color w:val="auto"/>
        </w:rPr>
      </w:pPr>
    </w:p>
    <w:p>
      <w:pPr>
        <w:ind w:left="200" w:right="40" w:firstLine="436"/>
        <w:spacing w:after="0" w:line="239" w:lineRule="auto"/>
        <w:rPr>
          <w:sz w:val="20"/>
          <w:szCs w:val="20"/>
          <w:color w:val="auto"/>
        </w:rPr>
      </w:pPr>
      <w:r>
        <w:rPr>
          <w:rFonts w:ascii="Arial" w:cs="Arial" w:eastAsia="Arial" w:hAnsi="Arial"/>
          <w:sz w:val="16"/>
          <w:szCs w:val="16"/>
          <w:color w:val="auto"/>
        </w:rPr>
        <w:t>We qualify as an "emerging growth company" as defined in Section 2(a) of the Securities Act of 1933, as amended, or the Securities Act, as modified by the Jumpstart Our Business Startups Act of 2012, or the JOBS Act. An "emerging growth company" may take advantage of exemptions from some of the reporting requirements that are otherwise applicable to public companies. These exceptions include:</w:t>
      </w:r>
    </w:p>
    <w:p>
      <w:pPr>
        <w:spacing w:after="0" w:line="198" w:lineRule="exact"/>
        <w:rPr>
          <w:sz w:val="20"/>
          <w:szCs w:val="20"/>
          <w:color w:val="auto"/>
        </w:rPr>
      </w:pPr>
    </w:p>
    <w:p>
      <w:pPr>
        <w:ind w:left="1180" w:right="60" w:hanging="492"/>
        <w:spacing w:after="0" w:line="23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4" w:lineRule="exact"/>
        <w:rPr>
          <w:rFonts w:ascii="Arial" w:cs="Arial" w:eastAsia="Arial" w:hAnsi="Arial"/>
          <w:sz w:val="16"/>
          <w:szCs w:val="16"/>
          <w:color w:val="auto"/>
        </w:rPr>
      </w:pPr>
    </w:p>
    <w:p>
      <w:pPr>
        <w:ind w:left="1180" w:hanging="492"/>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177" w:lineRule="exact"/>
        <w:rPr>
          <w:rFonts w:ascii="Arial" w:cs="Arial" w:eastAsia="Arial" w:hAnsi="Arial"/>
          <w:sz w:val="16"/>
          <w:szCs w:val="16"/>
          <w:color w:val="auto"/>
        </w:rPr>
      </w:pPr>
    </w:p>
    <w:p>
      <w:pPr>
        <w:ind w:left="1180" w:right="80" w:hanging="492"/>
        <w:spacing w:after="0" w:line="24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compliance with the requirement of the Public Company Accounting Oversight Board regarding the communication of critical audit matters in the auditor's report on the financial statements;</w:t>
      </w:r>
    </w:p>
    <w:p>
      <w:pPr>
        <w:spacing w:after="0" w:line="185" w:lineRule="exact"/>
        <w:rPr>
          <w:rFonts w:ascii="Arial" w:cs="Arial" w:eastAsia="Arial" w:hAnsi="Arial"/>
          <w:sz w:val="16"/>
          <w:szCs w:val="16"/>
          <w:color w:val="auto"/>
        </w:rPr>
      </w:pPr>
    </w:p>
    <w:p>
      <w:pPr>
        <w:ind w:left="1180" w:hanging="492"/>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77" w:lineRule="exact"/>
        <w:rPr>
          <w:rFonts w:ascii="Arial" w:cs="Arial" w:eastAsia="Arial" w:hAnsi="Arial"/>
          <w:sz w:val="16"/>
          <w:szCs w:val="16"/>
          <w:color w:val="auto"/>
        </w:rPr>
      </w:pPr>
    </w:p>
    <w:p>
      <w:pPr>
        <w:ind w:left="1180" w:right="260" w:hanging="492"/>
        <w:spacing w:after="0" w:line="24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200" w:firstLine="436"/>
        <w:spacing w:after="0" w:line="236" w:lineRule="auto"/>
        <w:rPr>
          <w:sz w:val="20"/>
          <w:szCs w:val="20"/>
          <w:color w:val="auto"/>
        </w:rPr>
      </w:pPr>
      <w:r>
        <w:rPr>
          <w:rFonts w:ascii="Arial" w:cs="Arial" w:eastAsia="Arial" w:hAnsi="Arial"/>
          <w:sz w:val="16"/>
          <w:szCs w:val="16"/>
          <w:color w:val="auto"/>
        </w:rPr>
        <w:t>We may take advantage of these exemptions until the last day of our fiscal year following the fifth anniversary of the closing of this offering. However, we will cease to be an emerging growth company prior to the end of such five-year period if (i) we become a "large accelerated filer" as defined in Rule 12b-2 under the Securities Exchange Act of 1934, as amended, which would occur if the market value of our common equity held by non-affiliates exceeds</w:t>
      </w:r>
    </w:p>
    <w:p>
      <w:pPr>
        <w:ind w:left="200" w:right="280"/>
        <w:spacing w:after="0" w:line="241" w:lineRule="auto"/>
        <w:rPr>
          <w:sz w:val="20"/>
          <w:szCs w:val="20"/>
          <w:color w:val="auto"/>
        </w:rPr>
      </w:pPr>
      <w:r>
        <w:rPr>
          <w:rFonts w:ascii="Arial" w:cs="Arial" w:eastAsia="Arial" w:hAnsi="Arial"/>
          <w:sz w:val="16"/>
          <w:szCs w:val="16"/>
          <w:color w:val="auto"/>
        </w:rPr>
        <w:t>$700 million as of the last business day of our most recently completed second fiscal quarter; (ii) our annual gross revenue exceeds $1.07 billion; or (iii) we issue more than $1.0 billion of non-convertible debt in any three-year period.</w:t>
      </w:r>
    </w:p>
    <w:p>
      <w:pPr>
        <w:spacing w:after="0" w:line="185" w:lineRule="exact"/>
        <w:rPr>
          <w:sz w:val="20"/>
          <w:szCs w:val="20"/>
          <w:color w:val="auto"/>
        </w:rPr>
      </w:pPr>
    </w:p>
    <w:p>
      <w:pPr>
        <w:ind w:left="200" w:right="60" w:firstLine="436"/>
        <w:spacing w:after="0" w:line="239"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future filings. As a result, the information that we provide to our shareholders may be different than you might receive from other public reporting companies in which you hold equity interests.</w:t>
      </w:r>
    </w:p>
    <w:p>
      <w:pPr>
        <w:spacing w:after="0" w:line="186" w:lineRule="exact"/>
        <w:rPr>
          <w:sz w:val="20"/>
          <w:szCs w:val="20"/>
          <w:color w:val="auto"/>
        </w:rPr>
      </w:pPr>
    </w:p>
    <w:p>
      <w:pPr>
        <w:ind w:left="200" w:right="300" w:firstLine="436"/>
        <w:spacing w:after="0" w:line="23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75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575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1440"/>
          </w:cols>
          <w:pgMar w:left="240" w:top="142" w:right="219" w:bottom="1440" w:gutter="0" w:footer="0" w:header="0"/>
        </w:sectPr>
      </w:pP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Class A common shares offered by us</w:t>
      </w:r>
    </w:p>
    <w:p>
      <w:pPr>
        <w:spacing w:after="0" w:line="190" w:lineRule="exact"/>
        <w:rPr>
          <w:sz w:val="20"/>
          <w:szCs w:val="20"/>
          <w:color w:val="auto"/>
        </w:rPr>
      </w:pPr>
    </w:p>
    <w:p>
      <w:pPr>
        <w:ind w:left="1320"/>
        <w:spacing w:after="0" w:line="541" w:lineRule="auto"/>
        <w:rPr>
          <w:sz w:val="20"/>
          <w:szCs w:val="20"/>
          <w:color w:val="auto"/>
        </w:rPr>
      </w:pPr>
      <w:r>
        <w:rPr>
          <w:rFonts w:ascii="Arial" w:cs="Arial" w:eastAsia="Arial" w:hAnsi="Arial"/>
          <w:sz w:val="15"/>
          <w:szCs w:val="15"/>
          <w:color w:val="auto"/>
        </w:rPr>
        <w:t>Option to purchase additional Class A common shares Class A common shares to be outstanding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8,477,777 shares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1,271,666 shares</w:t>
      </w:r>
    </w:p>
    <w:p>
      <w:pPr>
        <w:spacing w:after="0" w:line="190" w:lineRule="exact"/>
        <w:rPr>
          <w:sz w:val="20"/>
          <w:szCs w:val="20"/>
          <w:color w:val="auto"/>
        </w:rPr>
      </w:pPr>
    </w:p>
    <w:p>
      <w:pPr>
        <w:ind w:right="1340"/>
        <w:spacing w:after="0" w:line="239" w:lineRule="auto"/>
        <w:rPr>
          <w:sz w:val="20"/>
          <w:szCs w:val="20"/>
          <w:color w:val="auto"/>
        </w:rPr>
      </w:pPr>
      <w:r>
        <w:rPr>
          <w:rFonts w:ascii="Arial" w:cs="Arial" w:eastAsia="Arial" w:hAnsi="Arial"/>
          <w:sz w:val="16"/>
          <w:szCs w:val="16"/>
          <w:color w:val="auto"/>
        </w:rPr>
        <w:t>14,748,346 shares (16,020,012 shares if the underwriters exercise their option to purchase additional Class A common shares in full)</w:t>
      </w:r>
    </w:p>
    <w:p>
      <w:pPr>
        <w:spacing w:after="0" w:line="186" w:lineRule="exact"/>
        <w:rPr>
          <w:sz w:val="20"/>
          <w:szCs w:val="20"/>
          <w:color w:val="auto"/>
        </w:rPr>
      </w:pPr>
    </w:p>
    <w:p>
      <w:pPr>
        <w:sectPr>
          <w:pgSz w:w="11900" w:h="16838" w:orient="portrait"/>
          <w:cols w:equalWidth="0" w:num="2">
            <w:col w:w="5460" w:space="440"/>
            <w:col w:w="5540"/>
          </w:cols>
          <w:pgMar w:left="240" w:top="142" w:right="21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Class B common shares to be outstanding after this offering</w:t>
      </w:r>
    </w:p>
    <w:p>
      <w:pPr>
        <w:spacing w:after="0" w:line="201" w:lineRule="exact"/>
        <w:rPr>
          <w:sz w:val="20"/>
          <w:szCs w:val="20"/>
          <w:color w:val="auto"/>
        </w:rPr>
      </w:pPr>
    </w:p>
    <w:p>
      <w:pPr>
        <w:ind w:left="1460" w:right="480" w:hanging="144"/>
        <w:spacing w:after="0" w:line="241" w:lineRule="auto"/>
        <w:rPr>
          <w:sz w:val="20"/>
          <w:szCs w:val="20"/>
          <w:color w:val="auto"/>
        </w:rPr>
      </w:pPr>
      <w:r>
        <w:rPr>
          <w:rFonts w:ascii="Arial" w:cs="Arial" w:eastAsia="Arial" w:hAnsi="Arial"/>
          <w:sz w:val="16"/>
          <w:szCs w:val="16"/>
          <w:color w:val="auto"/>
        </w:rPr>
        <w:t>Class A1 common shares to be outstanding after this offering</w:t>
      </w:r>
    </w:p>
    <w:p>
      <w:pPr>
        <w:spacing w:after="0" w:line="185" w:lineRule="exact"/>
        <w:rPr>
          <w:sz w:val="20"/>
          <w:szCs w:val="20"/>
          <w:color w:val="auto"/>
        </w:rPr>
      </w:pPr>
    </w:p>
    <w:p>
      <w:pPr>
        <w:ind w:left="1460" w:right="480" w:hanging="144"/>
        <w:spacing w:after="0" w:line="241" w:lineRule="auto"/>
        <w:rPr>
          <w:sz w:val="20"/>
          <w:szCs w:val="20"/>
          <w:color w:val="auto"/>
        </w:rPr>
      </w:pPr>
      <w:r>
        <w:rPr>
          <w:rFonts w:ascii="Arial" w:cs="Arial" w:eastAsia="Arial" w:hAnsi="Arial"/>
          <w:sz w:val="16"/>
          <w:szCs w:val="16"/>
          <w:color w:val="auto"/>
        </w:rPr>
        <w:t>Class B1 common shares to be outstanding after this offering</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Total common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4,638,855 shares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12,995,954 shares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16,057,618 shares</w:t>
      </w:r>
    </w:p>
    <w:p>
      <w:pPr>
        <w:spacing w:after="0" w:line="190" w:lineRule="exact"/>
        <w:rPr>
          <w:sz w:val="20"/>
          <w:szCs w:val="20"/>
          <w:color w:val="auto"/>
        </w:rPr>
      </w:pPr>
    </w:p>
    <w:p>
      <w:pPr>
        <w:ind w:right="1340"/>
        <w:spacing w:after="0" w:line="239" w:lineRule="auto"/>
        <w:rPr>
          <w:sz w:val="20"/>
          <w:szCs w:val="20"/>
          <w:color w:val="auto"/>
        </w:rPr>
      </w:pPr>
      <w:r>
        <w:rPr>
          <w:rFonts w:ascii="Arial" w:cs="Arial" w:eastAsia="Arial" w:hAnsi="Arial"/>
          <w:sz w:val="16"/>
          <w:szCs w:val="16"/>
          <w:color w:val="auto"/>
        </w:rPr>
        <w:t>48,440,773 shares (49,712,439 shares if the underwriters exercise their option to purchase additional Class A common shares in full)</w:t>
      </w:r>
    </w:p>
    <w:p>
      <w:pPr>
        <w:spacing w:after="0" w:line="183" w:lineRule="exact"/>
        <w:rPr>
          <w:sz w:val="20"/>
          <w:szCs w:val="20"/>
          <w:color w:val="auto"/>
        </w:rPr>
      </w:pPr>
    </w:p>
    <w:p>
      <w:pPr>
        <w:sectPr>
          <w:pgSz w:w="11900" w:h="16838" w:orient="portrait"/>
          <w:cols w:equalWidth="0" w:num="2">
            <w:col w:w="5460" w:space="440"/>
            <w:col w:w="5540"/>
          </w:cols>
          <w:pgMar w:left="240" w:top="142" w:right="2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060" w:type="dxa"/>
            <w:vAlign w:val="bottom"/>
          </w:tcPr>
          <w:p>
            <w:pPr>
              <w:ind w:left="1320"/>
              <w:spacing w:after="0"/>
              <w:rPr>
                <w:sz w:val="20"/>
                <w:szCs w:val="20"/>
                <w:color w:val="auto"/>
              </w:rPr>
            </w:pPr>
            <w:r>
              <w:rPr>
                <w:rFonts w:ascii="Arial" w:cs="Arial" w:eastAsia="Arial" w:hAnsi="Arial"/>
                <w:sz w:val="16"/>
                <w:szCs w:val="16"/>
                <w:color w:val="auto"/>
              </w:rPr>
              <w:t>Voting rights</w:t>
            </w:r>
          </w:p>
        </w:tc>
        <w:tc>
          <w:tcPr>
            <w:tcW w:w="7380" w:type="dxa"/>
            <w:vAlign w:val="bottom"/>
          </w:tcPr>
          <w:p>
            <w:pPr>
              <w:ind w:left="1840"/>
              <w:spacing w:after="0"/>
              <w:rPr>
                <w:sz w:val="20"/>
                <w:szCs w:val="20"/>
                <w:color w:val="auto"/>
              </w:rPr>
            </w:pPr>
            <w:r>
              <w:rPr>
                <w:rFonts w:ascii="Arial" w:cs="Arial" w:eastAsia="Arial" w:hAnsi="Arial"/>
                <w:sz w:val="16"/>
                <w:szCs w:val="16"/>
                <w:color w:val="auto"/>
              </w:rPr>
              <w:t>Following this offering, we will have four classes of common</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shares outstanding: Class A common shares, Class A1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Class B common shares and Class B1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Each Class A common share will entitle its</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holder to one vote per Class A common share. Each Class B</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 will entitle its holder to ten votes per Class B</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 Our Class A1 common shares and Class B1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will not have voting rights. Immediately</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following this offering, the holders of our Class A common</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shares will account for 24.1% of our aggregate voting power</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and the holders of our Class B common shares will account</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for the remaining 75.9% of our aggregate voting power. See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"Principal Shareholders" and "Description of Share Capital"</w:t>
            </w:r>
          </w:p>
        </w:tc>
      </w:tr>
      <w:tr>
        <w:trPr>
          <w:trHeight w:val="188"/>
        </w:trPr>
        <w:tc>
          <w:tcPr>
            <w:tcW w:w="4060" w:type="dxa"/>
            <w:vAlign w:val="bottom"/>
          </w:tcPr>
          <w:p>
            <w:pPr>
              <w:spacing w:after="0"/>
              <w:rPr>
                <w:sz w:val="16"/>
                <w:szCs w:val="16"/>
                <w:color w:val="auto"/>
              </w:rPr>
            </w:pPr>
          </w:p>
        </w:tc>
        <w:tc>
          <w:tcPr>
            <w:tcW w:w="7380" w:type="dxa"/>
            <w:vAlign w:val="bottom"/>
          </w:tcPr>
          <w:p>
            <w:pPr>
              <w:ind w:left="1840"/>
              <w:spacing w:after="0"/>
              <w:rPr>
                <w:sz w:val="20"/>
                <w:szCs w:val="20"/>
                <w:color w:val="auto"/>
              </w:rPr>
            </w:pPr>
            <w:r>
              <w:rPr>
                <w:rFonts w:ascii="Arial" w:cs="Arial" w:eastAsia="Arial" w:hAnsi="Arial"/>
                <w:sz w:val="16"/>
                <w:szCs w:val="16"/>
                <w:color w:val="auto"/>
              </w:rPr>
              <w:t>for additional information.</w:t>
            </w:r>
          </w:p>
        </w:tc>
      </w:tr>
      <w:tr>
        <w:trPr>
          <w:trHeight w:val="367"/>
        </w:trPr>
        <w:tc>
          <w:tcPr>
            <w:tcW w:w="4060" w:type="dxa"/>
            <w:vAlign w:val="bottom"/>
          </w:tcPr>
          <w:p>
            <w:pPr>
              <w:ind w:left="1320"/>
              <w:spacing w:after="0"/>
              <w:rPr>
                <w:sz w:val="20"/>
                <w:szCs w:val="20"/>
                <w:color w:val="auto"/>
              </w:rPr>
            </w:pPr>
            <w:r>
              <w:rPr>
                <w:rFonts w:ascii="Arial" w:cs="Arial" w:eastAsia="Arial" w:hAnsi="Arial"/>
                <w:sz w:val="16"/>
                <w:szCs w:val="16"/>
                <w:color w:val="auto"/>
              </w:rPr>
              <w:t>Use of proceeds</w:t>
            </w:r>
          </w:p>
        </w:tc>
        <w:tc>
          <w:tcPr>
            <w:tcW w:w="7380" w:type="dxa"/>
            <w:vAlign w:val="bottom"/>
          </w:tcPr>
          <w:p>
            <w:pPr>
              <w:ind w:left="1840"/>
              <w:spacing w:after="0"/>
              <w:rPr>
                <w:sz w:val="20"/>
                <w:szCs w:val="20"/>
                <w:color w:val="auto"/>
              </w:rPr>
            </w:pPr>
            <w:r>
              <w:rPr>
                <w:rFonts w:ascii="Arial" w:cs="Arial" w:eastAsia="Arial" w:hAnsi="Arial"/>
                <w:sz w:val="16"/>
                <w:szCs w:val="16"/>
                <w:color w:val="auto"/>
              </w:rPr>
              <w:t>We estimate that the net proceeds from this offering will be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approximately $138.1 million (or approximately $159.4</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million if the underwriters exercise their option to purchase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additional Class A common shares in full), based on the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initial public offering price of $18.00 per share and after</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deducting underwriting discounts and commissions and</w:t>
            </w:r>
          </w:p>
        </w:tc>
      </w:tr>
      <w:tr>
        <w:trPr>
          <w:trHeight w:val="188"/>
        </w:trPr>
        <w:tc>
          <w:tcPr>
            <w:tcW w:w="4060" w:type="dxa"/>
            <w:vAlign w:val="bottom"/>
          </w:tcPr>
          <w:p>
            <w:pPr>
              <w:spacing w:after="0"/>
              <w:rPr>
                <w:sz w:val="16"/>
                <w:szCs w:val="16"/>
                <w:color w:val="auto"/>
              </w:rPr>
            </w:pPr>
          </w:p>
        </w:tc>
        <w:tc>
          <w:tcPr>
            <w:tcW w:w="7380" w:type="dxa"/>
            <w:vAlign w:val="bottom"/>
          </w:tcPr>
          <w:p>
            <w:pPr>
              <w:ind w:left="1840"/>
              <w:spacing w:after="0"/>
              <w:rPr>
                <w:sz w:val="20"/>
                <w:szCs w:val="20"/>
                <w:color w:val="auto"/>
              </w:rPr>
            </w:pPr>
            <w:r>
              <w:rPr>
                <w:rFonts w:ascii="Arial" w:cs="Arial" w:eastAsia="Arial" w:hAnsi="Arial"/>
                <w:sz w:val="16"/>
                <w:szCs w:val="16"/>
                <w:color w:val="auto"/>
              </w:rPr>
              <w:t>estimated offering expenses payable by us.</w:t>
            </w:r>
          </w:p>
        </w:tc>
      </w:tr>
      <w:tr>
        <w:trPr>
          <w:trHeight w:val="384"/>
        </w:trPr>
        <w:tc>
          <w:tcPr>
            <w:tcW w:w="40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380"/>
        </w:trPr>
        <w:tc>
          <w:tcPr>
            <w:tcW w:w="4060" w:type="dxa"/>
            <w:vAlign w:val="bottom"/>
          </w:tcPr>
          <w:p>
            <w:pPr>
              <w:spacing w:after="0"/>
              <w:rPr>
                <w:sz w:val="24"/>
                <w:szCs w:val="24"/>
                <w:color w:val="auto"/>
              </w:rPr>
            </w:pPr>
          </w:p>
        </w:tc>
        <w:tc>
          <w:tcPr>
            <w:tcW w:w="7380" w:type="dxa"/>
            <w:vAlign w:val="bottom"/>
          </w:tcPr>
          <w:p>
            <w:pPr>
              <w:ind w:left="1620"/>
              <w:spacing w:after="0"/>
              <w:rPr>
                <w:sz w:val="20"/>
                <w:szCs w:val="20"/>
                <w:color w:val="auto"/>
              </w:rPr>
            </w:pPr>
            <w:r>
              <w:rPr>
                <w:rFonts w:ascii="Arial" w:cs="Arial" w:eastAsia="Arial" w:hAnsi="Arial"/>
                <w:sz w:val="16"/>
                <w:szCs w:val="16"/>
                <w:color w:val="auto"/>
              </w:rPr>
              <w:t>8</w:t>
            </w:r>
          </w:p>
        </w:tc>
      </w:tr>
      <w:tr>
        <w:trPr>
          <w:trHeight w:val="191"/>
        </w:trPr>
        <w:tc>
          <w:tcPr>
            <w:tcW w:w="4060" w:type="dxa"/>
            <w:vAlign w:val="bottom"/>
            <w:tcBorders>
              <w:bottom w:val="single" w:sz="8" w:color="808080"/>
            </w:tcBorders>
          </w:tcPr>
          <w:p>
            <w:pPr>
              <w:spacing w:after="0"/>
              <w:rPr>
                <w:sz w:val="16"/>
                <w:szCs w:val="16"/>
                <w:color w:val="auto"/>
              </w:rPr>
            </w:pPr>
          </w:p>
        </w:tc>
        <w:tc>
          <w:tcPr>
            <w:tcW w:w="73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512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5512435"/>
                    </a:xfrm>
                    <a:prstGeom prst="rect">
                      <a:avLst/>
                    </a:prstGeom>
                    <a:noFill/>
                  </pic:spPr>
                </pic:pic>
              </a:graphicData>
            </a:graphic>
          </wp:anchor>
        </w:drawing>
      </w:r>
    </w:p>
    <w:p>
      <w:pPr>
        <w:spacing w:after="0" w:line="37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We intend to use the net proceeds from this offering to</w:t>
      </w:r>
    </w:p>
    <w:p>
      <w:pPr>
        <w:ind w:left="5900"/>
        <w:spacing w:after="0" w:line="236" w:lineRule="auto"/>
        <w:rPr>
          <w:sz w:val="20"/>
          <w:szCs w:val="20"/>
          <w:color w:val="auto"/>
        </w:rPr>
      </w:pPr>
      <w:r>
        <w:rPr>
          <w:rFonts w:ascii="Arial" w:cs="Arial" w:eastAsia="Arial" w:hAnsi="Arial"/>
          <w:sz w:val="16"/>
          <w:szCs w:val="16"/>
          <w:color w:val="auto"/>
        </w:rPr>
        <w:t>advance the clinical development of rilonacept,</w:t>
      </w:r>
    </w:p>
    <w:p>
      <w:pPr>
        <w:ind w:left="5900"/>
        <w:spacing w:after="0"/>
        <w:rPr>
          <w:sz w:val="20"/>
          <w:szCs w:val="20"/>
          <w:color w:val="auto"/>
        </w:rPr>
      </w:pPr>
      <w:r>
        <w:rPr>
          <w:rFonts w:ascii="Arial" w:cs="Arial" w:eastAsia="Arial" w:hAnsi="Arial"/>
          <w:sz w:val="15"/>
          <w:szCs w:val="15"/>
          <w:color w:val="auto"/>
        </w:rPr>
        <w:t>mavrilimumab and KPL-716, and to fund other research and</w:t>
      </w:r>
    </w:p>
    <w:p>
      <w:pPr>
        <w:spacing w:after="0" w:line="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development activities and for working capital and general</w:t>
      </w:r>
    </w:p>
    <w:p>
      <w:pPr>
        <w:ind w:left="5900"/>
        <w:spacing w:after="0" w:line="236" w:lineRule="auto"/>
        <w:rPr>
          <w:sz w:val="20"/>
          <w:szCs w:val="20"/>
          <w:color w:val="auto"/>
        </w:rPr>
      </w:pPr>
      <w:r>
        <w:rPr>
          <w:rFonts w:ascii="Arial" w:cs="Arial" w:eastAsia="Arial" w:hAnsi="Arial"/>
          <w:sz w:val="16"/>
          <w:szCs w:val="16"/>
          <w:color w:val="auto"/>
        </w:rPr>
        <w:t>corporate purposes. See "Use of Proceeds" beginning on</w:t>
      </w:r>
    </w:p>
    <w:p>
      <w:pPr>
        <w:ind w:left="5900"/>
        <w:spacing w:after="0"/>
        <w:rPr>
          <w:sz w:val="20"/>
          <w:szCs w:val="20"/>
          <w:color w:val="auto"/>
        </w:rPr>
      </w:pPr>
      <w:r>
        <w:rPr>
          <w:rFonts w:ascii="Arial" w:cs="Arial" w:eastAsia="Arial" w:hAnsi="Arial"/>
          <w:sz w:val="16"/>
          <w:szCs w:val="16"/>
          <w:color w:val="auto"/>
        </w:rPr>
        <w:t>page 84.</w:t>
      </w:r>
    </w:p>
    <w:p>
      <w:pPr>
        <w:sectPr>
          <w:pgSz w:w="11900" w:h="16838" w:orient="portrait"/>
          <w:cols w:equalWidth="0" w:num="1">
            <w:col w:w="11220"/>
          </w:cols>
          <w:pgMar w:left="240" w:top="142" w:right="439" w:bottom="1440" w:gutter="0" w:footer="0" w:header="0"/>
        </w:sectPr>
      </w:pP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beginning on page 13 and the other</w:t>
      </w:r>
    </w:p>
    <w:p>
      <w:pPr>
        <w:spacing w:after="0"/>
        <w:rPr>
          <w:sz w:val="20"/>
          <w:szCs w:val="20"/>
          <w:color w:val="auto"/>
        </w:rPr>
      </w:pPr>
      <w:r>
        <w:rPr>
          <w:rFonts w:ascii="Arial" w:cs="Arial" w:eastAsia="Arial" w:hAnsi="Arial"/>
          <w:sz w:val="15"/>
          <w:szCs w:val="15"/>
          <w:color w:val="auto"/>
        </w:rPr>
        <w:t>information included in this prospectus for a discussion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factors you should consider carefully before deciding to</w:t>
      </w:r>
    </w:p>
    <w:p>
      <w:pPr>
        <w:spacing w:after="0"/>
        <w:rPr>
          <w:sz w:val="20"/>
          <w:szCs w:val="20"/>
          <w:color w:val="auto"/>
        </w:rPr>
      </w:pPr>
      <w:r>
        <w:rPr>
          <w:rFonts w:ascii="Arial" w:cs="Arial" w:eastAsia="Arial" w:hAnsi="Arial"/>
          <w:sz w:val="16"/>
          <w:szCs w:val="16"/>
          <w:color w:val="auto"/>
        </w:rPr>
        <w:t>invest in our Class A common shares.</w:t>
      </w:r>
    </w:p>
    <w:p>
      <w:pPr>
        <w:spacing w:after="0" w:line="190" w:lineRule="exact"/>
        <w:rPr>
          <w:sz w:val="20"/>
          <w:szCs w:val="20"/>
          <w:color w:val="auto"/>
        </w:rPr>
      </w:pPr>
    </w:p>
    <w:p>
      <w:pPr>
        <w:sectPr>
          <w:pgSz w:w="11900" w:h="16838" w:orient="portrait"/>
          <w:cols w:equalWidth="0" w:num="2">
            <w:col w:w="5180" w:space="720"/>
            <w:col w:w="5320"/>
          </w:cols>
          <w:pgMar w:left="240" w:top="142" w:right="43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"KNSA"</w:t>
      </w:r>
    </w:p>
    <w:p>
      <w:pPr>
        <w:spacing w:after="0" w:line="200" w:lineRule="exact"/>
        <w:rPr>
          <w:sz w:val="20"/>
          <w:szCs w:val="20"/>
          <w:color w:val="auto"/>
        </w:rPr>
      </w:pPr>
    </w:p>
    <w:p>
      <w:pPr>
        <w:sectPr>
          <w:pgSz w:w="11900" w:h="16838" w:orient="portrait"/>
          <w:cols w:equalWidth="0" w:num="2">
            <w:col w:w="5180" w:space="720"/>
            <w:col w:w="5320"/>
          </w:cols>
          <w:pgMar w:left="240" w:top="142" w:right="439" w:bottom="1440" w:gutter="0" w:footer="0" w:header="0"/>
          <w:type w:val="continuous"/>
        </w:sectPr>
      </w:pPr>
    </w:p>
    <w:p>
      <w:pPr>
        <w:spacing w:after="0" w:line="1" w:lineRule="exact"/>
        <w:rPr>
          <w:sz w:val="20"/>
          <w:szCs w:val="20"/>
          <w:color w:val="auto"/>
        </w:rPr>
      </w:pPr>
    </w:p>
    <w:p>
      <w:pPr>
        <w:ind w:left="200" w:right="20" w:firstLine="433"/>
        <w:spacing w:after="0" w:line="238" w:lineRule="auto"/>
        <w:rPr>
          <w:sz w:val="20"/>
          <w:szCs w:val="20"/>
          <w:color w:val="auto"/>
        </w:rPr>
      </w:pPr>
      <w:r>
        <w:rPr>
          <w:rFonts w:ascii="Arial" w:cs="Arial" w:eastAsia="Arial" w:hAnsi="Arial"/>
          <w:sz w:val="16"/>
          <w:szCs w:val="16"/>
          <w:color w:val="auto"/>
        </w:rPr>
        <w:t>The total number of common shares to be outstanding after this offering is based on 6,270,569 Class A common shares and 4,638,855 Class B common shares outstanding as of March 31, 2018 and includes the conversion of all of our preferred shares outstanding as of March 31, 2018 into 5,546,019 Class A common shares, 1,070,502 Class B common shares, 12,995,954 Class A1 common shares and 16,057,618 Class B1 common shares, in each case upon the closing of this offering. This amount excludes:</w:t>
      </w:r>
    </w:p>
    <w:p>
      <w:pPr>
        <w:spacing w:after="0" w:line="199" w:lineRule="exact"/>
        <w:rPr>
          <w:sz w:val="20"/>
          <w:szCs w:val="20"/>
          <w:color w:val="auto"/>
        </w:rPr>
      </w:pPr>
    </w:p>
    <w:p>
      <w:pPr>
        <w:ind w:left="1180" w:right="200" w:hanging="492"/>
        <w:spacing w:after="0" w:line="241"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73" w:lineRule="exact"/>
        <w:rPr>
          <w:rFonts w:ascii="Arial" w:cs="Arial" w:eastAsia="Arial" w:hAnsi="Arial"/>
          <w:sz w:val="16"/>
          <w:szCs w:val="16"/>
          <w:color w:val="auto"/>
        </w:rPr>
      </w:pPr>
    </w:p>
    <w:p>
      <w:pPr>
        <w:ind w:left="1180" w:hanging="492"/>
        <w:spacing w:after="0" w:line="237"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 (including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76" w:lineRule="exact"/>
        <w:rPr>
          <w:rFonts w:ascii="Arial" w:cs="Arial" w:eastAsia="Arial" w:hAnsi="Arial"/>
          <w:sz w:val="16"/>
          <w:szCs w:val="16"/>
          <w:color w:val="auto"/>
        </w:rPr>
      </w:pPr>
    </w:p>
    <w:p>
      <w:pPr>
        <w:ind w:left="1180" w:right="40" w:hanging="492"/>
        <w:spacing w:after="0" w:line="238"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 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202" w:lineRule="exact"/>
        <w:rPr>
          <w:sz w:val="20"/>
          <w:szCs w:val="20"/>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1-for-2.73235 reverse share split of our common and preferred shares effected on May 11, 2018;</w:t>
      </w:r>
    </w:p>
    <w:p>
      <w:pPr>
        <w:spacing w:after="0" w:line="177" w:lineRule="exact"/>
        <w:rPr>
          <w:rFonts w:ascii="Arial" w:cs="Arial" w:eastAsia="Arial" w:hAnsi="Arial"/>
          <w:sz w:val="16"/>
          <w:szCs w:val="16"/>
          <w:color w:val="auto"/>
        </w:rPr>
      </w:pPr>
    </w:p>
    <w:p>
      <w:pPr>
        <w:ind w:left="1180" w:right="180" w:hanging="492"/>
        <w:spacing w:after="0" w:line="24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conversion of all of our preferred shares into 5,546,019 Class A common shares, 12,995,954 Class A1 common shares, 1,070,502 Class B common shares and 16,057,618 Class B1 common shares, in each case upon the closing of this offering;</w:t>
      </w:r>
    </w:p>
    <w:p>
      <w:pPr>
        <w:spacing w:after="0" w:line="173" w:lineRule="exact"/>
        <w:rPr>
          <w:rFonts w:ascii="Arial" w:cs="Arial" w:eastAsia="Arial" w:hAnsi="Arial"/>
          <w:sz w:val="16"/>
          <w:szCs w:val="16"/>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exercise of outstanding share options after March 31, 2018;</w:t>
      </w:r>
    </w:p>
    <w:p>
      <w:pPr>
        <w:spacing w:after="0" w:line="189" w:lineRule="exact"/>
        <w:rPr>
          <w:rFonts w:ascii="Arial" w:cs="Arial" w:eastAsia="Arial" w:hAnsi="Arial"/>
          <w:sz w:val="16"/>
          <w:szCs w:val="16"/>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effectiveness of our amended and restated bye-laws immediately following the closing of this offering; and</w:t>
      </w: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1100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11004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180" w:hanging="492"/>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additional Class A common shares.</w:t>
      </w:r>
    </w:p>
    <w:p>
      <w:pPr>
        <w:spacing w:after="0" w:line="190" w:lineRule="exact"/>
        <w:rPr>
          <w:sz w:val="20"/>
          <w:szCs w:val="20"/>
          <w:color w:val="auto"/>
        </w:rPr>
      </w:pPr>
    </w:p>
    <w:p>
      <w:pPr>
        <w:ind w:left="200" w:firstLine="436"/>
        <w:spacing w:after="0" w:line="262" w:lineRule="auto"/>
        <w:rPr>
          <w:sz w:val="20"/>
          <w:szCs w:val="20"/>
          <w:color w:val="auto"/>
        </w:rPr>
      </w:pPr>
      <w:r>
        <w:rPr>
          <w:rFonts w:ascii="Arial" w:cs="Arial" w:eastAsia="Arial" w:hAnsi="Arial"/>
          <w:sz w:val="15"/>
          <w:szCs w:val="15"/>
          <w:color w:val="auto"/>
        </w:rPr>
        <w:t>Certain of our existing shareholders, including shareholders affiliated with certain of our directors, have agreed to purchase an aggregate of approximately $55.0 million of Class A common shares in this offering at the initial public offering price per share. The underwriters will receive the same underwriting discount on any shares purchased by these existing shareholders as they will on any other shares sold to the public in this offering.</w:t>
      </w: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740"/>
          </w:cols>
          <w:pgMar w:left="240" w:top="142" w:right="9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236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523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SUMMARY CONSOLIDATED FINANCIAL DATA</w:t>
      </w:r>
    </w:p>
    <w:p>
      <w:pPr>
        <w:spacing w:after="0" w:line="210" w:lineRule="exact"/>
        <w:rPr>
          <w:sz w:val="20"/>
          <w:szCs w:val="20"/>
          <w:color w:val="auto"/>
        </w:rPr>
      </w:pPr>
    </w:p>
    <w:p>
      <w:pPr>
        <w:ind w:left="200" w:right="40" w:firstLine="433"/>
        <w:spacing w:after="0" w:line="254" w:lineRule="auto"/>
        <w:rPr>
          <w:sz w:val="20"/>
          <w:szCs w:val="20"/>
          <w:color w:val="auto"/>
        </w:rPr>
      </w:pPr>
      <w:r>
        <w:rPr>
          <w:rFonts w:ascii="Arial" w:cs="Arial" w:eastAsia="Arial" w:hAnsi="Arial"/>
          <w:sz w:val="15"/>
          <w:szCs w:val="15"/>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2016 and 2017 from our audited consolidated financial statements appearing at the end of this prospectus. We have derived the consolidated statement of operations data for the three months ended March 31, 2017 and 2018 and the consolidated balance sheet data as of March 31, 2018 from our unaudited consolidated financial statements appearing at the end of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results that may be expected in any future period, and our results for any interim period are not necessarily indicative of results that may be expected for any full year.</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gridSpan w:val="14"/>
          </w:tcPr>
          <w:p>
            <w:pPr>
              <w:jc w:val="center"/>
              <w:ind w:right="220"/>
              <w:spacing w:after="0"/>
              <w:rPr>
                <w:sz w:val="20"/>
                <w:szCs w:val="20"/>
                <w:color w:val="auto"/>
              </w:rPr>
            </w:pPr>
            <w:r>
              <w:rPr>
                <w:rFonts w:ascii="Arial" w:cs="Arial" w:eastAsia="Arial" w:hAnsi="Arial"/>
                <w:sz w:val="16"/>
                <w:szCs w:val="16"/>
                <w:b w:val="1"/>
                <w:bCs w:val="1"/>
                <w:color w:val="auto"/>
                <w:w w:val="97"/>
              </w:rPr>
              <w:t>(in thousands, except share and per share data)</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 Data:</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tcPr>
          <w:p>
            <w:pPr>
              <w:spacing w:after="0" w:line="181" w:lineRule="exact"/>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center"/>
              <w:ind w:right="20"/>
              <w:spacing w:after="0" w:line="181"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3,145</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5,048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tcPr>
          <w:p>
            <w:pPr>
              <w:spacing w:after="0" w:line="173" w:lineRule="exact"/>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73" w:lineRule="exact"/>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center"/>
              <w:spacing w:after="0" w:line="173"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center"/>
              <w:ind w:right="20"/>
              <w:spacing w:after="0" w:line="173"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w w:val="99"/>
              </w:rPr>
              <w:t>Net loss per share attributable to common shareholders—basic</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and diluted</w:t>
            </w:r>
            <w:r>
              <w:rPr>
                <w:rFonts w:ascii="Arial" w:cs="Arial" w:eastAsia="Arial" w:hAnsi="Arial"/>
                <w:sz w:val="24"/>
                <w:szCs w:val="24"/>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(91.61)</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common shares outstanding—basic and</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diluted</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1,405,400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Pro forma net loss per share attributable to common</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shareholders—basic and diluted (unaudited)</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 average common shares outstanding—</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basic and diluted (unaudited)</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23,638,410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90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780" w:hanging="473"/>
        <w:spacing w:after="0" w:line="195" w:lineRule="auto"/>
        <w:tabs>
          <w:tab w:leader="none" w:pos="1780"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See Note 11 to our consolidated financial statements included elsewhere in this prospectus for further details on the calculation of basic and diluted net loss per share attributable to common shareholders and on the calculation of pro forma basic and diluted net loss per share attributable to common shareholders.</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471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305" cy="2471420"/>
                    </a:xfrm>
                    <a:prstGeom prst="rect">
                      <a:avLst/>
                    </a:prstGeom>
                    <a:noFill/>
                  </pic:spPr>
                </pic:pic>
              </a:graphicData>
            </a:graphic>
          </wp:anchor>
        </w:drawing>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202"/>
        </w:trPr>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6"/>
                <w:szCs w:val="16"/>
                <w:b w:val="1"/>
                <w:bCs w:val="1"/>
                <w:color w:val="auto"/>
                <w:w w:val="97"/>
              </w:rPr>
              <w:t>As of March 31, 2018</w:t>
            </w:r>
          </w:p>
        </w:tc>
        <w:tc>
          <w:tcPr>
            <w:tcW w:w="1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7"/>
        </w:trPr>
        <w:tc>
          <w:tcPr>
            <w:tcW w:w="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382"/>
              <w:spacing w:after="0" w:line="168" w:lineRule="exact"/>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14"/>
                <w:szCs w:val="14"/>
                <w:color w:val="auto"/>
              </w:rPr>
            </w:pPr>
          </w:p>
        </w:tc>
      </w:tr>
      <w:tr>
        <w:trPr>
          <w:trHeight w:val="235"/>
        </w:trPr>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82"/>
              <w:spacing w:after="0" w:line="231" w:lineRule="exact"/>
              <w:rPr>
                <w:sz w:val="20"/>
                <w:szCs w:val="20"/>
                <w:color w:val="auto"/>
              </w:rPr>
            </w:pPr>
            <w:r>
              <w:rPr>
                <w:rFonts w:ascii="Arial" w:cs="Arial" w:eastAsia="Arial" w:hAnsi="Arial"/>
                <w:sz w:val="16"/>
                <w:szCs w:val="16"/>
                <w:b w:val="1"/>
                <w:bCs w:val="1"/>
                <w:color w:val="auto"/>
              </w:rPr>
              <w:t>Pro Forma</w:t>
            </w:r>
            <w:r>
              <w:rPr>
                <w:rFonts w:ascii="Arial" w:cs="Arial" w:eastAsia="Arial" w:hAnsi="Arial"/>
                <w:sz w:val="26"/>
                <w:szCs w:val="26"/>
                <w:b w:val="1"/>
                <w:bCs w:val="1"/>
                <w:color w:val="auto"/>
                <w:vertAlign w:val="superscript"/>
              </w:rPr>
              <w:t>(2)</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42"/>
              <w:spacing w:after="0" w:line="231" w:lineRule="exact"/>
              <w:rPr>
                <w:sz w:val="20"/>
                <w:szCs w:val="20"/>
                <w:color w:val="auto"/>
              </w:rPr>
            </w:pPr>
            <w:r>
              <w:rPr>
                <w:rFonts w:ascii="Arial" w:cs="Arial" w:eastAsia="Arial" w:hAnsi="Arial"/>
                <w:sz w:val="16"/>
                <w:szCs w:val="16"/>
                <w:b w:val="1"/>
                <w:bCs w:val="1"/>
                <w:color w:val="auto"/>
                <w:w w:val="94"/>
              </w:rPr>
              <w:t>As Adjusted</w:t>
            </w:r>
            <w:r>
              <w:rPr>
                <w:rFonts w:ascii="Arial" w:cs="Arial" w:eastAsia="Arial" w:hAnsi="Arial"/>
                <w:sz w:val="26"/>
                <w:szCs w:val="26"/>
                <w:b w:val="1"/>
                <w:bCs w:val="1"/>
                <w:color w:val="auto"/>
                <w:w w:val="94"/>
                <w:vertAlign w:val="superscript"/>
              </w:rPr>
              <w:t>(3)</w:t>
            </w:r>
          </w:p>
        </w:tc>
        <w:tc>
          <w:tcPr>
            <w:tcW w:w="140" w:type="dxa"/>
            <w:vAlign w:val="bottom"/>
          </w:tcPr>
          <w:p>
            <w:pPr>
              <w:spacing w:after="0"/>
              <w:rPr>
                <w:sz w:val="20"/>
                <w:szCs w:val="20"/>
                <w:color w:val="auto"/>
              </w:rPr>
            </w:pPr>
          </w:p>
        </w:tc>
      </w:tr>
      <w:tr>
        <w:trPr>
          <w:trHeight w:val="193"/>
        </w:trPr>
        <w:tc>
          <w:tcPr>
            <w:tcW w:w="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jc w:val="center"/>
              <w:ind w:left="282"/>
              <w:spacing w:after="0"/>
              <w:rPr>
                <w:sz w:val="20"/>
                <w:szCs w:val="20"/>
                <w:color w:val="auto"/>
              </w:rPr>
            </w:pPr>
            <w:r>
              <w:rPr>
                <w:rFonts w:ascii="Arial" w:cs="Arial" w:eastAsia="Arial" w:hAnsi="Arial"/>
                <w:sz w:val="16"/>
                <w:szCs w:val="16"/>
                <w:b w:val="1"/>
                <w:bCs w:val="1"/>
                <w:color w:val="auto"/>
                <w:w w:val="97"/>
              </w:rPr>
              <w:t>(in thousands)</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33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Balance Sheet Data:</w:t>
            </w: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3300" w:type="dxa"/>
            <w:vAlign w:val="bottom"/>
            <w:gridSpan w:val="2"/>
          </w:tcPr>
          <w:p>
            <w:pPr>
              <w:spacing w:after="0" w:line="181" w:lineRule="exact"/>
              <w:rPr>
                <w:sz w:val="20"/>
                <w:szCs w:val="20"/>
                <w:color w:val="auto"/>
              </w:rPr>
            </w:pPr>
            <w:r>
              <w:rPr>
                <w:rFonts w:ascii="Arial" w:cs="Arial" w:eastAsia="Arial" w:hAnsi="Arial"/>
                <w:sz w:val="16"/>
                <w:szCs w:val="16"/>
                <w:color w:val="auto"/>
              </w:rPr>
              <w:t>Cash and cash equivalents</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221,108</w:t>
            </w:r>
          </w:p>
        </w:tc>
        <w:tc>
          <w:tcPr>
            <w:tcW w:w="100" w:type="dxa"/>
            <w:vAlign w:val="bottom"/>
          </w:tcPr>
          <w:p>
            <w:pPr>
              <w:spacing w:after="0"/>
              <w:rPr>
                <w:sz w:val="15"/>
                <w:szCs w:val="15"/>
                <w:color w:val="auto"/>
              </w:rPr>
            </w:pPr>
          </w:p>
        </w:tc>
        <w:tc>
          <w:tcPr>
            <w:tcW w:w="3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1" w:lineRule="exact"/>
              <w:rPr>
                <w:sz w:val="20"/>
                <w:szCs w:val="20"/>
                <w:color w:val="auto"/>
              </w:rPr>
            </w:pPr>
            <w:r>
              <w:rPr>
                <w:rFonts w:ascii="Arial" w:cs="Arial" w:eastAsia="Arial" w:hAnsi="Arial"/>
                <w:sz w:val="16"/>
                <w:szCs w:val="16"/>
                <w:color w:val="auto"/>
              </w:rPr>
              <w:t>221,108</w:t>
            </w:r>
          </w:p>
        </w:tc>
        <w:tc>
          <w:tcPr>
            <w:tcW w:w="58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1" w:lineRule="exact"/>
              <w:rPr>
                <w:sz w:val="20"/>
                <w:szCs w:val="20"/>
                <w:color w:val="auto"/>
              </w:rPr>
            </w:pPr>
            <w:r>
              <w:rPr>
                <w:rFonts w:ascii="Arial" w:cs="Arial" w:eastAsia="Arial" w:hAnsi="Arial"/>
                <w:sz w:val="16"/>
                <w:szCs w:val="16"/>
                <w:color w:val="auto"/>
              </w:rPr>
              <w:t>359,255</w:t>
            </w:r>
          </w:p>
        </w:tc>
        <w:tc>
          <w:tcPr>
            <w:tcW w:w="140" w:type="dxa"/>
            <w:vAlign w:val="bottom"/>
          </w:tcPr>
          <w:p>
            <w:pPr>
              <w:spacing w:after="0"/>
              <w:rPr>
                <w:sz w:val="15"/>
                <w:szCs w:val="15"/>
                <w:color w:val="auto"/>
              </w:rPr>
            </w:pPr>
          </w:p>
        </w:tc>
      </w:tr>
      <w:tr>
        <w:trPr>
          <w:trHeight w:val="217"/>
        </w:trPr>
        <w:tc>
          <w:tcPr>
            <w:tcW w:w="33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342,911</w:t>
            </w:r>
          </w:p>
        </w:tc>
        <w:tc>
          <w:tcPr>
            <w:tcW w:w="140" w:type="dxa"/>
            <w:vAlign w:val="bottom"/>
            <w:shd w:val="clear" w:color="auto" w:fill="CCEEFF"/>
          </w:tcPr>
          <w:p>
            <w:pPr>
              <w:spacing w:after="0"/>
              <w:rPr>
                <w:sz w:val="18"/>
                <w:szCs w:val="18"/>
                <w:color w:val="auto"/>
              </w:rPr>
            </w:pPr>
          </w:p>
        </w:tc>
      </w:tr>
      <w:tr>
        <w:trPr>
          <w:trHeight w:val="181"/>
        </w:trPr>
        <w:tc>
          <w:tcPr>
            <w:tcW w:w="3300" w:type="dxa"/>
            <w:vAlign w:val="bottom"/>
            <w:gridSpan w:val="2"/>
          </w:tcPr>
          <w:p>
            <w:pPr>
              <w:spacing w:after="0" w:line="181" w:lineRule="exact"/>
              <w:rPr>
                <w:sz w:val="20"/>
                <w:szCs w:val="20"/>
                <w:color w:val="auto"/>
              </w:rPr>
            </w:pPr>
            <w:r>
              <w:rPr>
                <w:rFonts w:ascii="Arial" w:cs="Arial" w:eastAsia="Arial" w:hAnsi="Arial"/>
                <w:sz w:val="16"/>
                <w:szCs w:val="16"/>
                <w:color w:val="auto"/>
              </w:rPr>
              <w:t>Total assets</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224,775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line="181" w:lineRule="exact"/>
              <w:rPr>
                <w:sz w:val="20"/>
                <w:szCs w:val="20"/>
                <w:color w:val="auto"/>
              </w:rPr>
            </w:pPr>
            <w:r>
              <w:rPr>
                <w:rFonts w:ascii="Arial" w:cs="Arial" w:eastAsia="Arial" w:hAnsi="Arial"/>
                <w:sz w:val="16"/>
                <w:szCs w:val="16"/>
                <w:color w:val="auto"/>
              </w:rPr>
              <w:t>224,775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6"/>
                <w:szCs w:val="16"/>
                <w:color w:val="auto"/>
              </w:rPr>
              <w:t>361,314</w:t>
            </w:r>
          </w:p>
        </w:tc>
        <w:tc>
          <w:tcPr>
            <w:tcW w:w="140" w:type="dxa"/>
            <w:vAlign w:val="bottom"/>
          </w:tcPr>
          <w:p>
            <w:pPr>
              <w:spacing w:after="0"/>
              <w:rPr>
                <w:sz w:val="15"/>
                <w:szCs w:val="15"/>
                <w:color w:val="auto"/>
              </w:rPr>
            </w:pPr>
          </w:p>
        </w:tc>
      </w:tr>
      <w:tr>
        <w:trPr>
          <w:trHeight w:val="181"/>
        </w:trPr>
        <w:tc>
          <w:tcPr>
            <w:tcW w:w="33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w:t>
            </w:r>
          </w:p>
        </w:tc>
        <w:tc>
          <w:tcPr>
            <w:tcW w:w="15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310,592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91"/>
        </w:trPr>
        <w:tc>
          <w:tcPr>
            <w:tcW w:w="3300" w:type="dxa"/>
            <w:vAlign w:val="bottom"/>
            <w:gridSpan w:val="2"/>
          </w:tcPr>
          <w:p>
            <w:pPr>
              <w:spacing w:after="0"/>
              <w:rPr>
                <w:sz w:val="20"/>
                <w:szCs w:val="20"/>
                <w:color w:val="auto"/>
              </w:rPr>
            </w:pPr>
            <w:r>
              <w:rPr>
                <w:rFonts w:ascii="Arial" w:cs="Arial" w:eastAsia="Arial" w:hAnsi="Arial"/>
                <w:sz w:val="16"/>
                <w:szCs w:val="16"/>
                <w:color w:val="auto"/>
              </w:rPr>
              <w:t>Total shareholders' (deficit) equity</w:t>
            </w:r>
          </w:p>
        </w:tc>
        <w:tc>
          <w:tcPr>
            <w:tcW w:w="1680" w:type="dxa"/>
            <w:vAlign w:val="bottom"/>
            <w:gridSpan w:val="3"/>
          </w:tcPr>
          <w:p>
            <w:pPr>
              <w:jc w:val="right"/>
              <w:ind w:right="40"/>
              <w:spacing w:after="0"/>
              <w:rPr>
                <w:sz w:val="20"/>
                <w:szCs w:val="20"/>
                <w:color w:val="auto"/>
              </w:rPr>
            </w:pPr>
            <w:r>
              <w:rPr>
                <w:rFonts w:ascii="Arial" w:cs="Arial" w:eastAsia="Arial" w:hAnsi="Arial"/>
                <w:sz w:val="16"/>
                <w:szCs w:val="16"/>
                <w:color w:val="auto"/>
              </w:rPr>
              <w:t>(105,115)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205,477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343,595</w:t>
            </w:r>
          </w:p>
        </w:tc>
        <w:tc>
          <w:tcPr>
            <w:tcW w:w="140" w:type="dxa"/>
            <w:vAlign w:val="bottom"/>
          </w:tcPr>
          <w:p>
            <w:pPr>
              <w:spacing w:after="0"/>
              <w:rPr>
                <w:sz w:val="16"/>
                <w:szCs w:val="16"/>
                <w:color w:val="auto"/>
              </w:rPr>
            </w:pPr>
          </w:p>
        </w:tc>
      </w:tr>
      <w:tr>
        <w:trPr>
          <w:trHeight w:val="87"/>
        </w:trPr>
        <w:tc>
          <w:tcPr>
            <w:tcW w:w="90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33" w:lineRule="exact"/>
        <w:rPr>
          <w:sz w:val="20"/>
          <w:szCs w:val="20"/>
          <w:color w:val="auto"/>
        </w:rPr>
      </w:pPr>
    </w:p>
    <w:p>
      <w:pPr>
        <w:ind w:left="1780" w:hanging="473"/>
        <w:spacing w:after="0"/>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We define working capital as current assets less current liabilities.</w:t>
      </w:r>
    </w:p>
    <w:p>
      <w:pPr>
        <w:spacing w:after="0" w:line="135" w:lineRule="exact"/>
        <w:rPr>
          <w:rFonts w:ascii="Arial" w:cs="Arial" w:eastAsia="Arial" w:hAnsi="Arial"/>
          <w:sz w:val="19"/>
          <w:szCs w:val="19"/>
          <w:color w:val="auto"/>
          <w:vertAlign w:val="superscript"/>
        </w:rPr>
      </w:pPr>
    </w:p>
    <w:p>
      <w:pPr>
        <w:ind w:left="1780" w:hanging="473"/>
        <w:spacing w:after="0" w:line="195" w:lineRule="auto"/>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The pro forma balance sheet data give effect to the conversion of all of our outstanding preferred shares into an aggregate of 35,670,093 common shares upon the closing of this offering.</w:t>
      </w:r>
    </w:p>
    <w:p>
      <w:pPr>
        <w:spacing w:after="0" w:line="135" w:lineRule="exact"/>
        <w:rPr>
          <w:rFonts w:ascii="Arial" w:cs="Arial" w:eastAsia="Arial" w:hAnsi="Arial"/>
          <w:sz w:val="19"/>
          <w:szCs w:val="19"/>
          <w:color w:val="auto"/>
          <w:vertAlign w:val="superscript"/>
        </w:rPr>
      </w:pPr>
    </w:p>
    <w:p>
      <w:pPr>
        <w:ind w:left="1780" w:right="100" w:hanging="473"/>
        <w:spacing w:after="0" w:line="195" w:lineRule="auto"/>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The pro forma as adjusted balance sheet data give further effect to our issuance and sale of 8,477,777 Class A common shares in this offering at the initial public offering price of $18.00 per share, after deducting the underwriting discounts and commissions and estimated offering expenses payable by us.</w:t>
      </w:r>
    </w:p>
    <w:p>
      <w:pPr>
        <w:spacing w:after="0" w:line="200" w:lineRule="exact"/>
        <w:rPr>
          <w:sz w:val="20"/>
          <w:szCs w:val="20"/>
          <w:color w:val="auto"/>
        </w:rPr>
      </w:pPr>
    </w:p>
    <w:p>
      <w:pPr>
        <w:spacing w:after="0" w:line="39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040"/>
          </w:cols>
          <w:pgMar w:left="240" w:top="142" w:right="6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 FACTORS</w:t>
      </w:r>
    </w:p>
    <w:p>
      <w:pPr>
        <w:spacing w:after="0" w:line="194" w:lineRule="exact"/>
        <w:rPr>
          <w:sz w:val="20"/>
          <w:szCs w:val="20"/>
          <w:color w:val="auto"/>
        </w:rPr>
      </w:pPr>
    </w:p>
    <w:p>
      <w:pPr>
        <w:ind w:right="500" w:firstLine="436"/>
        <w:spacing w:after="0" w:line="241" w:lineRule="auto"/>
        <w:rPr>
          <w:sz w:val="20"/>
          <w:szCs w:val="20"/>
          <w:color w:val="auto"/>
        </w:rPr>
      </w:pPr>
      <w:r>
        <w:rPr>
          <w:rFonts w:ascii="Arial" w:cs="Arial" w:eastAsia="Arial" w:hAnsi="Arial"/>
          <w:sz w:val="16"/>
          <w:szCs w:val="16"/>
          <w:i w:val="1"/>
          <w:iCs w:val="1"/>
          <w:color w:val="auto"/>
        </w:rPr>
        <w:t>Investing in our Class A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Class A common shares. The occurrence of any of the events or developments described below could adversely affect our business, financial condition, results of operations and growth prospects. In such an event, the market price of our Class A common shares could decline, and you may lose all or part of your investment. Additional risks and uncertainties not presently known to us or that we currently deem immaterial also may impair our business operations.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Financial Position and Capital Needs</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b w:val="1"/>
          <w:bCs w:val="1"/>
          <w:i w:val="1"/>
          <w:iCs w:val="1"/>
          <w:color w:val="auto"/>
        </w:rPr>
        <w:t>We are a clinical-stage biopharmaceutical company with a limited operating history and have not generated any revenue from product sales. We have incurred significant operating losses since our inception and anticipate that we will incur continued losses for the foreseeable future.</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incurred losses in each year since our inception in 2015 and anticipate incurring losses for the foreseeable future. To date, we have invested substantially all of our efforts and financial resources in identifying, acquiring, in-licensing and developing our product candidates, including commencing and conducting clinical trials and providing general and administrative support for these operations. Our future success is dependent on our ability to develop, obtain regulatory approval for and successfully commercialize one or more of our product candidates. We have not yet demonstrated our ability to initiate or successfully complete any Phase 3 or other pivotal clinical trials, obtain regulatory approvals, manufacture a commercial scale drug, or conduct sales and marketing activities. We currently generate no revenue from sales of any products, and we may never be able to develop or commercialize a marketable product. Biopharmaceutical product development is a highly speculative undertaking and involves a substantial degree of risk. Typically, it takes many years to develop one new drug from the time it is discovered to when it is available for treating patients, and development may cease for a number of reasons. Consequently, predictions about our future success or viability could be more accurate if we had a longer operating history.</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have incurred significant losses related to expenses for research and development and our ongoing operations. Our net losses for the years ended December 31, 2016 and 2017 and three months ended March 31, 2017 and 2018 were $24.0 million, $64.9 million, $4.9 million and $16.0 million, respectively. As of March 31, 2018, we had an accumulated deficit of $107.0 million. We expect to continue to incur losses for the foreseeable future, and we anticipate these losses will increase substantially as we:</w:t>
      </w:r>
    </w:p>
    <w:p>
      <w:pPr>
        <w:spacing w:after="0" w:line="187" w:lineRule="exact"/>
        <w:rPr>
          <w:sz w:val="20"/>
          <w:szCs w:val="20"/>
          <w:color w:val="auto"/>
        </w:rPr>
      </w:pPr>
    </w:p>
    <w:p>
      <w:pPr>
        <w:ind w:left="960" w:right="120" w:hanging="481"/>
        <w:spacing w:after="0" w:line="239"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our research and pre-clinical and clinical development of our product candidates, including our ongoing open-label Phase 2 proof-of-concept clinical trial for rilonacept for the treatment of recurrent pericarditis and our ongoing Phase 1a/1b clinical trial of KPL-716 in healthy volunteers and in subjects with atopic dermatitis, and commence our Phase 2 clinical trial of mavrilimumab for the treatment of GCA;</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the scope of our current clinical trials for our product candidates;</w:t>
      </w:r>
    </w:p>
    <w:p>
      <w:pPr>
        <w:spacing w:after="0" w:line="177"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our programs into more expensive clinical trials, including our plans to commence a Phase 3 clinical trial for rilonacept for the treatment of recurrent pericarditis;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initiate additional pre-clinical studies and clinical trials for our product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our manufacturing needs or add additional manufacturers or suppliers;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regulatory and marketing approvals for our product candidates that successfully complete clinical trials, if any;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identify, assess, acquire or develop additional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make milestone or other payments under any license or purchase agreements;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maintain, protect and expand our intellectual property portfolio;</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attract and retain skilled personnel;</w:t>
      </w:r>
    </w:p>
    <w:p>
      <w:pPr>
        <w:spacing w:after="0" w:line="189"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as a public company and our product development and planned future commercialization efforts; and</w:t>
      </w:r>
    </w:p>
    <w:p>
      <w:pPr>
        <w:spacing w:after="0" w:line="173" w:lineRule="exact"/>
        <w:rPr>
          <w:rFonts w:ascii="Arial" w:cs="Arial" w:eastAsia="Arial" w:hAnsi="Arial"/>
          <w:sz w:val="16"/>
          <w:szCs w:val="16"/>
          <w:color w:val="auto"/>
        </w:rPr>
      </w:pPr>
    </w:p>
    <w:p>
      <w:pPr>
        <w:ind w:left="960" w:right="180" w:hanging="481"/>
        <w:spacing w:after="0" w:line="239"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any delays or encounter issues with any of the above, including but not limited to failed trials, complex results, safety issues, other regulatory challenges that require longer follow-up of existing trials, additional major trials or additional supportive trials in order to pursue marketing approval.</w:t>
      </w:r>
    </w:p>
    <w:p>
      <w:pPr>
        <w:spacing w:after="0" w:line="186" w:lineRule="exact"/>
        <w:rPr>
          <w:sz w:val="20"/>
          <w:szCs w:val="20"/>
          <w:color w:val="auto"/>
        </w:rPr>
      </w:pPr>
    </w:p>
    <w:p>
      <w:pPr>
        <w:ind w:right="160" w:firstLine="436"/>
        <w:spacing w:after="0" w:line="238" w:lineRule="auto"/>
        <w:rPr>
          <w:sz w:val="20"/>
          <w:szCs w:val="20"/>
          <w:color w:val="auto"/>
        </w:rPr>
      </w:pPr>
      <w:r>
        <w:rPr>
          <w:rFonts w:ascii="Arial" w:cs="Arial" w:eastAsia="Arial" w:hAnsi="Arial"/>
          <w:sz w:val="16"/>
          <w:szCs w:val="16"/>
          <w:color w:val="auto"/>
        </w:rPr>
        <w:t>Further, the net losses we incur may fluctuate significantly from quarter-to-quarter and year to year, such that a period to period comparison of our results of operations may not be a good indication of our future performance. Once we are a public company, we will incur additional costs associated with operating as a public company. Even if we achieve profitability in the future, we may not be able to sustain profitability in subsequent periods. Our prior losses, combined with expected future losses, have had and will continue to have an adverse effect on our shareholders' equity and working capital.</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We will require substantial additional financing, and a failure to obtain this necessary capital when needed on acceptable terms, or at all, could force us to delay, limit, reduce or terminate our product development, other operations or commercialization efforts.</w:t>
      </w:r>
    </w:p>
    <w:p>
      <w:pPr>
        <w:spacing w:after="0" w:line="168" w:lineRule="exact"/>
        <w:rPr>
          <w:sz w:val="20"/>
          <w:szCs w:val="20"/>
          <w:color w:val="auto"/>
        </w:rPr>
      </w:pPr>
    </w:p>
    <w:p>
      <w:pPr>
        <w:ind w:firstLine="433"/>
        <w:spacing w:after="0" w:line="254" w:lineRule="auto"/>
        <w:rPr>
          <w:sz w:val="20"/>
          <w:szCs w:val="20"/>
          <w:color w:val="auto"/>
        </w:rPr>
      </w:pPr>
      <w:r>
        <w:rPr>
          <w:rFonts w:ascii="Arial" w:cs="Arial" w:eastAsia="Arial" w:hAnsi="Arial"/>
          <w:sz w:val="15"/>
          <w:szCs w:val="15"/>
          <w:color w:val="auto"/>
        </w:rPr>
        <w:t>The development and commercialization of biopharmaceutical products is capital intensive. We are advancing our product candidates through pre-clinical and clinical development and, in 2018, anticipate beginning new clinical trials for our product candidates, rilonacept, mavrilimumab and KPL-716. We expect our expenses to increase in connection with our ongoing activities as we continue the research and development of, and, if successful, seek marketing approval for, our product candidates. In addition, if we obtain marketing approval for any of our product candidates, we expect to incur significant commercialization expenses related to manufacturing, product sales, marketing, and distribution. As our product candidates progress through development and towards commercialization, we will need to make milestone payments to the licensors and other third parties from whom we have acquired our product candidates. We may also need to raise additional funds sooner if we choose to pursue additional indications for our product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on attractive terms, if at all, we will be forced to delay, reduce or eliminate certain of our clinical development plans, research and development programs or future commercialization efforts.</w:t>
      </w:r>
    </w:p>
    <w:p>
      <w:pPr>
        <w:spacing w:after="0" w:line="177"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 development process for our product candidates is highly uncertain, and we cannot estimate with certainty the actual amounts necessary to successfully complete the development,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regulatory approval process and commercialization of our product candidates. Our operating plans may change as a result of many factors currently unknown to us, and we may need to seek additional funds sooner than expected, through public or private equity, debt financings or other sources. Our future capital requirements will depend on and could increase significantly as a result of many factors, including:</w:t>
      </w:r>
    </w:p>
    <w:p>
      <w:pPr>
        <w:spacing w:after="0" w:line="186" w:lineRule="exact"/>
        <w:rPr>
          <w:sz w:val="20"/>
          <w:szCs w:val="20"/>
          <w:color w:val="auto"/>
        </w:rPr>
      </w:pPr>
    </w:p>
    <w:p>
      <w:pPr>
        <w:ind w:left="960" w:right="160" w:hanging="481"/>
        <w:spacing w:after="0" w:line="238"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results, time and cost necessary for completing our open-label Phase 2 proof-of-concept clinical trial of rilonacept for the treatment of recurrent pericarditis and our Phase 1a/1b clinical trials of KPL-716 for the treatment of atopic dermatitis and commencing our planned Phase 3 clinical trial for rilonacept for the treatment of recurrent pericarditis, our planned Phase 2 clinical trial for mavrilimumab for the treatment of GCA and our planned Phase 2 clinical trial for KPL-716 for the treatment of prurigo nodularis;</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size and type of any additional clinical trials;</w:t>
      </w:r>
    </w:p>
    <w:p>
      <w:pPr>
        <w:spacing w:after="0" w:line="177" w:lineRule="exact"/>
        <w:rPr>
          <w:rFonts w:ascii="Arial" w:cs="Arial" w:eastAsia="Arial" w:hAnsi="Arial"/>
          <w:sz w:val="16"/>
          <w:szCs w:val="16"/>
          <w:color w:val="auto"/>
        </w:rPr>
      </w:pPr>
    </w:p>
    <w:p>
      <w:pPr>
        <w:ind w:left="960" w:right="60" w:hanging="481"/>
        <w:spacing w:after="0" w:line="262"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timing and outcomes of seeking and potentially obtaining approvals from the FDA or comparable foreign regulatory authorities, including the potential for the FDA or comparable regulatory authorities to require that we conduct more studies than those that we currently expect to conduct and the costs of post-marketing studies or risk evaluation and mitigation strategies, or REMS, that could be required by regulatory authorities;</w:t>
      </w:r>
    </w:p>
    <w:p>
      <w:pPr>
        <w:spacing w:after="0" w:line="158" w:lineRule="exact"/>
        <w:rPr>
          <w:rFonts w:ascii="Arial" w:cs="Arial" w:eastAsia="Arial" w:hAnsi="Arial"/>
          <w:sz w:val="15"/>
          <w:szCs w:val="15"/>
          <w:color w:val="auto"/>
        </w:rPr>
      </w:pPr>
    </w:p>
    <w:p>
      <w:pPr>
        <w:ind w:left="960" w:hanging="481"/>
        <w:spacing w:after="0" w:line="273"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and timing of transferring manufacturing technology to third-party manufacturers, producing product candidates to support clinical trials and preparing to manufacture mavrilimumab and KPL-716 on a commercial scale, as well as producing rilonacept in potential new final form configurations;</w:t>
      </w:r>
    </w:p>
    <w:p>
      <w:pPr>
        <w:spacing w:after="0" w:line="162" w:lineRule="exact"/>
        <w:rPr>
          <w:rFonts w:ascii="Arial" w:cs="Arial" w:eastAsia="Arial" w:hAnsi="Arial"/>
          <w:sz w:val="15"/>
          <w:szCs w:val="15"/>
          <w:color w:val="auto"/>
        </w:rPr>
      </w:pPr>
    </w:p>
    <w:p>
      <w:pPr>
        <w:ind w:left="960" w:right="100" w:hanging="481"/>
        <w:spacing w:after="0" w:line="238"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amount of milestone or other payments we must make under our agreements with Regeneron Pharmaceuticals, Inc., or Regeneron, MedImmune, Limited, or MedImmune, Biogen MA Inc., or Biogen, Novo Nordisk A/S, or Novo Nordisk, and the other third parties from whom we have acquired or in-licensed our product candidates or from whom we may in the future acquire or in-license product candidates or in connection with the exercise of our option to purchase all of the outstanding capital stock of Primatope Therapeutics, Inc., or Primatope;</w:t>
      </w:r>
    </w:p>
    <w:p>
      <w:pPr>
        <w:spacing w:after="0" w:line="174" w:lineRule="exact"/>
        <w:rPr>
          <w:rFonts w:ascii="Arial" w:cs="Arial" w:eastAsia="Arial" w:hAnsi="Arial"/>
          <w:sz w:val="16"/>
          <w:szCs w:val="16"/>
          <w:color w:val="auto"/>
        </w:rPr>
      </w:pPr>
    </w:p>
    <w:p>
      <w:pPr>
        <w:ind w:left="960" w:right="12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commercialize any of our product candidates, including the cost and timing of forming and expanding our sales organization and marketing capabilities;</w:t>
      </w:r>
    </w:p>
    <w:p>
      <w:pPr>
        <w:spacing w:after="0" w:line="173" w:lineRule="exact"/>
        <w:rPr>
          <w:rFonts w:ascii="Arial" w:cs="Arial" w:eastAsia="Arial" w:hAnsi="Arial"/>
          <w:sz w:val="16"/>
          <w:szCs w:val="16"/>
          <w:color w:val="auto"/>
        </w:rPr>
      </w:pPr>
    </w:p>
    <w:p>
      <w:pPr>
        <w:ind w:left="960" w:right="18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sales revenues from our product candidates, if approved, including the sales price and the availability of coverage and adequate third-party reimbursement;</w:t>
      </w:r>
    </w:p>
    <w:p>
      <w:pPr>
        <w:spacing w:after="0" w:line="185" w:lineRule="exact"/>
        <w:rPr>
          <w:rFonts w:ascii="Arial" w:cs="Arial" w:eastAsia="Arial" w:hAnsi="Arial"/>
          <w:sz w:val="16"/>
          <w:szCs w:val="16"/>
          <w:color w:val="auto"/>
        </w:rPr>
      </w:pPr>
    </w:p>
    <w:p>
      <w:pPr>
        <w:ind w:left="960" w:right="28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competitive and potentially competitive products and technologies and patients' receptivity to our product candidates and the technology underlying them in light of competitive products and technologies;</w:t>
      </w:r>
    </w:p>
    <w:p>
      <w:pPr>
        <w:spacing w:after="0" w:line="173"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cash requirements of any future acquisitions, developments or discovery of additional product candidates, including any licensing or collaboration agreements;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 and cost necessary to respond to technological and market developments;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filing, prosecuting, defending and enforcing any patent claims and other intellectual property rights;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 or any products;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associated with being a public company;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need and ability to hire additional personnel;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60" w:hanging="481"/>
        <w:spacing w:after="0" w:line="24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receptivity of the capital markets to financings by biotechnology companies generally and companies with product candidates and technologies such as ours specifically.</w:t>
      </w:r>
    </w:p>
    <w:p>
      <w:pPr>
        <w:spacing w:after="0" w:line="185"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Dislocations in the financial markets may make equity and debt financing more difficult to obtain, and may have a material adverse effect on our ability to meet our fundraising needs when they arise. Additional funds may not be available when we need them, on terms that are acceptable to us, or at all. If we are unable to obtain funding on a timely basis, we may be required to significantly curtail, delay or discontinue one or more of our pre-clinical studies, clinical trials or other research or development programs, the commercialization of any product candidate. We may also be unable to expand our operations or otherwise capitalize on our business opportunities or may be required to relinquish rights to our product candidates or products. Any of these occurrences could materially affect our business, financial condition and results of operations.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Raising additional capital may cause dilution to our shareholders, including purchasers of shares in this offering, restrict our operations or require us to relinquish rights to our technologies or product candidates.</w:t>
      </w:r>
    </w:p>
    <w:p>
      <w:pPr>
        <w:spacing w:after="0" w:line="16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Until such time as we can generate substantial product revenues, if ever, we expect to finance our cash needs through securities offerings or debt financings, or possibly, license and collaboration agreements or research grants. The terms of any financing may adversely affect the holdings or the rights of our shareholders and our issuance of additional securities, whether equity or debt, or the possibility of such issuance, may cause the market price of our Class A common shares to decline. The sale of additional equity or convertible securities would dilute all of our shareholders, including your ownership interest.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product candidates or future revenue streams, or otherwise agree to terms unfavorable to us, any of which may have a material adverse effect on our business, operating results and prospects.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shares to decline.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and Regulatory Approval</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We depend heavily on the success of rilonacept, mavrilimumab and KPL-716, which are in various stages of clinical development. If we are unable to advance our product candidates in clinical development, obtain regulatory approval and ultimately commercialize our product candidates, or experience significant delays in doing so, our business will be materially harmed.</w:t>
      </w:r>
    </w:p>
    <w:p>
      <w:pPr>
        <w:spacing w:after="0" w:line="179" w:lineRule="exact"/>
        <w:rPr>
          <w:sz w:val="20"/>
          <w:szCs w:val="20"/>
          <w:color w:val="auto"/>
        </w:rPr>
      </w:pPr>
    </w:p>
    <w:p>
      <w:pPr>
        <w:ind w:right="140" w:firstLine="436"/>
        <w:spacing w:after="0" w:line="262" w:lineRule="auto"/>
        <w:rPr>
          <w:sz w:val="20"/>
          <w:szCs w:val="20"/>
          <w:color w:val="auto"/>
        </w:rPr>
      </w:pPr>
      <w:r>
        <w:rPr>
          <w:rFonts w:ascii="Arial" w:cs="Arial" w:eastAsia="Arial" w:hAnsi="Arial"/>
          <w:sz w:val="15"/>
          <w:szCs w:val="15"/>
          <w:color w:val="auto"/>
        </w:rPr>
        <w:t>We do not currently generate any revenue from sales of any products, and we may never be able to develop or commercialize marketable products. Each of our product candidates require additional clinical development, management of pre-clinical, clinical or manufacturing activities, regulatory approval, obtaining adequate manufacturing supply, building of a commercial organization, and significant marketing efforts before we generate any revenue from product sales.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We have three product candidates in various stages of clinical development and two at the pre-clinical development stage. None of them have been previously studied in the indications for which we are developing them. We may not be able to demonstrate that they are safe or effective in the indications for which we are studying them and they may not be approved. Although rilonacept is approved and marketed for human use for the treatment of CAPS in the United States by Regeneron, we are studying rilonacept for the treatment of recurrent pericarditis in an open-label Phase 2 proof-of-concept clinical trial, and, if the preliminary data are favorable, we plan to advance development to a Phase 3 clinical trial in 2018. Mavrilimumab has been through Phase 2 clinical trials conducted by MedImmune for the treatment of rheumatoid arthritis, or RA, but we plan to enter into Phase 2 clinical trials with mavrilimumab for the treatment of GCA. Our third product candidate, KPL-716, is currently undergoing a Phase 1a clinical trial in healthy volunteers and a Phase 1b clinical trial in subjects with atopic dermatitis and, if the data from our Phase 1a/1b clinical trial are favorable, we intend to commence Phase 2 clinical trials for atopic dermatitis as well as prurigo nodularis. Our assumptions about why these product candidates are worthy of future development and potential approval in these, or any, indications are based on indirect data primarily collected by other companies. We also have pre-clinical product candidates that will need to progress through IND-enabling studies prior to clinical development. None of our product candidates have advanced into a pivotal study for the indications for which we are studying. We are not permitted to market or promote any of our product candidates before we receive regulatory approval from the FDA or comparable foreign regulatory authorities.</w:t>
      </w:r>
    </w:p>
    <w:p>
      <w:pPr>
        <w:spacing w:after="0" w:line="193"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We have not submitted, and we may never submit marketing applications to the FDA or comparable foreign regulatory authorities for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one or more of our product candidates, we may not be able to continue our operations.</w:t>
      </w:r>
    </w:p>
    <w:p>
      <w:pPr>
        <w:spacing w:after="0" w:line="187"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Each of our product candidates will require additional pre-clinical and/or clinical development, regulatory approval in one or more jurisdictions, obtaining manufacturing supply, capacity and expertise, building of a commercial organization, substantial investment and significant marketing efforts before we are able to generate any revenue from product sales. The success of our product candidates will depend on several factors, including the following:</w:t>
      </w:r>
    </w:p>
    <w:p>
      <w:pPr>
        <w:spacing w:after="0" w:line="186" w:lineRule="exact"/>
        <w:rPr>
          <w:sz w:val="20"/>
          <w:szCs w:val="20"/>
          <w:color w:val="auto"/>
        </w:rPr>
      </w:pPr>
    </w:p>
    <w:p>
      <w:pPr>
        <w:ind w:left="960" w:right="34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completion of pre-clinical studies, including toxicology studies, biodistribution studies and minimally efficacious dose studies in animals, conducted, where applicable, under the FDA's Good Laboratory Practice, or GLP, regulations;</w:t>
      </w:r>
    </w:p>
    <w:p>
      <w:pPr>
        <w:spacing w:after="0" w:line="185"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submission to the FDA of INDs and of clinical trial applications to foreign governmental authorities, for our product candidates to commence planned clinical trials or future clinical trials;</w:t>
      </w:r>
    </w:p>
    <w:p>
      <w:pPr>
        <w:spacing w:after="0" w:line="173" w:lineRule="exact"/>
        <w:rPr>
          <w:rFonts w:ascii="Arial" w:cs="Arial" w:eastAsia="Arial" w:hAnsi="Arial"/>
          <w:sz w:val="16"/>
          <w:szCs w:val="16"/>
          <w:color w:val="auto"/>
        </w:rPr>
      </w:pPr>
    </w:p>
    <w:p>
      <w:pPr>
        <w:ind w:left="960" w:right="40" w:hanging="481"/>
        <w:spacing w:after="0" w:line="239"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 the design and implementation of which are agreed to by the applicable regulatory authorities, and the conduct of clinical trials by contract research organizations, or CROs, to successfully conduct such trials within our planned budget and timing parameters and without materially adversely impacting our trials;</w:t>
      </w:r>
    </w:p>
    <w:p>
      <w:pPr>
        <w:spacing w:after="0" w:line="174"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data from our clinical programs that support an acceptable risk-benefit profile of our product candidates for the targeted indications in the intended populations to the satisfaction of the applicable regulatory authorities;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timely receipt, if at all, of regulatory approvals from applicable regulatory authorities;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of arrangements with third-party manufacturers, as applicable, for continued clinical supply and commercial manufacturing;</w:t>
      </w:r>
    </w:p>
    <w:p>
      <w:pPr>
        <w:spacing w:after="0" w:line="189" w:lineRule="exact"/>
        <w:rPr>
          <w:rFonts w:ascii="Arial" w:cs="Arial" w:eastAsia="Arial" w:hAnsi="Arial"/>
          <w:sz w:val="16"/>
          <w:szCs w:val="16"/>
          <w:color w:val="auto"/>
        </w:rPr>
      </w:pPr>
    </w:p>
    <w:p>
      <w:pPr>
        <w:ind w:left="960" w:right="520" w:hanging="481"/>
        <w:spacing w:after="0" w:line="273" w:lineRule="auto"/>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successful development of our manufacturing processes and transfer to new third-party facilities to support future development activities and commercialization that are operated by contract manufacturing organizations, or CMOs, in a manner compliant with all regulatory requirements;</w:t>
      </w:r>
    </w:p>
    <w:p>
      <w:pPr>
        <w:spacing w:after="0" w:line="150" w:lineRule="exact"/>
        <w:rPr>
          <w:rFonts w:ascii="Arial" w:cs="Arial" w:eastAsia="Arial" w:hAnsi="Arial"/>
          <w:sz w:val="15"/>
          <w:szCs w:val="15"/>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and maintenance of patent and trade secret protection or regulatory exclusivity for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 commercial launch of our product candidates, if and when approved;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acceptance of our products, if and when approved, by patients, the medical community and third-party payors;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competition with other therapies;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and maintenance of adequate healthcare coverage and reimbursement;</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enforcement and defense of intellectual property rights and claims;</w:t>
      </w:r>
    </w:p>
    <w:p>
      <w:pPr>
        <w:spacing w:after="0" w:line="177"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compliance with any post-marketing requirements imposed by regulatory authorities, including any required post-marketing clinical trials or REMS; and</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of a continued acceptable safety profile of the product candidates following approval.</w:t>
      </w:r>
    </w:p>
    <w:p>
      <w:pPr>
        <w:spacing w:after="0" w:line="190"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If we do not accomplish one or more of these factors in a timely manner or at all, we could experience significant delays or an inability to successfully commercialize our product candidates, which would materially harm our business. If we do not receive regulatory approvals for one or more of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88" w:lineRule="exact"/>
        <w:rPr>
          <w:sz w:val="20"/>
          <w:szCs w:val="20"/>
          <w:color w:val="auto"/>
        </w:rPr>
      </w:pPr>
    </w:p>
    <w:p>
      <w:pPr>
        <w:ind w:right="240" w:firstLine="436"/>
        <w:spacing w:after="0" w:line="238" w:lineRule="auto"/>
        <w:rPr>
          <w:sz w:val="20"/>
          <w:szCs w:val="20"/>
          <w:color w:val="auto"/>
        </w:rPr>
      </w:pPr>
      <w:r>
        <w:rPr>
          <w:rFonts w:ascii="Arial" w:cs="Arial" w:eastAsia="Arial" w:hAnsi="Arial"/>
          <w:sz w:val="16"/>
          <w:szCs w:val="16"/>
          <w:color w:val="auto"/>
        </w:rPr>
        <w:t>We plan to seek regulatory approval to commercialize our product candidates in the United States and potentially in foreign countries. While the scope of regulatory approval is similar in many countries, to obtain separate regulatory approval in multiple countries will require us to comply with numerous and varying regulatory requirements of each such country or jurisdiction regarding safety and efficacy and governing, among other things, clinical trials and commercial sales, pricing and distribution, and we cannot predict success in any such jurisdictions.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Clinical drug development is a lengthy and expensive process with uncertain timelines and uncertain outcomes. We may encounter substantial delays in our clinical trials, or we may fail to demonstrate safety and efficacy to the satisfaction of applicable regulatory authorities. We may therefore be unable to obtain required regulatory approvals and be unable to commercialize our product candidates on a timely basis, if at all.</w:t>
      </w:r>
    </w:p>
    <w:p>
      <w:pPr>
        <w:spacing w:after="0" w:line="179"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Clinical testing is expensive, time consuming and uncertain as to outcome. We cannot guarantee that any clinical trials will be conducted as planned or completed on schedule, if at all.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Subject to obtaining favorable preliminary data from our ongoing open-label Phase 2 proof-of-concept clinical trial of rilonacept, we plan to initiate a Phase 3 clinical trial for rilonacept as a treatment for recurrent pericarditis in 2018. We have not yet had any discussions with the FDA regarding the design of a Phase 3 clinical trial for rilonacept for treatment of recurrent pericarditis. We also plan to initiate a Phase 2 clinical trial of mavrilimumab for the treatment of GCA in 2018. Subject to favorable data from our Phase 1a/1b clinical trial of KPL-716 in healthy volunteers and subjects with atopic dermatitis, we plan to commence Phase 2 clinical trials of KPL-716 for the treatment of atopic dermatitis as well as prurigo nodularis. We are also continuing preparation for IND-enabling studies of KPL-045 and KPL-404 prior to initiating clinical trials. Commencing our planned clinical trials is subject to acceptance by the FDA of an IND or an IND amendment, or acceptance by European regulatory authorities of a CTA, as applicable, and finalizing the trial design based on discussions with the FDA, European regulatory authorities or other applicable regulatory authorities. Even after we receive and incorporate guidance from these regulatory authorities, the FDA or other regulatory authorities could disagree that we have satisfied their requirements to commence our clinical trials, disagree with our interpretation of data from the relevant pre-clinical studies, clinical trials or CMC data, or disagree or change their position on the acceptability of our trial designs including the proposed dosing schedule, our definitions of the patient populations or the clinical endpoints selected, which may require us to complete additional pre-clinical studies, clinical trials, CMC development, other studies or impose stricter approval conditions than we currently expect. For example, prior to us licensing mavrilimumab, MedImmune submitted an IND to the FDA to conduct a clinical trial of mavrilimumab in RA, and the FDA issued a clinical hold based on its review of certain effects in the lungs observed in non-human primates in pre-clinical toxicity studies. However, following subsequent discussions between MedImmune and the FDA regarding the clinical hold and the availability of additional clinical safety data that MedImmune generated in human clinical trials conducted outside of the United States subsequent to the original IND submission, the FDA acknowledged that the risk/benefit assessment for investigation of mavrilimumab in a clinical trial may differ depending on the patient population studied. Specifically, the FDA acknowledged that the risk/benefit assessment for initiation of a clinical trial may be considered favorable in a patient population with high morbidity and limited effective treatment options, including refractory RA. We believe that the FDA's communications with MedImmune suggest that the FDA could find an acceptable risk/benefit for a clinical trial of mavrilimumab in the United States in GCA, a disease with high morbidity and limited treatment options, which we are pursuing. However, the FDA may disagree and may require that we generate additional data, or that we implement additional monitoring or other trial design changes prior to initiating clinical trials of mavrilimumab in the United States.</w:t>
      </w:r>
    </w:p>
    <w:p>
      <w:pPr>
        <w:spacing w:after="0" w:line="193" w:lineRule="exact"/>
        <w:rPr>
          <w:sz w:val="20"/>
          <w:szCs w:val="20"/>
          <w:color w:val="auto"/>
        </w:rPr>
      </w:pPr>
    </w:p>
    <w:p>
      <w:pPr>
        <w:ind w:right="280" w:firstLine="436"/>
        <w:spacing w:after="0" w:line="258" w:lineRule="auto"/>
        <w:rPr>
          <w:sz w:val="20"/>
          <w:szCs w:val="20"/>
          <w:color w:val="auto"/>
        </w:rPr>
      </w:pPr>
      <w:r>
        <w:rPr>
          <w:rFonts w:ascii="Arial" w:cs="Arial" w:eastAsia="Arial" w:hAnsi="Arial"/>
          <w:sz w:val="15"/>
          <w:szCs w:val="15"/>
          <w:color w:val="auto"/>
        </w:rPr>
        <w:t>Further, we could discover that our clinical trial design leads to enrollment difficulties which could require protocol amendments and further delay our study. Successful completion of our clinical trials is a prerequisite to submitting a biologics license application, or BLA, to the FDA and a marketing authorization application, or MAA, to the European Medicines Agency, or EMA, for each product candidate and, consequently, to obtaining approval and initiating commercial marketing of our current and future product candidates. We do not know whether any of our clinical trials will begin or be completed on schedule, if at all.</w:t>
      </w:r>
    </w:p>
    <w:p>
      <w:pPr>
        <w:spacing w:after="0" w:line="175" w:lineRule="exact"/>
        <w:rPr>
          <w:sz w:val="20"/>
          <w:szCs w:val="20"/>
          <w:color w:val="auto"/>
        </w:rPr>
      </w:pPr>
    </w:p>
    <w:p>
      <w:pPr>
        <w:jc w:val="both"/>
        <w:ind w:right="220" w:firstLine="427"/>
        <w:spacing w:after="0" w:line="239" w:lineRule="auto"/>
        <w:rPr>
          <w:sz w:val="20"/>
          <w:szCs w:val="20"/>
          <w:color w:val="auto"/>
        </w:rPr>
      </w:pPr>
      <w:r>
        <w:rPr>
          <w:rFonts w:ascii="Arial" w:cs="Arial" w:eastAsia="Arial" w:hAnsi="Arial"/>
          <w:sz w:val="16"/>
          <w:szCs w:val="16"/>
          <w:color w:val="auto"/>
        </w:rPr>
        <w:t>A failure of one or more clinical trials can occur at any stage of testing, and our future clinical trials may not be successful. We may experience delays in our ongoing clinical trials and we do not know whether planned clinical trials will begin on time, will be allowed by regulatory authorities, need to be redesigned, enroll patients on time or will be completed on schedule, if at all.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that may prevent successful or timely completion of clinical development include but are not limited to:</w:t>
      </w:r>
    </w:p>
    <w:p>
      <w:pPr>
        <w:spacing w:after="0" w:line="190" w:lineRule="exact"/>
        <w:rPr>
          <w:sz w:val="20"/>
          <w:szCs w:val="20"/>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inability to generate sufficient pre-clinical, toxicology or other in vivo or in vitro data to support the initiation of human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trial design or implementation;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establishing the appropriate dosage levels or frequency of dosing or treatment in clinical trials;</w:t>
      </w:r>
    </w:p>
    <w:p>
      <w:pPr>
        <w:spacing w:after="0" w:line="177"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and clinical trial sites, the terms of which can be subject to extensive negotiation and may vary significantly among different CROs and clinical trial sites;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obtaining required Institutional Review Board, or IRB, approval at each clinical trial site;</w:t>
      </w:r>
    </w:p>
    <w:p>
      <w:pPr>
        <w:spacing w:after="0" w:line="177" w:lineRule="exact"/>
        <w:rPr>
          <w:rFonts w:ascii="Arial" w:cs="Arial" w:eastAsia="Arial" w:hAnsi="Arial"/>
          <w:sz w:val="16"/>
          <w:szCs w:val="16"/>
          <w:color w:val="auto"/>
        </w:rPr>
      </w:pPr>
    </w:p>
    <w:p>
      <w:pPr>
        <w:ind w:left="960" w:right="3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or failure to obtain regulatory approval to commence a trial, or imposition of a clinical hold by regulatory agencies, after review of an IND, application or amendment, or equivalent application or amendment, or an inspection of our clinical trial operations or study sites;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challenges in recruiting and enrolling suitable patients to participate in our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amendments to protocols amending study criteria and design;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collaborating with patient groups and investigators;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by our CROs, other third parties, or us to adhere to clinical trial requirements or to perform their obligations in a timely or compliant manner;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practices requirements, or GCPs, or applicable regulatory guidelines in other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patients not completing participation in a clinical trial or return for post-treatment follow-up;</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clinical trial sites or patients dropping out of a clinical trial;</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participating patients experiencing serious adverse events or undesirable side effects or are exposed to unacceptable health risks;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safety issues, including occurrence of adverse events associated with the product candidate that are viewed to outweigh its potential benefits;</w:t>
      </w:r>
    </w:p>
    <w:p>
      <w:pPr>
        <w:spacing w:after="0" w:line="189"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in identifying the populations that we are trying to enroll in a particular trial, which may delay enrollment and reduce the power of a clinical trial to detect statistically significant results;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regulatory requirements, policies and guidance that require amending or submitting new clinical protocols;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being greater than we anticipate;</w:t>
      </w:r>
    </w:p>
    <w:p>
      <w:pPr>
        <w:spacing w:after="0" w:line="189" w:lineRule="exact"/>
        <w:rPr>
          <w:rFonts w:ascii="Arial" w:cs="Arial" w:eastAsia="Arial" w:hAnsi="Arial"/>
          <w:sz w:val="16"/>
          <w:szCs w:val="16"/>
          <w:color w:val="auto"/>
        </w:rPr>
      </w:pPr>
    </w:p>
    <w:p>
      <w:pPr>
        <w:ind w:left="960" w:right="5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clinical trials of our product candidates producing negative or inconclusive results, which may result in us deciding, or regulators requiring us, to conduct additional clinical trials or abandon drug development programs; and</w:t>
      </w:r>
    </w:p>
    <w:p>
      <w:pPr>
        <w:spacing w:after="0" w:line="173"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manufacturing, testing, releasing, validating or importing/exporting sufficient stable quantities of our product candidates for use in clinical trials or the inability to do any of the foregoing.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could encounter delays if a clinical trial is suspended or terminated by us, the IRBs of the institutions in which such trials are being conducted, the Data Safety Monitoring Board, for such trial or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that arise in our trial,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our product candidates.</w:t>
      </w:r>
    </w:p>
    <w:p>
      <w:pPr>
        <w:spacing w:after="0" w:line="18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Clinical trials must be conducted in accordance with the laws and regulations of the FDA, European Union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our product candidates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European Union and the United States may subject us to further delays and expenses as a result of increased shipment costs, additional regulatory requirements and the engagement of non-EU and non-U.S. CROs, as well as expose us to risks associated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clinical investigators who are unknown to the FDA or the EMA, and different standards of diagnosis, screening and medical care.</w:t>
      </w:r>
    </w:p>
    <w:p>
      <w:pPr>
        <w:spacing w:after="0" w:line="19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Further, conducting clinical trials in foreign countries, as we may do for certain of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right="20" w:firstLine="436"/>
        <w:spacing w:after="0" w:line="254" w:lineRule="auto"/>
        <w:rPr>
          <w:sz w:val="20"/>
          <w:szCs w:val="20"/>
          <w:color w:val="auto"/>
        </w:rPr>
      </w:pPr>
      <w:r>
        <w:rPr>
          <w:rFonts w:ascii="Arial" w:cs="Arial" w:eastAsia="Arial" w:hAnsi="Arial"/>
          <w:sz w:val="15"/>
          <w:szCs w:val="15"/>
          <w:color w:val="auto"/>
        </w:rPr>
        <w:t>We must produce, through third parties, sufficient stable quantities of our product candidates for use in our clinical trials. Any delays in the production of our product candidates may lead to a delay in our clinical trials. If we make manufacturing or formulation changes to our product candidates or change manufacturers or manufacturing processes, we may be unsuccessful in producing the product as compared to the process or manufacturer used in prior clinical trials, and therefore may need to conduct additional trials to bridge our modified product candidates to earlier versions, which could impact the timing of commencing or completing our clinical trials. Moreover, there is no assurance that future clinical trials utilizing a new formulation of a product candidate manufactured by different manufacturers or pursuant to a new process will result in the favorable result observed in the prior clinical trials of such product candidates as we have observed to date. For example, we will need to produce mavrilimumab using different media and feed compared to the processes that were used by MedImmune to develop our existing inventory. Further, we will need to identify a third party to manufacture mavrilimumab for any Phase 3 clinical trials and commercialization efforts, if any, and will need to transfer the manufacturing process of mavrilimumab to such third-party CMOs. This manufacturer may be unsuccessful in producing the product in quantities or quality necessary to support our clinical trials or commercialization efforts, if any, which would delay development of the mavrilimumab.</w:t>
      </w:r>
    </w:p>
    <w:p>
      <w:pPr>
        <w:spacing w:after="0" w:line="177"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Clinical trial delays could also shorten any periods during which our products have patent protection and may allow our competitors to bring products to market before we do, which could impair our ability to obtain orphan exclusivity and to successfully commercialize our product candidates and may harm our business and results of operations. Any inability to successfully complete pre-clinical and clinical development could result in additional costs to us or impair our ability to generate revenue and harm our business, financial condition and prospects significantly.</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trials in a timely manner given the limited number of patients who have the diseases for which our product candidates are being studied, as well as particular enrollment criteria. Difficulty in enrolling patients could delay or prevent clinical trials of our product candidates, and our research and development efforts could be adversely affected.</w:t>
      </w:r>
    </w:p>
    <w:p>
      <w:pPr>
        <w:spacing w:after="0" w:line="179" w:lineRule="exact"/>
        <w:rPr>
          <w:sz w:val="20"/>
          <w:szCs w:val="20"/>
          <w:color w:val="auto"/>
        </w:rPr>
      </w:pPr>
    </w:p>
    <w:p>
      <w:pPr>
        <w:ind w:right="40" w:firstLine="436"/>
        <w:spacing w:after="0" w:line="256" w:lineRule="auto"/>
        <w:rPr>
          <w:sz w:val="20"/>
          <w:szCs w:val="20"/>
          <w:color w:val="auto"/>
        </w:rPr>
      </w:pPr>
      <w:r>
        <w:rPr>
          <w:rFonts w:ascii="Arial" w:cs="Arial" w:eastAsia="Arial" w:hAnsi="Arial"/>
          <w:sz w:val="15"/>
          <w:szCs w:val="15"/>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 and we may experience delays in our clinical trials if we encounter difficulties in enrollment. Patient enrollment depends on many factors, including the size and nature of the patient population, eligibility criteria for the clinical trial, the proximity of patients to clinical sites, the design of the clinical protocol, the availability of competing clinical trials, the availability of new drugs approved for the indication the clinical trial is investigating, the risk that patients enrolled in clinical trials will drop out of the trials before completion of their treatment and clinicians' and patients' perceptions as to the safety and potential advantages of the product candidate being studied in relation to other available therapies.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41" w:lineRule="auto"/>
        <w:rPr>
          <w:sz w:val="20"/>
          <w:szCs w:val="20"/>
          <w:color w:val="auto"/>
        </w:rPr>
      </w:pPr>
      <w:r>
        <w:rPr>
          <w:rFonts w:ascii="Arial" w:cs="Arial" w:eastAsia="Arial" w:hAnsi="Arial"/>
          <w:sz w:val="16"/>
          <w:szCs w:val="16"/>
          <w:color w:val="auto"/>
        </w:rPr>
        <w:t>Many of the conditions for which we plan to evaluate our current product candidates in the near future are in small disease populations. Accordingly, there are limited patient pools from which to draw for clinical trials.</w:t>
      </w:r>
    </w:p>
    <w:p>
      <w:pPr>
        <w:spacing w:after="0" w:line="185" w:lineRule="exact"/>
        <w:rPr>
          <w:sz w:val="20"/>
          <w:szCs w:val="20"/>
          <w:color w:val="auto"/>
        </w:rPr>
      </w:pPr>
    </w:p>
    <w:p>
      <w:pPr>
        <w:ind w:right="40" w:firstLine="436"/>
        <w:spacing w:after="0" w:line="253" w:lineRule="auto"/>
        <w:rPr>
          <w:sz w:val="20"/>
          <w:szCs w:val="20"/>
          <w:color w:val="auto"/>
        </w:rPr>
      </w:pPr>
      <w:r>
        <w:rPr>
          <w:rFonts w:ascii="Arial" w:cs="Arial" w:eastAsia="Arial" w:hAnsi="Arial"/>
          <w:sz w:val="15"/>
          <w:szCs w:val="15"/>
          <w:color w:val="auto"/>
        </w:rPr>
        <w:t>In addition to the rarity of these diseases, the eligibility criteria of our clinical trials in any of our clinical trials will further limit the pool of available trial participants as we will require patients to have specific characteristics that we can measure or to assure their disease is either severe enough or not too advanced to include them in a trial. Further, we could learn that our clinical trial design increased the difficulty to enroll patients and could delay our trials. The process of finding and diagnosing patients may prove costly, especially since the rare diseases we are studying are commonly under diagnosed. We also may not be able to identify, recruit, enroll and retain a sufficient number of patients to complete our clinical trials because of the perceived risks and benefits of the product candidate under trial, the proximity and availability of clinical trial sites for prospective patients and the patient referral practices of physicians. The availability and efficacy of competing therapies and clinical trials, and clinicians' and patients' perceptions as to the potential advantages of the product candidate being studied in relation to those available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our product candidates will be harmed, and our ability to generate product revenue from any of these product candidates could be delayed or prevented. Moreover, failure to obtain and maintain patient consents can also lead to delay or prevent completion of clinical trials of our product candidates.</w:t>
      </w:r>
    </w:p>
    <w:p>
      <w:pPr>
        <w:spacing w:after="0" w:line="18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our clinical trials may compete with other clinical trials for product candidates that are in the same therapeutic areas as our product candidates, and this competition may further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Delays in patient enrollment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safety risks that could delay or prevent their regulatory approval, limit the commercial profile of an approved label or result in significant negative consequences, including withdrawal of approval, following any potential marketing approval.</w:t>
      </w:r>
    </w:p>
    <w:p>
      <w:pPr>
        <w:spacing w:after="0" w:line="179" w:lineRule="exact"/>
        <w:rPr>
          <w:sz w:val="20"/>
          <w:szCs w:val="20"/>
          <w:color w:val="auto"/>
        </w:rPr>
      </w:pPr>
    </w:p>
    <w:p>
      <w:pPr>
        <w:ind w:right="180" w:firstLine="433"/>
        <w:spacing w:after="0" w:line="239" w:lineRule="auto"/>
        <w:rPr>
          <w:sz w:val="20"/>
          <w:szCs w:val="20"/>
          <w:color w:val="auto"/>
        </w:rPr>
      </w:pPr>
      <w:r>
        <w:rPr>
          <w:rFonts w:ascii="Arial" w:cs="Arial" w:eastAsia="Arial" w:hAnsi="Arial"/>
          <w:sz w:val="16"/>
          <w:szCs w:val="16"/>
          <w:color w:val="auto"/>
        </w:rPr>
        <w:t>Treatment with our product candidates may produce undesirable side effects or adverse reactions or events. 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w:t>
      </w:r>
    </w:p>
    <w:p>
      <w:pPr>
        <w:spacing w:after="0" w:line="186"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All of our product candidates modulate the immune system and carry risks associated with immunosuppression, including the theoretical risk of serious infections and cancer. Some common side effects of rilonacept include, cold symptoms, nausea, stomach pain, diarrhea, numbness or tingly feeling and injection site reaction. For mavrilimumab, there is a theoretical risk for the development of pulmonary alveolar proteinosis, or PAP. PAP is a rare lung disorder in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surfactant-derived lipoproteins accumulate excessively within pulmonary alveoli due to loss of GM-CSF function. The disease can range in severity from a sub-clinical reduction in diffusion capacity to significant dyspnea during mild exertion. In pre-clinical studies conducted by MedImmune, certain effects were observed in the lungs of non-human primates, which led the FDA to issue a clinical hold with respect to MedImmune's proposed clinical trial in rheumatoid arthritis. Pre-clinical data generated to date suggest mavrilimumab does not reach the lungs in sufficient quantities to induce PAP at clinically relevant doses and human trials thus far have not shown a clinical effect on pulmonary function tests attributable to mavrilimumab. If the results of our trials reveal a high or unacceptable severity and prevalence of these or other side effects, the FDA or applicable foreign regulatory agency may not authorize us to initiate our trials, or if initiated, our clinical trials could be suspended or terminated. The FDA or comparable foreign regulatory authorities could order us to cease further development of, or deny or withdraw approval of, any of our product candidates for any or all targeted indications.</w:t>
      </w:r>
    </w:p>
    <w:p>
      <w:pPr>
        <w:spacing w:after="0" w:line="187" w:lineRule="exact"/>
        <w:rPr>
          <w:sz w:val="20"/>
          <w:szCs w:val="20"/>
          <w:color w:val="auto"/>
        </w:rPr>
      </w:pPr>
    </w:p>
    <w:p>
      <w:pPr>
        <w:ind w:right="320" w:firstLine="427"/>
        <w:spacing w:after="0" w:line="241"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caused by such product, a number of potentially significant negative consequences could result, including but not limited to:</w:t>
      </w:r>
    </w:p>
    <w:p>
      <w:pPr>
        <w:spacing w:after="0" w:line="185" w:lineRule="exact"/>
        <w:rPr>
          <w:sz w:val="20"/>
          <w:szCs w:val="20"/>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withdraw approvals of such product and require us to take them off the market;</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specific warnings, contraindications or field alerts to physicians and pharmacies;</w:t>
      </w:r>
    </w:p>
    <w:p>
      <w:pPr>
        <w:spacing w:after="0" w:line="189" w:lineRule="exact"/>
        <w:rPr>
          <w:rFonts w:ascii="Arial" w:cs="Arial" w:eastAsia="Arial" w:hAnsi="Arial"/>
          <w:sz w:val="15"/>
          <w:szCs w:val="15"/>
          <w:color w:val="auto"/>
        </w:rPr>
      </w:pPr>
    </w:p>
    <w:p>
      <w:pPr>
        <w:ind w:left="960" w:hanging="481"/>
        <w:spacing w:after="0" w:line="241"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administered, conduct additional clinical trials or change the labeling of products;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subject to limitations on how we promote the product, or sales of the product may decrease significantly;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90" w:lineRule="exact"/>
        <w:rPr>
          <w:sz w:val="20"/>
          <w:szCs w:val="20"/>
          <w:color w:val="auto"/>
        </w:rPr>
      </w:pPr>
    </w:p>
    <w:p>
      <w:pPr>
        <w:ind w:right="20" w:firstLine="427"/>
        <w:spacing w:after="0" w:line="241"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could significantly harm our business, results of operations and prospects.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Prior to our in-license or acquisition of rilonacept, mavrilimumab, KPL-716, KPL-045, and KPL-404, we were not involved in the development of these product candidates and, as a result, we are dependent on Regeneron, MedImmune, Biogen, Novo Nordisk and Primatope having accurately reported the results and correctly collected and interpreted the data from all pre-clinical and clinical trials conducted prior to our acquisition.</w:t>
      </w:r>
    </w:p>
    <w:p>
      <w:pPr>
        <w:spacing w:after="0" w:line="179"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We had no involvement with or control over the pre-clinical and clinical development of any of our product candidates prior to our in-license or acquisition of them. We are dependent on Regeneron, MedImmune, Biogen, Novo Nordisk, and Primatope having conducted their research and development in accordance with the applicable protocols and legal, regulatory and scientific standards; having accurately reported the results of all pre-clinical studies and clinical trials conducted prior to our in-license or acquisition; and having correctly collected and interpreted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data from these trials. If these activities were not compliant, accurate or correct, the clinical development, regulatory approval, or commercialization of one or more of our product candidates will be adversely affected.</w:t>
      </w:r>
    </w:p>
    <w:p>
      <w:pPr>
        <w:spacing w:after="0" w:line="167"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b w:val="1"/>
          <w:bCs w:val="1"/>
          <w:i w:val="1"/>
          <w:iCs w:val="1"/>
          <w:color w:val="auto"/>
        </w:rPr>
        <w:t>If we cannot replicate positive results from earlier pre-clinical studies conducted by us or the companies from whom we have licensed or acquired or may in the future license or acquire our product candidates in our later clinical trials, we may be unable to successfully develop, obtain regulatory approval for and commercialize our product candidates. We have not yet generated any human data demonstrating efficacy in the diseases in which we are studying our product candidates, and we may never be able to do so.</w:t>
      </w:r>
    </w:p>
    <w:p>
      <w:pPr>
        <w:spacing w:after="0" w:line="18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Positive results from our pre-clinical studies, and any positive results we may obtain from our early clinical trials of our product candidates or from the clinical trials conducted by the companies from whom we licensed or acquired or may in the future license or acquire our product candidates, may not necessarily be predictive of the results from our required later pre-clinical studies and clinical trials. Similarly, even if we are able to complete our planned pre-clinical studies or clinical trials of our product candidates, the positive results from the pre-clinical studies and clinical trials of our product candidates may not be replicated in our subsequent pre-clinical studies or clinical trial results. None of our product candidates have been studied for the indications in which we are developing them, and we cannot provide any assurance that their development will be successful. For example, although rilonacept is FDA-approved for the treatment of CAPS, and mavrilimumab has been studied in Phase 2 clinical trials for the treatment of RA, their safety and efficacy has not been determined in recurrent pericarditis or GCA, respectively, and each may fail to receive regulatory approval for those indications.</w:t>
      </w:r>
    </w:p>
    <w:p>
      <w:pPr>
        <w:spacing w:after="0" w:line="187" w:lineRule="exact"/>
        <w:rPr>
          <w:sz w:val="20"/>
          <w:szCs w:val="20"/>
          <w:color w:val="auto"/>
        </w:rPr>
      </w:pPr>
    </w:p>
    <w:p>
      <w:pPr>
        <w:ind w:right="100" w:firstLine="436"/>
        <w:spacing w:after="0" w:line="255" w:lineRule="auto"/>
        <w:rPr>
          <w:sz w:val="20"/>
          <w:szCs w:val="20"/>
          <w:color w:val="auto"/>
        </w:rPr>
      </w:pPr>
      <w:r>
        <w:rPr>
          <w:rFonts w:ascii="Arial" w:cs="Arial" w:eastAsia="Arial" w:hAnsi="Arial"/>
          <w:sz w:val="15"/>
          <w:szCs w:val="15"/>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or EMA approval. Furthermore, the approval policies or regulations of the FDA or the applicable foreign regulatory agencies may significantly change in a manner rendering our clinical data insufficient for approval, which may lead to the FDA or any foreign regulatory bodies delaying, limiting or denying approval of our product candidates.</w:t>
      </w:r>
    </w:p>
    <w:p>
      <w:pPr>
        <w:spacing w:after="0" w:line="15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8" w:lineRule="exact"/>
        <w:rPr>
          <w:sz w:val="20"/>
          <w:szCs w:val="20"/>
          <w:color w:val="auto"/>
        </w:rPr>
      </w:pPr>
    </w:p>
    <w:p>
      <w:pPr>
        <w:ind w:right="380" w:firstLine="436"/>
        <w:spacing w:after="0" w:line="237" w:lineRule="auto"/>
        <w:rPr>
          <w:sz w:val="20"/>
          <w:szCs w:val="20"/>
          <w:color w:val="auto"/>
        </w:rPr>
      </w:pPr>
      <w:r>
        <w:rPr>
          <w:rFonts w:ascii="Arial" w:cs="Arial" w:eastAsia="Arial" w:hAnsi="Arial"/>
          <w:sz w:val="16"/>
          <w:szCs w:val="16"/>
          <w:color w:val="auto"/>
        </w:rPr>
        <w:t>From time to time, we may publish interim "top-line" or preliminary data from our clinical trials.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Regulatory approval processes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9" w:lineRule="exact"/>
        <w:rPr>
          <w:sz w:val="20"/>
          <w:szCs w:val="20"/>
          <w:color w:val="auto"/>
        </w:rPr>
      </w:pPr>
    </w:p>
    <w:p>
      <w:pPr>
        <w:ind w:firstLine="436"/>
        <w:spacing w:after="0" w:line="253"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or clearance to market any of our product candidates from regulatory authorities in any jurisdiction and it is possible that none of our product candidates or any product candidates we may seek to develop in the future will ever obtain regulatory approval or clearance. We have only limited experience in filing and supporting the applications necessary to gain regulatory approvals and may need to rely on third-party CROs and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biologic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or any other regulatory authority.</w:t>
      </w:r>
    </w:p>
    <w:p>
      <w:pPr>
        <w:spacing w:after="0" w:line="181"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process of obtaining regulatory approvals, both in the United States and in other countries,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trials. Approval by the FDA in the United States, if obtained, does not ensure approval by regulatory authorities in other countries or jurisdictions. Our product candidates could be delayed in receiving, or fail to receive, regulatory approval for many reasons, including the following:</w:t>
      </w:r>
    </w:p>
    <w:p>
      <w:pPr>
        <w:spacing w:after="0" w:line="187" w:lineRule="exact"/>
        <w:rPr>
          <w:sz w:val="20"/>
          <w:szCs w:val="20"/>
          <w:color w:val="auto"/>
        </w:rPr>
      </w:pPr>
    </w:p>
    <w:p>
      <w:pPr>
        <w:ind w:left="960" w:right="26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number, design or implementation of our clinical trials to support further development or approval;</w:t>
      </w:r>
    </w:p>
    <w:p>
      <w:pPr>
        <w:spacing w:after="0" w:line="185" w:lineRule="exact"/>
        <w:rPr>
          <w:rFonts w:ascii="Arial" w:cs="Arial" w:eastAsia="Arial" w:hAnsi="Arial"/>
          <w:sz w:val="16"/>
          <w:szCs w:val="16"/>
          <w:color w:val="auto"/>
        </w:rPr>
      </w:pPr>
    </w:p>
    <w:p>
      <w:pPr>
        <w:ind w:left="960" w:right="44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73" w:lineRule="exact"/>
        <w:rPr>
          <w:rFonts w:ascii="Arial" w:cs="Arial" w:eastAsia="Arial" w:hAnsi="Arial"/>
          <w:sz w:val="16"/>
          <w:szCs w:val="16"/>
          <w:color w:val="auto"/>
        </w:rPr>
      </w:pPr>
    </w:p>
    <w:p>
      <w:pPr>
        <w:ind w:left="960" w:right="58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or comparable foreign regulatory authorities for approval;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77" w:lineRule="exact"/>
        <w:rPr>
          <w:rFonts w:ascii="Arial" w:cs="Arial" w:eastAsia="Arial" w:hAnsi="Arial"/>
          <w:sz w:val="16"/>
          <w:szCs w:val="16"/>
          <w:color w:val="auto"/>
        </w:rPr>
      </w:pPr>
    </w:p>
    <w:p>
      <w:pPr>
        <w:ind w:left="960" w:right="24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that we have provided sufficient safety data or adequately demonstrated clinical benefit in a patient population or subpopulation studied in the clinical trial;</w:t>
      </w:r>
    </w:p>
    <w:p>
      <w:pPr>
        <w:spacing w:after="0" w:line="173" w:lineRule="exact"/>
        <w:rPr>
          <w:rFonts w:ascii="Arial" w:cs="Arial" w:eastAsia="Arial" w:hAnsi="Arial"/>
          <w:sz w:val="16"/>
          <w:szCs w:val="16"/>
          <w:color w:val="auto"/>
        </w:rPr>
      </w:pPr>
    </w:p>
    <w:p>
      <w:pPr>
        <w:ind w:left="960" w:right="42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regulatory approval in the United States or elsewhere;</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authority could require us to collect additional data or conduct additional clinical studies;</w:t>
      </w:r>
    </w:p>
    <w:p>
      <w:pPr>
        <w:spacing w:after="0" w:line="177" w:lineRule="exact"/>
        <w:rPr>
          <w:rFonts w:ascii="Arial" w:cs="Arial" w:eastAsia="Arial" w:hAnsi="Arial"/>
          <w:sz w:val="16"/>
          <w:szCs w:val="16"/>
          <w:color w:val="auto"/>
        </w:rPr>
      </w:pPr>
    </w:p>
    <w:p>
      <w:pPr>
        <w:ind w:left="960" w:right="100" w:hanging="481"/>
        <w:spacing w:after="0" w:line="239"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174"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89" w:lineRule="exact"/>
        <w:rPr>
          <w:rFonts w:ascii="Arial" w:cs="Arial" w:eastAsia="Arial" w:hAnsi="Arial"/>
          <w:sz w:val="16"/>
          <w:szCs w:val="16"/>
          <w:color w:val="auto"/>
        </w:rPr>
      </w:pPr>
    </w:p>
    <w:p>
      <w:pPr>
        <w:ind w:left="960" w:right="60" w:hanging="481"/>
        <w:spacing w:after="0" w:line="239"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believe that we have sufficiently demonstrated our ability to manufacture the products to the requisite level of quality standards, or they may fail to approve our manufacturing processes or facilities, or the manufacturing processes or facilities of third-party manufacturers with which we contract for clinical and commercial supplies;</w:t>
      </w:r>
    </w:p>
    <w:p>
      <w:pPr>
        <w:spacing w:after="0" w:line="174"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w:t>
      </w:r>
    </w:p>
    <w:p>
      <w:pPr>
        <w:spacing w:after="0" w:line="173" w:lineRule="exact"/>
        <w:rPr>
          <w:rFonts w:ascii="Arial" w:cs="Arial" w:eastAsia="Arial" w:hAnsi="Arial"/>
          <w:sz w:val="16"/>
          <w:szCs w:val="16"/>
          <w:color w:val="auto"/>
        </w:rPr>
      </w:pPr>
    </w:p>
    <w:p>
      <w:pPr>
        <w:ind w:left="960" w:right="76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regulators or institutional review boards to suspend or terminate the clinical trials; and</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In addition, even if we were to obtain approval for one or more of our product candidates, regulatory authorities may approve any of our product candidates for fewer or more limited indications than we request. For example, in connection with our KPL-716 program, regulatory authorities may recognize a narrower patient population as having prurigo nodularis or define the disease differently than we do. Furthermore, regulatory authorities may not approve the price we intend to charge, may grant approval contingent on the performance of costly post-marketing clinical trials, may impose certain post-marketing requirements that impose limits on our marketing and distribution activities,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5" w:lineRule="exact"/>
        <w:rPr>
          <w:sz w:val="20"/>
          <w:szCs w:val="20"/>
          <w:color w:val="auto"/>
        </w:rPr>
      </w:pPr>
    </w:p>
    <w:p>
      <w:pPr>
        <w:ind w:right="200" w:firstLine="436"/>
        <w:spacing w:after="0" w:line="241" w:lineRule="auto"/>
        <w:rPr>
          <w:sz w:val="20"/>
          <w:szCs w:val="20"/>
          <w:color w:val="auto"/>
        </w:rPr>
      </w:pPr>
      <w:r>
        <w:rPr>
          <w:rFonts w:ascii="Arial" w:cs="Arial" w:eastAsia="Arial" w:hAnsi="Arial"/>
          <w:sz w:val="16"/>
          <w:szCs w:val="16"/>
          <w:color w:val="auto"/>
        </w:rPr>
        <w:t>If we experience delays in obtaining approval or if we fail to obtain approval of our product candidates, the commercial prospects for our product candidates may be harmed and our ability to generate revenue will be materially impaired.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regulated as biologics in the United States may face competition sooner than anticipated.</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running from this 2008 approval,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have a material adverse effect on the future commercial prospects of our product candidates.</w:t>
      </w:r>
    </w:p>
    <w:p>
      <w:pPr>
        <w:spacing w:after="0" w:line="186"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Rilonacept was approved as a biological product under a BLA for the treatment of CAPS in 2008, and we believe it should qualify for the 12-year period of exclusivity against any biosimilars. However, there is a risk that this exclusivity could be shortened due to congressional action or otherwise, or that the FDA will not consider rilonacept, or any of our other product candidates, to be reference products for competing products, potentially creating the opportunity for generic competition sooner than anticipated. In addition, we plan to submit a supplemental BLA for rilonacept for the treatment of recurrent pericarditis, and the 12-year exclusivity period does not attach to the approval of a supplemental BLA.</w:t>
      </w:r>
    </w:p>
    <w:p>
      <w:pPr>
        <w:spacing w:after="0" w:line="189"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168"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b w:val="1"/>
          <w:bCs w:val="1"/>
          <w:i w:val="1"/>
          <w:iCs w:val="1"/>
          <w:color w:val="auto"/>
        </w:rPr>
        <w:t>Even if we obtain marketing approval of our product candidates in a major pharmaceutical market such as the United States or the European Union, we may not obtain approval or commercialize our product candidates in other markets, which would limit our ability to realize their full market potential.</w:t>
      </w:r>
    </w:p>
    <w:p>
      <w:pPr>
        <w:spacing w:after="0" w:line="14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jc w:val="both"/>
        <w:ind w:right="460"/>
        <w:spacing w:after="0" w:line="250" w:lineRule="auto"/>
        <w:rPr>
          <w:sz w:val="20"/>
          <w:szCs w:val="20"/>
          <w:color w:val="auto"/>
        </w:rPr>
      </w:pPr>
      <w:r>
        <w:rPr>
          <w:rFonts w:ascii="Arial" w:cs="Arial" w:eastAsia="Arial" w:hAnsi="Arial"/>
          <w:sz w:val="16"/>
          <w:szCs w:val="16"/>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any product candidate for which we obtain orphan drug designation.</w:t>
      </w:r>
    </w:p>
    <w:p>
      <w:pPr>
        <w:spacing w:after="0" w:line="179"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As part of our business strategy, we intend to seek orphan drug designation for certain of our product candidates, such as rilonacept, and we may be unsuccessful or unable to maintain the associated benefits. Regulatory authorities in some jurisdictions, including the United States and Europe, may designate drugs or biologics intended to treat relatively small patient populations as orphan drug products. Under the U.S.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the European Union, the European Commission grants orphan drug designation after receiving the opinion of the EMA's Committee for Orphan Medicinal Products on an Orphan Drug Designation application. In the European Union, Orphan Drug Designation is intended to promote the development of drugs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Additionally, orphan designation is granted for drugs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 as well as potential marketing exclusivity.</w:t>
      </w:r>
    </w:p>
    <w:p>
      <w:pPr>
        <w:spacing w:after="0" w:line="187"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In addition, 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use,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or condition. Orphan drug designation neither shortens the development time or regulatory review time of a drug nor gives the drug any advantage in the regulatory review or approval process. While we intend to seek Orphan Drug Designation for our other product candidates in addition to rilonacept, we may never receive such designations. Even if we do receive such designations, there is no guarantee that we will enjoy the benefits of those designations.</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79" w:lineRule="exact"/>
        <w:rPr>
          <w:sz w:val="20"/>
          <w:szCs w:val="20"/>
          <w:color w:val="auto"/>
        </w:rPr>
      </w:pPr>
    </w:p>
    <w:p>
      <w:pPr>
        <w:ind w:right="220" w:firstLine="436"/>
        <w:spacing w:after="0" w:line="256" w:lineRule="auto"/>
        <w:rPr>
          <w:sz w:val="20"/>
          <w:szCs w:val="20"/>
          <w:color w:val="auto"/>
        </w:rPr>
      </w:pPr>
      <w:r>
        <w:rPr>
          <w:rFonts w:ascii="Arial" w:cs="Arial" w:eastAsia="Arial" w:hAnsi="Arial"/>
          <w:sz w:val="15"/>
          <w:szCs w:val="15"/>
          <w:color w:val="auto"/>
        </w:rPr>
        <w:t>We may seek a Breakthrough Therapy or Fast Track designation for some of our product candidates. 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accelerated approval.</w:t>
      </w:r>
    </w:p>
    <w:p>
      <w:pPr>
        <w:spacing w:after="0" w:line="17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a product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have obtained Fast Track Designation for one or more of our product candidates, we may not experience a faster development process, review or approval compared to non-expedited FDA review procedures. In addition, the FDA may withdraw Fast Track Designation for any product candidate that is granted if it believes that the designation is no longer supported. Fast Track Designation alone does not guarantee qualification for the FDA's priority review procedures.</w:t>
      </w:r>
    </w:p>
    <w:p>
      <w:pPr>
        <w:spacing w:after="0" w:line="18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candidates no longer meet the conditions for qualification.</w:t>
      </w:r>
    </w:p>
    <w:p>
      <w:pPr>
        <w:spacing w:after="0" w:line="17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i w:val="1"/>
          <w:iCs w:val="1"/>
          <w:color w:val="auto"/>
        </w:rPr>
        <w:t>We have never completed a Phase 3 clinical trial or obtained marketing approval for any product candidate and we may be unable to successfully do so for any of our product candidates. Failure to successfully complete any of these activities in a timely manner for any of our product candidates could have a material adverse impact on our business and financial performance.</w:t>
      </w:r>
    </w:p>
    <w:p>
      <w:pPr>
        <w:spacing w:after="0" w:line="179" w:lineRule="exact"/>
        <w:rPr>
          <w:sz w:val="20"/>
          <w:szCs w:val="20"/>
          <w:color w:val="auto"/>
        </w:rPr>
      </w:pPr>
    </w:p>
    <w:p>
      <w:pPr>
        <w:jc w:val="both"/>
        <w:ind w:right="40" w:firstLine="436"/>
        <w:spacing w:after="0" w:line="239" w:lineRule="auto"/>
        <w:rPr>
          <w:sz w:val="20"/>
          <w:szCs w:val="20"/>
          <w:color w:val="auto"/>
        </w:rPr>
      </w:pPr>
      <w:r>
        <w:rPr>
          <w:rFonts w:ascii="Arial" w:cs="Arial" w:eastAsia="Arial" w:hAnsi="Arial"/>
          <w:sz w:val="16"/>
          <w:szCs w:val="16"/>
          <w:color w:val="auto"/>
        </w:rPr>
        <w:t>Conducting a pivotal clinical trial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activities may require more time and cost more than we anticipate. Failure to successfully complete, or delays in, any of our eventual pivotal trials or related regulatory submissions would prevent us from or delay us in obtaining regulatory approval for, or clearance of, our product candidates. In addition, it is possible that the FDA may refuse to accept for substantive review any BLA submissions that we submit for our product candidates or may conclude after review of our applications that they are insufficient to obtain marketing approval or clearance of our product candidates. If the FDA does not accept our applications or issue marketing authorizations for our product candidates, it may require that we conduct additional clinical, pre-clinical or manufacturing validation trials and submit that data before it will reconsider our applications. Depending on the extent of these or any other FDA-required trials, approval of any BLA or receipt of other marketing authorizations for any other applications that we submit may be delayed by several years, or may require us to expend more resources than we have available. It is also possible that additional trials, if performed and completed, may not be considered sufficient by the FDA to approve our BLAs or grant other marketing authorizations. 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Manufacturing and Our Dependence on Third Parties</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We contract with third parties for manufacturing our product candidates and for pre-clinical and clinical development and expect to continue to do so for our commercial supply. This reliance on third parties increases the risk that we may not have sufficient quantities of our product candidates or such quantities at an acceptable cost, which could delay, prevent or impair our development or commercialization efforts.</w:t>
      </w:r>
    </w:p>
    <w:p>
      <w:pPr>
        <w:spacing w:after="0" w:line="17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do not currently own or operate any manufacturing facilities. Although we may build small scale manufacturing facilities for the production of drug substance to support our clinical trials, we rely, and expect to continue to rely, on third parties for the manufacture of our product candidates for the majority of our pre-clinical development and clinical testing, as well as for the commercial manufacture of our product candidates, if approved. We rely on these third parties to develop the processes necessary to produce our product candidates at sufficient quality and quantity to support our development and commercialization efforts. Our reliance increases the risk that we will have insufficient quantities of our product candidates or that our product candidates are not produced at an acceptable cost or quality, which could delay, prevent or impair our development or commercialization efforts.</w:t>
      </w:r>
    </w:p>
    <w:p>
      <w:pPr>
        <w:spacing w:after="0" w:line="188"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plan to enter into agreements with CMOs to produce mavrilimumab beyond our current inventory. We will need to transfer the technology to manufacture mavrilimumab to these CMOs, and these CMOs may decide or be required to adopt different manufacturing protocols or processes. In addition, we will need to produce mavrilimumab using different media and feed compared to the processes that were used by MedImmune to develop our existing inventory. We cannot provide any assurance that the technology transfer or process development will be successful, or that any CMO will be successful in producing mavrilimumab in sufficient quantities or of acceptable quality, if at all. We also contract with Regeneron to produce rilonacept, with CMOs for the manufacture of KPL-716 drug substance and drug product, and CMOs to produce our pre-clinical product candidates, KPL-045 and KPL-404.</w:t>
      </w:r>
    </w:p>
    <w:p>
      <w:pPr>
        <w:spacing w:after="0" w:line="188" w:lineRule="exact"/>
        <w:rPr>
          <w:sz w:val="20"/>
          <w:szCs w:val="20"/>
          <w:color w:val="auto"/>
        </w:rPr>
      </w:pPr>
    </w:p>
    <w:p>
      <w:pPr>
        <w:ind w:right="20" w:firstLine="433"/>
        <w:spacing w:after="0" w:line="262" w:lineRule="auto"/>
        <w:rPr>
          <w:sz w:val="20"/>
          <w:szCs w:val="20"/>
          <w:color w:val="auto"/>
        </w:rPr>
      </w:pPr>
      <w:r>
        <w:rPr>
          <w:rFonts w:ascii="Arial" w:cs="Arial" w:eastAsia="Arial" w:hAnsi="Arial"/>
          <w:sz w:val="15"/>
          <w:szCs w:val="15"/>
          <w:color w:val="auto"/>
        </w:rPr>
        <w:t>The facilities used by our contract manufacturers to manufacture our product candidates may be inspected by the FDA and other comparable regulatory authorities in connection with the submission of our marketing applications to, and review by, the FDA. While we provide oversight of manufacturing activities, we do not and will not control the manufacturing process of, and will be completely dependent on, our contract manufacturers for compliance with cGMPs and other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regulatory requirements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if approved, operating restrictions and criminal prosecutions, any of which could significantly and adversely affect our business and supplies of our product candidates.</w:t>
      </w:r>
    </w:p>
    <w:p>
      <w:pPr>
        <w:spacing w:after="0" w:line="186" w:lineRule="exact"/>
        <w:rPr>
          <w:sz w:val="20"/>
          <w:szCs w:val="20"/>
          <w:color w:val="auto"/>
        </w:rPr>
      </w:pPr>
    </w:p>
    <w:p>
      <w:pPr>
        <w:ind w:right="200" w:firstLine="427"/>
        <w:spacing w:after="0" w:line="239" w:lineRule="auto"/>
        <w:rPr>
          <w:sz w:val="20"/>
          <w:szCs w:val="20"/>
          <w:color w:val="auto"/>
        </w:rPr>
      </w:pPr>
      <w:r>
        <w:rPr>
          <w:rFonts w:ascii="Arial" w:cs="Arial" w:eastAsia="Arial" w:hAnsi="Arial"/>
          <w:sz w:val="16"/>
          <w:szCs w:val="16"/>
          <w:color w:val="auto"/>
        </w:rPr>
        <w:t>Although we have entered into certain agreements for the manufacture of clinical material for our product candidates, we may be unable to establish new agreements on acceptable terms, if at all, with third-party manufacturers for those product candidates. Even if we are able to establish agreements with third-party manufacturers, reliance on third-party manufacturers entails additional risks, including:</w:t>
      </w:r>
    </w:p>
    <w:p>
      <w:pPr>
        <w:spacing w:after="0" w:line="186" w:lineRule="exact"/>
        <w:rPr>
          <w:sz w:val="20"/>
          <w:szCs w:val="20"/>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reliance on the third-party for regulatory compliance and quality assurance;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third-party;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termination or nonrenewal of the agreement by the third-party at a time that is costly or inconvenient for us.</w:t>
      </w:r>
    </w:p>
    <w:p>
      <w:pPr>
        <w:spacing w:after="0" w:line="190"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Our product candidates may compete with other product candidates and approved products for access to manufacturing facilities. There are a limited number of manufacturers that operate under cGMP regulations and that might be capable of manufacturing for us. Further, Regeneron has an exclusive right to produce rilonacept for a period of time.</w:t>
      </w:r>
    </w:p>
    <w:p>
      <w:pPr>
        <w:spacing w:after="0" w:line="186"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CMOs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6" w:lineRule="exact"/>
        <w:rPr>
          <w:sz w:val="20"/>
          <w:szCs w:val="20"/>
          <w:color w:val="auto"/>
        </w:rPr>
      </w:pPr>
    </w:p>
    <w:p>
      <w:pPr>
        <w:ind w:right="160" w:firstLine="436"/>
        <w:spacing w:after="0" w:line="258" w:lineRule="auto"/>
        <w:rPr>
          <w:sz w:val="20"/>
          <w:szCs w:val="20"/>
          <w:color w:val="auto"/>
        </w:rPr>
      </w:pPr>
      <w:r>
        <w:rPr>
          <w:rFonts w:ascii="Arial" w:cs="Arial" w:eastAsia="Arial" w:hAnsi="Arial"/>
          <w:sz w:val="15"/>
          <w:szCs w:val="15"/>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75"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68"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Manufacturing issues at the facilities of our third-party service providers could cause product shortages, disrupt or delay our clinical trials or regulatory approvals, delay or stop commercialization of our products, and adversely affect our business.</w:t>
      </w:r>
    </w:p>
    <w:p>
      <w:pPr>
        <w:spacing w:after="0" w:line="16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manufacture of our product candidates is highly regulated, complex and difficult, requiring a multi-step and controlled process, and even minor problems or deviations could result in defects or failures, such as defective products or manufacturing failures. We have limited experience overseeing the manufacturing process of KPL-716 and no experience overseeing the manufacturing process of rilonacept, mavrilimumab, KPL-404 and KPL-045. Due to the highly technical requirements of manufacturing our products and the strict quality and control specifications, we and our third-party providers may be unable to manufacture or supply our product candidates despite our and their efforts. Failure to produce sufficient quantities of our product candidates could delay their development, result in supply shortages for our patients, result in lost revenue, diminish our potential profitability, any of which may lead to lawsuits or could accelerate introduction of competing products to the market.</w:t>
      </w:r>
    </w:p>
    <w:p>
      <w:pPr>
        <w:spacing w:after="0" w:line="188" w:lineRule="exact"/>
        <w:rPr>
          <w:sz w:val="20"/>
          <w:szCs w:val="20"/>
          <w:color w:val="auto"/>
        </w:rPr>
      </w:pPr>
    </w:p>
    <w:p>
      <w:pPr>
        <w:ind w:right="40" w:firstLine="433"/>
        <w:spacing w:after="0" w:line="256" w:lineRule="auto"/>
        <w:rPr>
          <w:sz w:val="20"/>
          <w:szCs w:val="20"/>
          <w:color w:val="auto"/>
        </w:rPr>
      </w:pPr>
      <w:r>
        <w:rPr>
          <w:rFonts w:ascii="Arial" w:cs="Arial" w:eastAsia="Arial" w:hAnsi="Arial"/>
          <w:sz w:val="15"/>
          <w:szCs w:val="15"/>
          <w:color w:val="auto"/>
        </w:rPr>
        <w:t>The manufacture of our product candidates is at high risk of product loss due to contamination, equipment malfunctions, human error or raw material shortages. Deviations from established manufacturing processes could result in reduced production yields, product defects and other supply disruptions. If microbial, viral or other contaminations are discovered in our product candidates or manufacturing facilities, any related production lot could be lost and the relevant manufacturing facilities may need to close for an extended period of time to investigate and remediate the contaminant. Many additional factors could cause production interruptions at our facilities or at the facilities of our third-party providers, including natural disasters, accidents, labor disputes, acts of terrorism or war. The occurrence of any such event could adversely affect our ability to satisfy the required supply for any of our product candidates, successfully complete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pre-clinical and clinical development which would result in additional costs to us or impair our ability to generate revenue and harm our business, financial condition and prospects significantly.</w:t>
      </w:r>
    </w:p>
    <w:p>
      <w:pPr>
        <w:spacing w:after="0" w:line="185"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third-party providers are required to maintain compliance with cGMP and other stringent requirements and are subject to inspections by the FDA and comparable agencies in other jurisdictions to confirm such compliance. Any delay, interruption or other issues that arise in the manufacture, fill-finish, packaging or storage of our product candidates as a result of a failure of the facilities or operations of third parties to pass any regulatory agency inspection could significantly impair our ability to supply our products and product candidates. Significant noncompliance could also result in the imposition of monetary penalties or other civil or criminal sanctions and damage our reputation.</w:t>
      </w:r>
    </w:p>
    <w:p>
      <w:pPr>
        <w:spacing w:after="0" w:line="189" w:lineRule="exact"/>
        <w:rPr>
          <w:sz w:val="20"/>
          <w:szCs w:val="20"/>
          <w:color w:val="auto"/>
        </w:rPr>
      </w:pPr>
    </w:p>
    <w:p>
      <w:pPr>
        <w:ind w:right="420" w:firstLine="427"/>
        <w:spacing w:after="0" w:line="258" w:lineRule="auto"/>
        <w:rPr>
          <w:sz w:val="20"/>
          <w:szCs w:val="20"/>
          <w:color w:val="auto"/>
        </w:rPr>
      </w:pPr>
      <w:r>
        <w:rPr>
          <w:rFonts w:ascii="Arial" w:cs="Arial" w:eastAsia="Arial" w:hAnsi="Arial"/>
          <w:sz w:val="15"/>
          <w:szCs w:val="15"/>
          <w:color w:val="auto"/>
        </w:rPr>
        <w:t>Any adverse developments affecting the operations of our third-party providers could result in a product shortage of clinical or commercial requirements, withdrawal of our product candidates or any approved products, shipment delays, lot failures or recalls. We may also have to write-off inventory and incur other charges and expenses for products that fail to meet specifications, undertake costly remediation efforts or seek more costly manufacturing alternatives. Such manufacturing issues could increase our cost of goods, cause us to lose potential revenue, reduce our potential profitability or damage our reputation.</w:t>
      </w:r>
    </w:p>
    <w:p>
      <w:pPr>
        <w:spacing w:after="0" w:line="157"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b w:val="1"/>
          <w:bCs w:val="1"/>
          <w:i w:val="1"/>
          <w:iCs w:val="1"/>
          <w:color w:val="auto"/>
        </w:rPr>
        <w:t>The third parties upon whom we rely for the supply of the active pharmaceutical ingredient, drug product and drug substance used in our product candidates are our sole source of supply, and the loss of any of these suppliers could significantly harm our business.</w:t>
      </w:r>
    </w:p>
    <w:p>
      <w:pPr>
        <w:spacing w:after="0" w:line="16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active pharmaceutical ingredients, or API, drug product and drug substance used in rilonacept, mavrilimumab and KPL-716 are supplied to us from single-source suppliers. For example, although Regeneron has been producing rilonacept for over 10 years, they have a contractual right to be our sole source manufacturer of the product, unless they have a persistent failure to satisfy our supply needs. Our ability to successfully develop our product candidates, and to ultimately supply our commercial products in quantities sufficient to meet the market demand, depends in part on our ability to obtain the API, drug product and drug substance for these product candidates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or stop offering us sufficient quantities of these materials for any reason.</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on a timely basis in the past, they may subordinate our needs in the future to their other customers.</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addition, to manufacture rilonacept, mavrilimumab and KPL-716 in the quantities that we believe would be required to meet anticipated market demand, our third-party manufacturers may need to increase manufacturing capacity and, in some cases, we could secure alternative sources of commercial supply, which could involve significant challenges and may require additional regulatory approvals. In addition, the development of commercial-scale manufacturing capabilities may require us and our third-party manufacturers to invest substantial additional funds and hire and retain the technical personnel who have the necessary manufacturing experience. Neither we nor our third-party manufacturers may successfully complete any required increase to existing manufacturing capacity in a timely manner, or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56" w:lineRule="auto"/>
        <w:rPr>
          <w:sz w:val="20"/>
          <w:szCs w:val="20"/>
          <w:color w:val="auto"/>
        </w:rPr>
      </w:pPr>
      <w:r>
        <w:rPr>
          <w:rFonts w:ascii="Arial" w:cs="Arial" w:eastAsia="Arial" w:hAnsi="Arial"/>
          <w:sz w:val="15"/>
          <w:szCs w:val="15"/>
          <w:color w:val="auto"/>
        </w:rPr>
        <w:t>Moreover, if there is a disruption to one or more of our third-party manufacturers' or suppliers' relevant operations the supply of rilonacept, mavrilimumab and KPL-716 will be delayed until such manufacturer or supplier restores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or suppliers' facilities or equipment may significantly impair our ability to manufacture our product candidates on a timely basis.</w:t>
      </w:r>
    </w:p>
    <w:p>
      <w:pPr>
        <w:spacing w:after="0" w:line="17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product candidates, if required, may not be accomplished quickly and can take several years, if at all. Furthermore, despite our efforts, we may be unable to procure a replacement supplier or do so on commercially reasonable terms, which could have a material adverse impact upon our business.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Certain of the raw materials required in the manufacture and the formulation of our product candidates are derived from biological sources. Such raw materials are difficult to procure and may be subject to contamination or recall. Access to and supply of sufficient quantities of raw materials which meet the technical specifications for the production process is challenging, and often limited to single-source suppliers. Finding an alternative supplier could take a significant amount of time and involve significant expense due to the nature of the products and the need to obtain regulatory approvals. If we or our manufacturers are unable to purchase the raw materials necessary for the manufacture of our product candidates on acceptable terms in a timely manner, at sufficient quality levels, or in adequate quantities, if at all, our ability to produce sufficient quantities of our products for clinical or commercial requirements would be negatively impacted. A material shortage, contamination, recall or restriction on the use of certain biologically derived substances or any raw material used in the manufacture of our products could adversely impact or disrupt manufacturing, which would impair our ability to generate revenues from the sale of such product candidates, if approved or cleared.</w:t>
      </w:r>
    </w:p>
    <w:p>
      <w:pPr>
        <w:spacing w:after="0" w:line="16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investigators and CROs, to conduct our research, pre-clinical studies, clinical trials and other trials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do not have the ability to independently conduct pre-clinical studies or clinical trials that comply with the GLPs or GCP requirements, respectively. We rely on medical institutions, clinical investigators, contract laboratories and other third parties, such as CROs, to conduct or otherwise support our GLP-compliant pre-clinical studies and GCP-compliant clinical trials for our product candidates properly and on time. We also rely on third parties to conduct other research related to our product candidates. We expect to rely heavily on these parties for execution of clinical trials for our product candidates and control only certain aspects of their activities. While we have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agreements governing their activities, we control only certain aspects of their activities and have limited influence over their actual performance. The third parties with whom we contract for execution of our GLP-compliant pre-clinical studies and our GCP-compliant clinical trials play a significant role in the conduct of these trials and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GLP-compliant pre-clinical studies and GCP-compliant clinical trials, we will remain responsible for ensuring that each of our clinical trials is conducted in accordance with the applicable protocol, legal and regulatory requirements and scientific standards, and our reliance on these third parties does not and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7"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ensure that, upon inspection, the FDA will determine that any of our future clinical trials will comply with GCPs. In addition, our clinical trials must be conducted with product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certain clinical trials and post the results of completed clinical trials on a government-sponsored database, ClinicalTrials.gov, within certain timeframes. Failure to do so when required can result in fines, adverse publicity and civil and criminal sanctions.</w:t>
      </w:r>
    </w:p>
    <w:p>
      <w:pPr>
        <w:spacing w:after="0" w:line="193" w:lineRule="exact"/>
        <w:rPr>
          <w:sz w:val="20"/>
          <w:szCs w:val="20"/>
          <w:color w:val="auto"/>
        </w:rPr>
      </w:pPr>
    </w:p>
    <w:p>
      <w:pPr>
        <w:ind w:right="80" w:firstLine="427"/>
        <w:spacing w:after="0" w:line="258" w:lineRule="auto"/>
        <w:rPr>
          <w:sz w:val="20"/>
          <w:szCs w:val="20"/>
          <w:color w:val="auto"/>
        </w:rPr>
      </w:pPr>
      <w:r>
        <w:rPr>
          <w:rFonts w:ascii="Arial" w:cs="Arial" w:eastAsia="Arial" w:hAnsi="Arial"/>
          <w:sz w:val="15"/>
          <w:szCs w:val="15"/>
          <w:color w:val="auto"/>
        </w:rPr>
        <w:t>Although we intend to design the clinical trials for our product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5" w:lineRule="exact"/>
        <w:rPr>
          <w:sz w:val="20"/>
          <w:szCs w:val="20"/>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190" w:lineRule="exact"/>
        <w:rPr>
          <w:sz w:val="20"/>
          <w:szCs w:val="20"/>
          <w:color w:val="auto"/>
        </w:rPr>
      </w:pPr>
    </w:p>
    <w:p>
      <w:pPr>
        <w:ind w:right="460" w:firstLine="433"/>
        <w:spacing w:after="0" w:line="239"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commercialization of our product candidates may be delayed, we may not be able to obtain regulatory approval and commercialize our product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1" w:lineRule="exact"/>
        <w:rPr>
          <w:sz w:val="20"/>
          <w:szCs w:val="20"/>
          <w:color w:val="auto"/>
        </w:rPr>
      </w:pPr>
    </w:p>
    <w:p>
      <w:pPr>
        <w:ind w:right="20" w:firstLine="433"/>
        <w:spacing w:after="0" w:line="258" w:lineRule="auto"/>
        <w:rPr>
          <w:sz w:val="20"/>
          <w:szCs w:val="20"/>
          <w:color w:val="auto"/>
        </w:rPr>
      </w:pPr>
      <w:r>
        <w:rPr>
          <w:rFonts w:ascii="Arial" w:cs="Arial" w:eastAsia="Arial" w:hAnsi="Arial"/>
          <w:sz w:val="15"/>
          <w:szCs w:val="15"/>
          <w:color w:val="auto"/>
        </w:rPr>
        <w:t>These third parties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75"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If the third parties conducting our pre-clinical studies or our clinical trials do not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75" w:lineRule="exact"/>
        <w:rPr>
          <w:sz w:val="20"/>
          <w:szCs w:val="20"/>
          <w:color w:val="auto"/>
        </w:rPr>
      </w:pPr>
    </w:p>
    <w:p>
      <w:pPr>
        <w:ind w:right="100" w:firstLine="436"/>
        <w:spacing w:after="0" w:line="256" w:lineRule="auto"/>
        <w:rPr>
          <w:sz w:val="20"/>
          <w:szCs w:val="20"/>
          <w:color w:val="auto"/>
        </w:rPr>
      </w:pPr>
      <w:r>
        <w:rPr>
          <w:rFonts w:ascii="Arial" w:cs="Arial" w:eastAsia="Arial" w:hAnsi="Arial"/>
          <w:sz w:val="15"/>
          <w:szCs w:val="15"/>
          <w:color w:val="auto"/>
        </w:rPr>
        <w:t>If any of our relationships with these third-party CROs terminate, we may not be able to enter into arrangements with alternative third-party service providers, at all or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5" w:lineRule="exact"/>
        <w:rPr>
          <w:sz w:val="20"/>
          <w:szCs w:val="20"/>
          <w:color w:val="auto"/>
        </w:rPr>
      </w:pPr>
    </w:p>
    <w:p>
      <w:pPr>
        <w:jc w:val="both"/>
        <w:ind w:right="20" w:firstLine="436"/>
        <w:spacing w:after="0" w:line="237" w:lineRule="auto"/>
        <w:rPr>
          <w:sz w:val="20"/>
          <w:szCs w:val="20"/>
          <w:color w:val="auto"/>
        </w:rPr>
      </w:pPr>
      <w:r>
        <w:rPr>
          <w:rFonts w:ascii="Arial" w:cs="Arial" w:eastAsia="Arial" w:hAnsi="Arial"/>
          <w:sz w:val="16"/>
          <w:szCs w:val="16"/>
          <w:color w:val="auto"/>
        </w:rPr>
        <w:t>Furthermore,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71"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product candidates.</w:t>
      </w:r>
    </w:p>
    <w:p>
      <w:pPr>
        <w:spacing w:after="0" w:line="168"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In addition, our right to grant a sublicense of intellectual property licensed to us under certain of our current agreements requires the consent of the applicable licensor.</w:t>
      </w:r>
    </w:p>
    <w:p>
      <w:pPr>
        <w:spacing w:after="0" w:line="187" w:lineRule="exact"/>
        <w:rPr>
          <w:sz w:val="20"/>
          <w:szCs w:val="20"/>
          <w:color w:val="auto"/>
        </w:rPr>
      </w:pPr>
    </w:p>
    <w:p>
      <w:pPr>
        <w:ind w:right="460" w:firstLine="427"/>
        <w:spacing w:after="0" w:line="241" w:lineRule="auto"/>
        <w:rPr>
          <w:sz w:val="20"/>
          <w:szCs w:val="20"/>
          <w:color w:val="auto"/>
        </w:rPr>
      </w:pPr>
      <w:r>
        <w:rPr>
          <w:rFonts w:ascii="Arial" w:cs="Arial" w:eastAsia="Arial" w:hAnsi="Arial"/>
          <w:sz w:val="16"/>
          <w:szCs w:val="16"/>
          <w:color w:val="auto"/>
        </w:rPr>
        <w:t>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85" w:lineRule="exact"/>
        <w:rPr>
          <w:sz w:val="20"/>
          <w:szCs w:val="20"/>
          <w:color w:val="auto"/>
        </w:rPr>
      </w:pPr>
    </w:p>
    <w:p>
      <w:pPr>
        <w:ind w:left="960" w:hanging="481"/>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89"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collaborator with marketing, manufacturing and distribution rights to one or more products may not commit sufficient resources to or otherwise not perform satisfactorily in carrying out these activities;</w:t>
      </w:r>
    </w:p>
    <w:p>
      <w:pPr>
        <w:spacing w:after="0" w:line="173"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4"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this may result in a need for additional capital to pursue further development or commercialization of the applicable current or future product candidates;</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with respect to the ownership of any intellectual property developed pursuant to our collaborations; and</w:t>
      </w:r>
    </w:p>
    <w:p>
      <w:pPr>
        <w:spacing w:after="0" w:line="177" w:lineRule="exact"/>
        <w:rPr>
          <w:rFonts w:ascii="Arial" w:cs="Arial" w:eastAsia="Arial" w:hAnsi="Arial"/>
          <w:sz w:val="16"/>
          <w:szCs w:val="16"/>
          <w:color w:val="auto"/>
        </w:rPr>
      </w:pPr>
    </w:p>
    <w:p>
      <w:pPr>
        <w:ind w:left="960" w:right="82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6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harm our business. To the extent that we share trade secrets of third parties that are licensed to us, unauthorized use or disclosure could expose us to liability.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Competition, Retaining Key Employees and Managing Growth</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drugs before or more successfully than we do.</w:t>
      </w:r>
    </w:p>
    <w:p>
      <w:pPr>
        <w:spacing w:after="0" w:line="219"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development and commercialization of new drugs and biologics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biologics are pursuing the development of therapies in the fields in which we are interested.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While we are not aware of any therapies currently approved or actively continuing clinical trials in recurrent pericarditis, there is one currently marketed product that modulates the signaling of IL-1a and IL-1b, anakinra (KINERET), and one currently marketed product that modulates the signaling of IL-1b, canakinumab (ILARIS). There are other therapies which modulate IL-1a and IL-1b in various stages of clinical development for diseases other than recurrent pericarditis from companies that include Abbvie, Inc., XBiotech Inc. and Handok Inc. We expect mavrilimumab, if approved, to experience competitive pressure from tocilizumab (ACTEMRA), which was approved in 2017 for use in GCA in combination with glucocorticoids. Additional competition may be experienced from upadacitinib from AbbVie, which is expected to enter clinical trials in GCA in 2018. In addition, Eli Lilly is conducting clinical trials in GCA for baricitinib, and Sanofi S.A.,/ Regeneron intend to initiate a Phase 3 clinical trial in GCA for sarilumab (KEVZARA) in 2018. KPL-716, if approved for atopic dermatitis, will face competitive pressure from dupilumab (DUPIXENT), which is approved to treat atopic dermatitis. KPL-716 may face additional competition from several systemically administered products currently in development for atopic dermatitis including upadacitinib, PF-04965842, ANB-020, nemolizumab, baricitinib, ASn002, GBR-830, ZPL-389, PF-06817024, MEDI9314, tralokinumab and lebrikizumab. Multiple therapies are in development for prurigo nodularis and any that receive FDA approval for this indication will be likely competitors to KPL-716. These products include nemolizumab, serlopitant and nalbuphine ER.</w:t>
      </w:r>
    </w:p>
    <w:p>
      <w:pPr>
        <w:spacing w:after="0" w:line="193"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5" w:lineRule="exact"/>
        <w:rPr>
          <w:sz w:val="20"/>
          <w:szCs w:val="20"/>
          <w:color w:val="auto"/>
        </w:rPr>
      </w:pPr>
    </w:p>
    <w:p>
      <w:pPr>
        <w:ind w:right="160" w:firstLine="436"/>
        <w:spacing w:after="0" w:line="239"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drugs that we or our collaborators may develop. Our competitors also may obtain FDA or other regulatory approval for their products more rapidly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effectiveness of companion diagnostics in guiding the use of related products, market acceptance by physicians and patients, the level of generic competition and the availability of reimbursement from government and other third-party payors.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executives and to attract, retain and motivate qualified personnel.</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 limited operating history and are highly dependent on the research and development, clinical, commercial and business development expertise of Sanj K. Patel, our Chairman and Chief Executive Officer, Stephen Mahoney, our President and Chief Operating Officer, and John F. Paolini, M.D., Ph.D., our Chief Medical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7"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Recruiting and retaining qualified scientific, clinical, manufacturing and sales and marketing personnel will also be critical to our success. The failure to recruit, or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If we are not able to continue to attract and retain, on acceptable terms, the qualified personnel necessary for the continued development of our business, we may not be able to sustain our operations or growth.</w:t>
      </w:r>
    </w:p>
    <w:p>
      <w:pPr>
        <w:spacing w:after="0" w:line="16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We will need to develop and expand our company, and we may encounter difficulties in managing this development and expansion, which could disrupt our operations.</w:t>
      </w:r>
    </w:p>
    <w:p>
      <w:pPr>
        <w:spacing w:after="0" w:line="16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certain employees may need to perform activities that are beyond their regular scope of work, and we may not be able to effectively manage the expansion of our operations or recruit and train additional qualified personnel. This may result in weaknesses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b w:val="1"/>
          <w:bCs w:val="1"/>
          <w:i w:val="1"/>
          <w:iCs w:val="1"/>
          <w:color w:val="auto"/>
        </w:rPr>
        <w:t>We may not be successful in executing our growth strategy to identify, discover, develop, in-license or acquire additional product candidates or our growth strategy may not deliver the anticipated results.</w:t>
      </w:r>
    </w:p>
    <w:p>
      <w:pPr>
        <w:spacing w:after="0" w:line="168" w:lineRule="exact"/>
        <w:rPr>
          <w:sz w:val="20"/>
          <w:szCs w:val="20"/>
          <w:color w:val="auto"/>
        </w:rPr>
      </w:pPr>
    </w:p>
    <w:p>
      <w:pPr>
        <w:ind w:right="160" w:firstLine="436"/>
        <w:spacing w:after="0" w:line="239" w:lineRule="auto"/>
        <w:rPr>
          <w:sz w:val="20"/>
          <w:szCs w:val="20"/>
          <w:color w:val="auto"/>
        </w:rPr>
      </w:pPr>
      <w:r>
        <w:rPr>
          <w:rFonts w:ascii="Arial" w:cs="Arial" w:eastAsia="Arial" w:hAnsi="Arial"/>
          <w:sz w:val="16"/>
          <w:szCs w:val="16"/>
          <w:color w:val="auto"/>
        </w:rPr>
        <w:t>We plan to source new product candidates that are complementary to our existing product candidates through our internal discovery program, or in-licensing or acquiring them from other companies or academic institutions. If we are unable to identify, discover, develop, in-license or acquire and integrate product candidates in accordance with this strategy, our ability to pursue this part of our growth strategy would be limited.</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Research programs and business development efforts to identify new product candidates require substantial technical, financial and human resources. We may focus our efforts and resources on potential programs or product candidates that ultimately prove to be unsuccessful. In-licensing and acquisitions of technology often require significant payments, expenses and will consume additional resources. We will need to devote a substantial amount of time and personnel to research, develop and commercialize any acquired technology, in addition to our existing portfolio of programs. Our research programs, business development efforts or licensing attempts may fail to yield additional complementary or successful product candidates for clinical development and commercialization for a number of reasons, including, but not limited to, the following:</w:t>
      </w:r>
    </w:p>
    <w:p>
      <w:pPr>
        <w:spacing w:after="0" w:line="188" w:lineRule="exact"/>
        <w:rPr>
          <w:sz w:val="20"/>
          <w:szCs w:val="20"/>
          <w:color w:val="auto"/>
        </w:rPr>
      </w:pPr>
    </w:p>
    <w:p>
      <w:pPr>
        <w:ind w:left="96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research or business development methodology or search criteria and process may be unsuccessful in identifying potential product candidates with a high probability of success for development progression;</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or willing to assemble sufficient resources or expertise to in-license, acquire or discover additional product candidates;</w:t>
      </w:r>
    </w:p>
    <w:p>
      <w:pPr>
        <w:spacing w:after="0" w:line="177"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product candidates we seek to in-license or acquire, we may not be able to agree to acceptable terms with the licensor or owner of those product candidates;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not succeed in pre-clinical studies or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succeed in formulation or process development;</w:t>
      </w:r>
    </w:p>
    <w:p>
      <w:pPr>
        <w:spacing w:after="0" w:line="177" w:lineRule="exact"/>
        <w:rPr>
          <w:rFonts w:ascii="Arial" w:cs="Arial" w:eastAsia="Arial" w:hAnsi="Arial"/>
          <w:sz w:val="16"/>
          <w:szCs w:val="16"/>
          <w:color w:val="auto"/>
        </w:rPr>
      </w:pPr>
    </w:p>
    <w:p>
      <w:pPr>
        <w:ind w:left="960" w:right="34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be shown to have harmful side effects or may have other characteristics that may make the products unmarketable or unlikely to receive regulatory approval;</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competitors may develop alternatives that render our product candidates obsolete or less attractive;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candidates that we develop may be covered by third parties' patents or other exclusive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540" w:hanging="481"/>
        <w:spacing w:after="0" w:line="241"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candidates that we develop may not allow us to leverage our expertise and our development and commercial infrastructure as currently expected;</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product candidate may not be capable of being produced in commercial quantities at an acceptable cost, or at all;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any of these events occurs, we may not be successful in executing our growth strategy or our growth strategy may not deliver the anticipated results.</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products, if the scope of the patent protection obtained is not sufficiently broad, or if the terms of our patents are insufficient to protect our product candidates for an adequate amount of time, our competitors could develop and commercialize technology and products similar or identical to ours, and our ability to successfully commercialize our technology and products may be materially impaired.</w:t>
      </w:r>
    </w:p>
    <w:p>
      <w:pPr>
        <w:spacing w:after="0" w:line="183"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product candidates, including rilonacept, mavrilimumab and KPL-716.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acquire, in-license and file patent applications directed to our product candidates in an effort to establish intellectual property positions directed to their compositions of matter as well as uses of these product candidates in the treatment of diseases. Our intellectual property includes patents and patent applications that we own as well as patents and patent applications that we in-license. For example, we have a field-specific exclusive license under a license agreement with Regeneron, or the Regeneron Agreement, to patent applications and patents relating to rilonacept, an exclusive license under a license agreement with MedImmune, or the MedImmune Agreement, to patent applications and patents relating to mavrilimumab, and an exclusive license under our license agreement with Novo Nordisk, or the Novo Nordisk Agreement, to patent applications and patents relating to KPL-045.</w:t>
      </w:r>
    </w:p>
    <w:p>
      <w:pPr>
        <w:spacing w:after="0" w:line="188"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6" w:lineRule="exact"/>
        <w:rPr>
          <w:sz w:val="20"/>
          <w:szCs w:val="20"/>
          <w:color w:val="auto"/>
        </w:rPr>
      </w:pPr>
    </w:p>
    <w:p>
      <w:pPr>
        <w:ind w:right="60" w:firstLine="436"/>
        <w:spacing w:after="0" w:line="262" w:lineRule="auto"/>
        <w:rPr>
          <w:sz w:val="20"/>
          <w:szCs w:val="20"/>
          <w:color w:val="auto"/>
        </w:rPr>
      </w:pPr>
      <w:r>
        <w:rPr>
          <w:rFonts w:ascii="Arial" w:cs="Arial" w:eastAsia="Arial" w:hAnsi="Arial"/>
          <w:sz w:val="15"/>
          <w:szCs w:val="15"/>
          <w:color w:val="auto"/>
        </w:rPr>
        <w:t>We or our licensors have not pursued or maintained, and may not pursue or maintain in the future, patent protection for our products in every country or territory in which we may sell our products. In addition, we cannot be sure that any of our pending patent applications or pending trademark applications will issue or that, if issued, they have or will issue in a form that will be advantageous to us. The United States Patent and Trademark Office, or the USPTO, international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patent offices or judicial bodies may deny or significantly narrow claims made under our patent applications and our issued patents may be successfully challenged, may be designed around, or may otherwise be of insufficient scope to provide us with protection for our commercial products. Further, the USPTO, international trademark offices or judicial bodies may deny our trademark applications and, even if published or registered, these trademarks may not effectively protect our brand and goodwill. Like patents, trademarks also may be successfully opposed or challenged.</w:t>
      </w:r>
    </w:p>
    <w:p>
      <w:pPr>
        <w:spacing w:after="0" w:line="187"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have, claims with a scope sufficient to protect rilonacept, mavrilimumab, KPL-716 or our other product candidates.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and adjustments may be available; however, the life of a patent, and the protection it affords, is limited.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3"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Patents may be eligible for limited patent term extension in the United States under the Drug Price Competition and Patent Term Restoration Act of 1984, referred to as the Hatch-Waxman Act. Similar patent extensions exist in the European Union and Japan, subject to the applicable laws in those jurisdictions. We may not receive an extension if we fail to apply within applicable deadlines or fail to apply prior to expiration of relevant patents. For example, no patent term extension was obtained in the United States following the FDA's approval of rilonacept for the treatment of CAPS, and the deadline for applying for such extension has passed. Accordingly, patent term extension in the United States based on the FDA's approval of rilonacept for CAPS, or any other indication for which the FDA may grant approval in the future, is unavailable.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impacting our revenue.</w:t>
      </w:r>
    </w:p>
    <w:p>
      <w:pPr>
        <w:spacing w:after="0" w:line="187"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thereby limiting protection such patent would afford the respective product and any competitive advantage such patent may provide. In some cases, an in-licensed patent portfolio may have undergone a considerable loss of patent term prior to our initiation of development and commercialization of the product candidate. For example, the patents covering rilonacept as a composition of matter have a term that expires in 2019 in the United States, not including patent term adjustment, and in 2023 in Europe, not including any patent term extensions. As a result, our owned and in-licensed patent portfolio may not provide us with adequate and continuing patent protection sufficient to exclude others from commercializing products similar or identical to our product candidates. In such cases, we expect to rely on regulatory exclusivity for our product candidates, such as orphan drug exclusivity, which generally grants seven years of marketing exclusivity under the Federal Food, Drug, and Cosmetic Act, and up to 10 years of marketing exclusivity in Europe. While, we expect to seek orphan drug designation for rilonacept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United States for the treatment of recurrent pericarditis, we may not be successful in obtaining such designation or we may not be able to maintain the benefits of the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See "— We may seek orphan drug designation for some of our product candidates and we may be unsuccessful, or may be unable to maintain the benefits associated with orphan drug designation, including the potential for market exclusivity, for any product candidate for which we obtain orphan drug designation."</w:t>
      </w:r>
    </w:p>
    <w:p>
      <w:pPr>
        <w:spacing w:after="0" w:line="186"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Other parties may have developed or may develop technologies that may be related or competitive to our own, and such parties may have filed or may file patent applications, or may have received or may receive patents, claiming inventions that may overlap or conflict with those claimed in our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cannot be predicted with any certainty.</w:t>
      </w:r>
    </w:p>
    <w:p>
      <w:pPr>
        <w:spacing w:after="0" w:line="187"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USPTO is often significantly narrowed by the time they issue, if at all. The claims of our issued patents or patent applications when issued may not cover our product candidates, proposed commercial technologies or the future products that we develop, or even if such patents provide coverage, the coverage obtained may not provide any competitive advantage.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In the case of our field limited license from Regeneron, another licensee may have the right to enforce patents covering the product in their field. As a result, we may need to coordinate enforcement with another party, and the other party could enforce the patents in a manner adverse to our interests or otherwise put the patents at risk of invalidation.</w:t>
      </w:r>
    </w:p>
    <w:p>
      <w:pPr>
        <w:spacing w:after="0" w:line="193"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Even if we acquire patent protection that we expect should enable us to maintain a competitive advantage, third parties may challenge the validity, enforceability or scope thereof, which may result in such patents being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narrowed, invalidated or held unenforceable. The issuance of a patent is not conclusive as to its inventorship, scope, validity, enforceability or term,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contested proceedings challenging our patent rights or the patent rights of others from whom we have obtained licenses to such rights. For example, patents granted by the USPTO may be subject to third-party challenges such as (without limitation) derivation, re-examination, interference,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patents granted by the European Patent Office may be challenged by any person in an opposition proceeding within nine months from the publication of the grant. Similar proceedings are available in other jurisdictions, and in some jurisdictions third parties can raise questions of validity with a patent office even before a patent has granted. Competitors may claim that they invented the inventions claimed in our issued patents or patent applications prior to us, or may file patent applications before we do. In such case,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w:t>
      </w:r>
    </w:p>
    <w:p>
      <w:pPr>
        <w:spacing w:after="0" w:line="193"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Such proceedings can be expensive, time consuming and may divert the efforts of our technical and managerial personnel, which could in turn harm our business, whether or not we receive a determination favorable to us. We may not be able to correctly estimate or control our future operating expenses in relation to such proceedings, which could affect operating expenses. Our operating expenses may fluctuate significantly in the future as a result of a variety of factors, including the costs of such proceedings.</w:t>
      </w:r>
    </w:p>
    <w:p>
      <w:pPr>
        <w:spacing w:after="0" w:line="187"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Since patent applications are confidential for a period of time after filing, we cannot be certain that we or our licensors were the first to file any patent application related to our product candidates. Competitors may also contest our patents, if issued, by showing the patent examiner that the invention was not original, was not novel or was obvious. In litigation, a competitor could claim that our patents, if issued, are not valid for a number of reasons. If a court agrees, rights to those challenged patents may be diminished or lost.</w:t>
      </w:r>
    </w:p>
    <w:p>
      <w:pPr>
        <w:spacing w:after="0" w:line="187" w:lineRule="exact"/>
        <w:rPr>
          <w:sz w:val="20"/>
          <w:szCs w:val="20"/>
          <w:color w:val="auto"/>
        </w:rPr>
      </w:pPr>
    </w:p>
    <w:p>
      <w:pPr>
        <w:ind w:right="80" w:firstLine="436"/>
        <w:spacing w:after="0" w:line="257" w:lineRule="auto"/>
        <w:rPr>
          <w:sz w:val="20"/>
          <w:szCs w:val="20"/>
          <w:color w:val="auto"/>
        </w:rPr>
      </w:pPr>
      <w:r>
        <w:rPr>
          <w:rFonts w:ascii="Arial" w:cs="Arial" w:eastAsia="Arial" w:hAnsi="Arial"/>
          <w:sz w:val="15"/>
          <w:szCs w:val="15"/>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4"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products in a non-infringing manner. For example, a third-party may develop a competitive drug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or if the breadth, strength or term (including any extensions or adjustments) of protection provided by the patents and patent applications we hold or pursue with respect to our product candidates or any future product candidates is successfully challenged, our ability to successfully commercialize our product candidates could be negatively affected, which would harm our business. Further, if we encounter delays in our clinical trials, the period of time during which we could market our product candidates or any future product candidates under patent protection would be reduced.</w:t>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6"/>
          <w:szCs w:val="16"/>
          <w:b w:val="1"/>
          <w:bCs w:val="1"/>
          <w:i w:val="1"/>
          <w:iCs w:val="1"/>
          <w:color w:val="auto"/>
        </w:rPr>
        <w:t>Licensing of intellectual property is of critical importance to our business and involves complex legal, business and scientific issues. If we breach any of the agreements under which we acquired our product candidates, we could lose the ability to continue the development and commercialization of the related product. Additionally, our current licensing and acquisition agreements contain limitations and restrictions that could limit or adversely affect our ability to develop and commercialize other products in the future.</w:t>
      </w:r>
    </w:p>
    <w:p>
      <w:pPr>
        <w:spacing w:after="0" w:line="183" w:lineRule="exact"/>
        <w:rPr>
          <w:sz w:val="20"/>
          <w:szCs w:val="20"/>
          <w:color w:val="auto"/>
        </w:rPr>
      </w:pPr>
    </w:p>
    <w:p>
      <w:pPr>
        <w:ind w:right="40" w:firstLine="436"/>
        <w:spacing w:after="0" w:line="254" w:lineRule="auto"/>
        <w:rPr>
          <w:sz w:val="20"/>
          <w:szCs w:val="20"/>
          <w:color w:val="auto"/>
        </w:rPr>
      </w:pPr>
      <w:r>
        <w:rPr>
          <w:rFonts w:ascii="Arial" w:cs="Arial" w:eastAsia="Arial" w:hAnsi="Arial"/>
          <w:sz w:val="15"/>
          <w:szCs w:val="15"/>
          <w:color w:val="auto"/>
        </w:rPr>
        <w:t>We entered into agreements to acquire the rights to develop and commercialize our product candidates, rilonacept, mavrilimumab, KPL-716, KPL-045 and KPL-404. In September 2017, we entered into a license agreement with Regeneron to obtain an exclusive license under certain intellectual property rights controlled by Regeneron to develop and commercialize rilonacept. In December 2017, we entered into a license agreement with MedImmune to obtain exclusive worldwide rights to research, develop, manufacture, market and sell mavrilimumab and any other products covered by the licensed patent rights. In September 2016, pursuant to an asset purchase agreement with Biogen, we acquired all of Biogen's right, title and interest in and to certain assets used in or relating to KPL-716, including patents and other intellectual property rights, clinical data, know-how and inventory. Each of these agreements requires us to use commercially reasonable efforts to develop and commercialize the related product candidates, make timely milestone and other payments, provide certain information regarding our activities with respect to such product candidates and indemnify the other party with respect to our development and commercialization activities under the terms of the agreements. In addition, we licensed KPL-045 from Novo Nordisk in August 2017 and the right to conduct research and development of KPL-404 from Primatope in September 2017. These current agreements and any future such agreements that we enter into impose a variety of obligations.</w:t>
      </w:r>
    </w:p>
    <w:p>
      <w:pPr>
        <w:spacing w:after="0" w:line="177" w:lineRule="exact"/>
        <w:rPr>
          <w:sz w:val="20"/>
          <w:szCs w:val="20"/>
          <w:color w:val="auto"/>
        </w:rPr>
      </w:pPr>
    </w:p>
    <w:p>
      <w:pPr>
        <w:jc w:val="both"/>
        <w:ind w:right="400" w:firstLine="436"/>
        <w:spacing w:after="0" w:line="239" w:lineRule="auto"/>
        <w:rPr>
          <w:sz w:val="20"/>
          <w:szCs w:val="20"/>
          <w:color w:val="auto"/>
        </w:rPr>
      </w:pPr>
      <w:r>
        <w:rPr>
          <w:rFonts w:ascii="Arial" w:cs="Arial" w:eastAsia="Arial" w:hAnsi="Arial"/>
          <w:sz w:val="16"/>
          <w:szCs w:val="16"/>
          <w:color w:val="auto"/>
        </w:rPr>
        <w:t>We are currently a party to a number of license and acquisition agreements of importance to our business and to our current product candidates, and we expect to be subject to additional such agreements in the future. Disputes may arise between us and any of these counterparties regarding intellectual property subject to and each parties' obligations under such agreements, including:</w:t>
      </w:r>
    </w:p>
    <w:p>
      <w:pPr>
        <w:spacing w:after="0" w:line="186" w:lineRule="exact"/>
        <w:rPr>
          <w:sz w:val="20"/>
          <w:szCs w:val="20"/>
          <w:color w:val="auto"/>
        </w:rPr>
      </w:pPr>
    </w:p>
    <w:p>
      <w:pPr>
        <w:ind w:left="960" w:right="580" w:hanging="481"/>
        <w:spacing w:after="0" w:line="241"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diligence obligations with respect to the use of the licensed technology in relation to our development and commercialization of our product candidates, and what activities satisfy those diligence obligations;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scope of rights granted under the agreement and other interpretation-related issues;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obligations to make milestone, royalty or other payments under those agreements;</w:t>
      </w:r>
    </w:p>
    <w:p>
      <w:pPr>
        <w:spacing w:after="0" w:line="177" w:lineRule="exact"/>
        <w:rPr>
          <w:rFonts w:ascii="Arial" w:cs="Arial" w:eastAsia="Arial" w:hAnsi="Arial"/>
          <w:sz w:val="16"/>
          <w:szCs w:val="16"/>
          <w:color w:val="auto"/>
        </w:rPr>
      </w:pPr>
    </w:p>
    <w:p>
      <w:pPr>
        <w:ind w:left="5620" w:right="380" w:hanging="5141"/>
        <w:spacing w:after="0" w:line="492"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agreement;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right to sublicense patent and other rights to third parties;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right to transfer or assign the license;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effects of termination.</w:t>
      </w:r>
    </w:p>
    <w:p>
      <w:pPr>
        <w:spacing w:after="0" w:line="190"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These or other disputes over our obligations or intellectual property that we have licensed or acquired may prevent or impair our ability to maintain our current arrangements on acceptable terms, or may impair the value of the arrangement to us. Any such dispute could have an adverse affect on our business.</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we fail to meet our obligations under these agreements in a material respect, the respective licensor/seller would have the right to terminate the respective agreement and upon the effective date of such termination, have the right to re-obtain the related technology as well as aspects of any intellectual property controlled by us and developed during the period the agreement was in force that relate to the applicable technology. This means that the licensor/seller to each of these agreements could effectively take control of the development and commercialization of our product candidates after an uncured, material breach of the agreement by us. This would also be the case if we voluntarily terminate the relevant agreement. While we would expect to exercise all rights and remedies available to us, including seeking to cure any breach by us, and otherwise seek to preserve our rights under the technology licensed to or acquired by us, we may not be able to do so in a timely manner, at an acceptable cost or at all. Any uncured, material breach under the license could result in our loss of exclusive rights and may lead to a complete termination of our product development and any commercialization efforts for each of our product candidates.</w:t>
      </w:r>
    </w:p>
    <w:p>
      <w:pPr>
        <w:spacing w:after="0" w:line="187"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Regeneron has rights to develop rilonacept in its retained fields of local administration to the eye and ear, oncology, deficiency of the interleukin-1 receptor, or DIRA, and CAPS. Regeneron may also develop rilonacept in fields to which we have licensed the rights, but we retain the commercial benefit related to that development upon approval of rilonacept in any field that we have licensed. We and Regeneron communicate with each other concerning our related development activities, and we have approval rights over Regeneron's development in the fields that we have licensed, including pericarditis. Outside of the United States and Japan, Regeneron has granted a third-party licensee the right to develop and commercialize rilonacept in CAPS and certain periodic fever syndromes. The development of rilonacept in other fields could increase the possibility of identification of adverse safety results that impact our development of rilonacept for recurrent pericarditis. In addition, if approved, commercialization of rilonacept in other fields could result in an increased threat of off-label use to compete with the sale of rilonacept to treat these indications, which may diminish sales of rilonacept in fields licensed exclusively to us.</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Certain of our agreements may limit or delay our ability to consummate certain transactions, may impact the value of those transactions, or may limit our ability to pursue certain activities. For example, under the MedImmune Agreement, we cannot sublicense the rights licensed or sublicensed to us without the consent of MedImmune and certain applicable third-party licensors, if required by agreements between MedImmune and such third-party licensors. Under an asset purchase agreement with Biogen, or the Biogen Agreement, Biogen has a right of first negotiation under certain circumstances to purchase the assets we acquired from Biogen or to obtain a license to exploit the applicable products. This right of first negotiation remains in effect until the earlier of 12 years from the date of the agreement or the first commercial sale of a product under the agreement, and applies to a variety of transactions, including licensing transactions and the sale of our company. In addition, under the Biogen Agreement, we are subject to an exclusivity obligation, pursuant to which we may not conduct any activity alone or through a third party related to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product that modulates OSMR (other than for the development and commercialization of products that are the subject of the Biogen Agreement). This exclusivity obligation runs from the earlier of the eighth anniversary of the agreement or the first commercial sale of a product that is the subject of the agreement.</w:t>
      </w:r>
    </w:p>
    <w:p>
      <w:pPr>
        <w:spacing w:after="0" w:line="14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cannot assure you that our product candidates or any future product candidates, including methods of making or using these product candidates, will not infringe existing or future third-party patents. We may in the future become party to, or threatened with, adversarial proceedings or litigation regarding intellectual property rights with respect to our product candidates and technology, including contested proceedings before the USPTO. Our competitors or other third parties may assert infringement claims against us, alleging that our products are covered by their patents.</w:t>
      </w:r>
    </w:p>
    <w:p>
      <w:pPr>
        <w:spacing w:after="0" w:line="18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Given the vast number of patents in our field of technology, we cannot be certain that we do not infringe existing patents or that we will not infringe patents that may be granted in the future. Many companies have filed, and continue to file, patent applications related to immunomodulation. Some of these patent applications have already been allowed or issued, and others may issue in the future. For example, we are aware of third-party patents that contain claims potentially relevant to certain therapeutic uses of mavrilimumab and KPL-716. If the claims of any of these patents are asserted against us, we do not believe our proposed activities related to mavrilimumab and KPL-716 would be found to infringe any valid claim of these patents. While we may decide to initiate proceedings to challenge the validity of these or other patents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In order to avoid infringing these or any other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current or future product candidates. The licensing or acquisition of third-party intellectual property rights is a competitive area, and several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Since our product candidates are being developed for use in fields that are competitive and of strong interest to pharmaceutical and biotechnology companies, we will likely seek to file additional patent applications and may have additional patents granted in the future, based on our future research and development efforts.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product candidate that is the subject of the actual or threatened suit.</w:t>
      </w:r>
    </w:p>
    <w:p>
      <w:pPr>
        <w:spacing w:after="0" w:line="193"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If we are found to infringe a third-party's intellectual property rights, we could be required to obtain a license from such third-party to continue developing and marketing our product candidates and technology. Under any such license, we would most likely be required to pay various types of fees, milestones, royalties or other amounts.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 or forced to redesign it, or to cease some aspect of our business operations. In addition, we could be found liable for monetary damages, including treble damages and attorneys' fees if we are found to have willfully infringed such third-party patent rights. We may be required to indemnify collaborators or contractors against such claims. A finding of infringement could prevent us from commercializing our product candidates or force us to cease some of our business operations, which could materially harm our business. Even if we are successful in defending against such claims, litigation can be expensive and time consuming and would divert management's attention from our core business. Any of these events could harm our business significantly.</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whether owned or in-licensed. To counter infringement or unauthorized use, we or our current or future collaborators may be required to file infringement claims against these infringers.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0"/>
        <w:spacing w:after="0" w:line="239" w:lineRule="auto"/>
        <w:rPr>
          <w:sz w:val="20"/>
          <w:szCs w:val="20"/>
          <w:color w:val="auto"/>
        </w:rPr>
      </w:pPr>
      <w:r>
        <w:rPr>
          <w:rFonts w:ascii="Arial" w:cs="Arial" w:eastAsia="Arial" w:hAnsi="Arial"/>
          <w:sz w:val="16"/>
          <w:szCs w:val="16"/>
          <w:color w:val="auto"/>
        </w:rPr>
        <w:t>statement during prosecution. It is possible that prior art of which we or our licensors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6" w:lineRule="exact"/>
        <w:rPr>
          <w:sz w:val="20"/>
          <w:szCs w:val="20"/>
          <w:color w:val="auto"/>
        </w:rPr>
      </w:pPr>
    </w:p>
    <w:p>
      <w:pPr>
        <w:ind w:right="360" w:firstLine="436"/>
        <w:spacing w:after="0" w:line="239" w:lineRule="auto"/>
        <w:rPr>
          <w:sz w:val="20"/>
          <w:szCs w:val="20"/>
          <w:color w:val="auto"/>
        </w:rPr>
      </w:pPr>
      <w:r>
        <w:rPr>
          <w:rFonts w:ascii="Arial" w:cs="Arial" w:eastAsia="Arial" w:hAnsi="Arial"/>
          <w:sz w:val="16"/>
          <w:szCs w:val="16"/>
          <w:color w:val="auto"/>
        </w:rPr>
        <w:t>Some of our competitors may be able to devote significantly more resources to intellectual property litigation, and may have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86" w:lineRule="exact"/>
        <w:rPr>
          <w:sz w:val="20"/>
          <w:szCs w:val="20"/>
          <w:color w:val="auto"/>
        </w:rPr>
      </w:pPr>
    </w:p>
    <w:p>
      <w:pPr>
        <w:ind w:right="140" w:firstLine="427"/>
        <w:spacing w:after="0" w:line="237" w:lineRule="auto"/>
        <w:rPr>
          <w:sz w:val="20"/>
          <w:szCs w:val="20"/>
          <w:color w:val="auto"/>
        </w:rPr>
      </w:pPr>
      <w:r>
        <w:rPr>
          <w:rFonts w:ascii="Arial" w:cs="Arial" w:eastAsia="Arial" w:hAnsi="Arial"/>
          <w:sz w:val="16"/>
          <w:szCs w:val="16"/>
          <w:color w:val="auto"/>
        </w:rPr>
        <w:t>An adverse result in any litigation proceeding could put one or more of our patents, whether owned or in-licensed,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 If we lose a foreign patent lawsuit, alleging our infringement of a competitor's patents, we could be prevented from marketing our products in one or more foreign countries. Any of these outcomes would have a materially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shares. Such litigation or proceedings could substantially increase our operating losses and reduce the resources available for development activities or any future sales, marketing or distribution activities.</w:t>
      </w:r>
    </w:p>
    <w:p>
      <w:pPr>
        <w:spacing w:after="0" w:line="18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1"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9"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addition, if we fail to apply for applicable patent term extensions or adjustments, we will have a more limited time during which we can enforce our granted patents. In addition, if we are responsible for patent prosecution and maintenance of patent rights in-licensed to us, any of the foregoing could expose us to liability to the applicable patent owner.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enforce our intellectual property rights throughout the world.</w:t>
      </w:r>
    </w:p>
    <w:p>
      <w:pPr>
        <w:spacing w:after="0" w:line="208"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Varying filing dates in international countries may also permit intervening third parties to allege priority to patent applications claiming certain technology.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certain parties, including government agencies or government contractors.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right="20" w:firstLine="436"/>
        <w:spacing w:after="0" w:line="257" w:lineRule="auto"/>
        <w:rPr>
          <w:sz w:val="20"/>
          <w:szCs w:val="20"/>
          <w:color w:val="auto"/>
        </w:rPr>
      </w:pPr>
      <w:r>
        <w:rPr>
          <w:rFonts w:ascii="Arial" w:cs="Arial" w:eastAsia="Arial" w:hAnsi="Arial"/>
          <w:sz w:val="15"/>
          <w:szCs w:val="15"/>
          <w:color w:val="auto"/>
        </w:rPr>
        <w:t>Proceedings to enforce our patent rights, whether owned or in-licensed, in foreign jurisdictions, whether or not successful, could result in substantial costs and divert our efforts and resources from other aspects of our business. Furthermore, while we intend to pursue protection for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168" w:lineRule="exact"/>
        <w:rPr>
          <w:sz w:val="20"/>
          <w:szCs w:val="20"/>
          <w:color w:val="auto"/>
        </w:rPr>
      </w:pPr>
    </w:p>
    <w:p>
      <w:pPr>
        <w:ind w:firstLine="427"/>
        <w:spacing w:after="0" w:line="23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whether owned or in-licensed, and increase the uncertainties and costs surrounding the prosecution of our patent applications and the enforcement or defense of our issued patents, in each case whether owned or in-licensed, all of which could harm our business, results of operations and financial condition.</w:t>
      </w:r>
    </w:p>
    <w:p>
      <w:pPr>
        <w:spacing w:after="0" w:line="193" w:lineRule="exact"/>
        <w:rPr>
          <w:sz w:val="20"/>
          <w:szCs w:val="20"/>
          <w:color w:val="auto"/>
        </w:rPr>
      </w:pPr>
    </w:p>
    <w:p>
      <w:pPr>
        <w:ind w:right="100" w:firstLine="427"/>
        <w:spacing w:after="0" w:line="257" w:lineRule="auto"/>
        <w:rPr>
          <w:sz w:val="20"/>
          <w:szCs w:val="20"/>
          <w:color w:val="auto"/>
        </w:rPr>
      </w:pPr>
      <w:r>
        <w:rPr>
          <w:rFonts w:ascii="Arial" w:cs="Arial" w:eastAsia="Arial" w:hAnsi="Arial"/>
          <w:sz w:val="15"/>
          <w:szCs w:val="15"/>
          <w:color w:val="auto"/>
        </w:rPr>
        <w:t xml:space="preserve">Among some of the other changes introduced by the Leahy-Smith Act are changes that limit where a patentee may file a patent infringement suit and provide new opportunities for third parties to challenge issued patents in the USPTO. We may be subject to the risk of third-party prior art submissions on pending applications or become a party to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challenging our patents. There is a lower standard of evidence necessary to invalidate a patent claim in a USPTO proceeding relative to the standard in U.S. district or federal court. This could lead third parties to challenge and successfully invalidate our patents that would not otherwise be invalidated if challenged through the court system.</w:t>
      </w:r>
    </w:p>
    <w:p>
      <w:pPr>
        <w:spacing w:after="0" w:line="174"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or maintain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enforce or shorten the term of our existing patents and patents that we might obtain in the future; shorten the term that has been lengthened by patent term adjustment of our existing patents or patents that we might obtain in the future; or challenge the validity or enforceability of patents that may be asserted against us by our competitors or other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may be harmed.</w:t>
      </w:r>
    </w:p>
    <w:p>
      <w:pPr>
        <w:spacing w:after="0" w:line="208" w:lineRule="exact"/>
        <w:rPr>
          <w:sz w:val="20"/>
          <w:szCs w:val="20"/>
          <w:color w:val="auto"/>
        </w:rPr>
      </w:pPr>
    </w:p>
    <w:p>
      <w:pPr>
        <w:ind w:right="300" w:firstLine="436"/>
        <w:spacing w:after="0" w:line="238" w:lineRule="auto"/>
        <w:rPr>
          <w:sz w:val="20"/>
          <w:szCs w:val="20"/>
          <w:color w:val="auto"/>
        </w:rPr>
      </w:pPr>
      <w:r>
        <w:rPr>
          <w:rFonts w:ascii="Arial" w:cs="Arial" w:eastAsia="Arial" w:hAnsi="Arial"/>
          <w:sz w:val="16"/>
          <w:szCs w:val="16"/>
          <w:color w:val="auto"/>
        </w:rPr>
        <w:t>In addition to the protection afforded by patents, we may rely upon unpatented trade secret protection, unpatented know-how and continuing technological innovation to develop and maintain our competitive position. Although we seek to protect our proprietary technology and processes, in part, by entering into confidentiality agreements with our collaborators, scientific advisors, contractors, employees and consultants, and invention assignment agreements with our consultants, scientific advisors and employees, we may not be able to prevent the unauthorized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86" w:lineRule="exact"/>
        <w:rPr>
          <w:sz w:val="20"/>
          <w:szCs w:val="20"/>
          <w:color w:val="auto"/>
        </w:rPr>
      </w:pPr>
    </w:p>
    <w:p>
      <w:pPr>
        <w:ind w:right="280" w:firstLine="436"/>
        <w:spacing w:after="0" w:line="262" w:lineRule="auto"/>
        <w:rPr>
          <w:sz w:val="20"/>
          <w:szCs w:val="20"/>
          <w:color w:val="auto"/>
        </w:rPr>
      </w:pPr>
      <w:r>
        <w:rPr>
          <w:rFonts w:ascii="Arial" w:cs="Arial" w:eastAsia="Arial" w:hAnsi="Arial"/>
          <w:sz w:val="15"/>
          <w:szCs w:val="15"/>
          <w:color w:val="auto"/>
        </w:rPr>
        <w:t>We cannot be certain that the steps we have taken will prevent unauthorized use or unauthorized reverse engineering of our technology. Monitoring unauthorized use of our intellectual property is difficult and costly. We may not be able to detect unauthorized use of, or take appropriate steps to enforce, our intellectual property rights. The steps we have taken to protect our proprietary rights may not be adequate to prevent misappropriation of our intellectual property.</w:t>
      </w:r>
    </w:p>
    <w:p>
      <w:pPr>
        <w:spacing w:after="0" w:line="171" w:lineRule="exact"/>
        <w:rPr>
          <w:sz w:val="20"/>
          <w:szCs w:val="20"/>
          <w:color w:val="auto"/>
        </w:rPr>
      </w:pPr>
    </w:p>
    <w:p>
      <w:pPr>
        <w:ind w:right="60" w:firstLine="436"/>
        <w:spacing w:after="0" w:line="255" w:lineRule="auto"/>
        <w:rPr>
          <w:sz w:val="20"/>
          <w:szCs w:val="20"/>
          <w:color w:val="auto"/>
        </w:rPr>
      </w:pPr>
      <w:r>
        <w:rPr>
          <w:rFonts w:ascii="Arial" w:cs="Arial" w:eastAsia="Arial" w:hAnsi="Arial"/>
          <w:sz w:val="15"/>
          <w:szCs w:val="15"/>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We may in the future rely on trade secret protection, which would be subject to the risks identified above with respect to confidential information.</w:t>
      </w:r>
    </w:p>
    <w:p>
      <w:pPr>
        <w:spacing w:after="0" w:line="17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8" w:lineRule="exact"/>
        <w:rPr>
          <w:sz w:val="20"/>
          <w:szCs w:val="20"/>
          <w:color w:val="auto"/>
        </w:rPr>
      </w:pPr>
    </w:p>
    <w:p>
      <w:pPr>
        <w:jc w:val="both"/>
        <w:ind w:right="200" w:firstLine="436"/>
        <w:spacing w:after="0" w:line="262" w:lineRule="auto"/>
        <w:rPr>
          <w:sz w:val="20"/>
          <w:szCs w:val="20"/>
          <w:color w:val="auto"/>
        </w:rPr>
      </w:pPr>
      <w:r>
        <w:rPr>
          <w:rFonts w:ascii="Arial" w:cs="Arial" w:eastAsia="Arial" w:hAnsi="Arial"/>
          <w:sz w:val="15"/>
          <w:szCs w:val="15"/>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b w:val="1"/>
          <w:bCs w:val="1"/>
          <w:i w:val="1"/>
          <w:iCs w:val="1"/>
          <w:color w:val="auto"/>
        </w:rPr>
        <w:t>We have not yet registered trademarks for a commercial trade name for our lead product candidates in the United States or foreign jurisdictions and failure to secure such registrations could adversely affect our business.</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not yet registered trademarks for a commercial trade name for some of our lead product candidates in the United States or any foreign jurisdiction. During trademark registration proceedings, we may receive rejections.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Risks Related to Commercialization</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may be materially adversely affected.</w:t>
      </w:r>
    </w:p>
    <w:p>
      <w:pPr>
        <w:spacing w:after="0" w:line="17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precise incidence and prevalence for all the conditions we aim to address with our programs are unknown. Our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number of patients may turn out to be lower than expected. We estimate that there are approximately:</w:t>
      </w:r>
    </w:p>
    <w:p>
      <w:pPr>
        <w:spacing w:after="0" w:line="189" w:lineRule="exact"/>
        <w:rPr>
          <w:sz w:val="20"/>
          <w:szCs w:val="20"/>
          <w:color w:val="auto"/>
        </w:rPr>
      </w:pPr>
    </w:p>
    <w:p>
      <w:pPr>
        <w:ind w:left="960" w:hanging="481"/>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3,000 to 12,000 addressable patients not well-managed with existing therapies with recurrent pericarditis in the United States;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100,000 to 200,000 prevalent patients in the United States with GCA, with similar rates in other major markets;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line="241"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300,000 addressable patients with prurigo nodularis in the United States, of which we believe 20% to 30% to have severe systemic disease with similar prevalence rates in other major markets; and</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300,000 addressable patients with moderate-to-severe atopic dermatitis in the United States with similar rates in other major markets.</w:t>
      </w:r>
    </w:p>
    <w:p>
      <w:pPr>
        <w:spacing w:after="0" w:line="190"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total addressable market across all of our product candidates will ultimately depend upon, among other things, the diagnosis criteria included in the final label for each of our product candidates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If, in the future, we are unable to establish our own sales, marketing and distribution capabilities, or enter into agreements with third parties to sell and market our product candidates, we may not be successful in commercializing our product candidates if and when they are approved, and we may not be able to generate any revenue.</w:t>
      </w:r>
    </w:p>
    <w:p>
      <w:pPr>
        <w:spacing w:after="0" w:line="179"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We do not currently have a sales, marketing or distribution infrastructure. We have never sold, marketed or distributed any therapeutic products. To achieve commercial success for any approved product candidate, we must build our sales, marketing, managerial and other non-technical capabilities or make arrangements with third parties to perform these services. We currently plan to establish our own sales and marketing capabilities and directly commercialize any approved product candidate.</w:t>
      </w:r>
    </w:p>
    <w:p>
      <w:pPr>
        <w:spacing w:after="0" w:line="187"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Factors that may inhibit our efforts to commercialize our product candidates on our own include:</w:t>
      </w:r>
    </w:p>
    <w:p>
      <w:pPr>
        <w:spacing w:after="0" w:line="190" w:lineRule="exact"/>
        <w:rPr>
          <w:sz w:val="20"/>
          <w:szCs w:val="20"/>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89"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w:t>
      </w:r>
    </w:p>
    <w:p>
      <w:pPr>
        <w:spacing w:after="0" w:line="173" w:lineRule="exact"/>
        <w:rPr>
          <w:rFonts w:ascii="Arial" w:cs="Arial" w:eastAsia="Arial" w:hAnsi="Arial"/>
          <w:sz w:val="16"/>
          <w:szCs w:val="16"/>
          <w:color w:val="auto"/>
        </w:rPr>
      </w:pPr>
    </w:p>
    <w:p>
      <w:pPr>
        <w:ind w:left="960" w:right="160" w:hanging="481"/>
        <w:spacing w:after="0" w:line="241"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develop or obtain sufficient operational functions to support our commercial activities;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90"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If we enter into arrangements with third parties to perform sales, marketing, distribution and other commercial support services, our product revenues or the profitability of these revenues to us are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Developing a sales and marketing organization requires significant investment, is time consuming and could delay the launch of our product candidates. We may not be able to build an effective sales and marketing organization in the United States, the European Union or other key global markets. If we do not establish sales and marketing capabilities successfully, either on our own or in collaboration with third parties, we will not be successful in commercializing our product candidates. Further, our business, results of operations, financial condition and prospects will be materially adversely affected.</w:t>
      </w:r>
    </w:p>
    <w:p>
      <w:pPr>
        <w:spacing w:after="0" w:line="162" w:lineRule="exact"/>
        <w:rPr>
          <w:sz w:val="20"/>
          <w:szCs w:val="20"/>
          <w:color w:val="auto"/>
        </w:rPr>
      </w:pPr>
    </w:p>
    <w:p>
      <w:pPr>
        <w:ind w:right="580"/>
        <w:spacing w:after="0" w:line="264" w:lineRule="auto"/>
        <w:rPr>
          <w:sz w:val="20"/>
          <w:szCs w:val="20"/>
          <w:color w:val="auto"/>
        </w:rPr>
      </w:pPr>
      <w:r>
        <w:rPr>
          <w:rFonts w:ascii="Arial" w:cs="Arial" w:eastAsia="Arial" w:hAnsi="Arial"/>
          <w:sz w:val="16"/>
          <w:szCs w:val="16"/>
          <w:b w:val="1"/>
          <w:bCs w:val="1"/>
          <w:i w:val="1"/>
          <w:iCs w:val="1"/>
          <w:color w:val="auto"/>
        </w:rPr>
        <w:t>Our current or future product candidates may not gain market acceptance by physicians or patients, in which case our ability to generate product revenues will be compromised.</w:t>
      </w:r>
    </w:p>
    <w:p>
      <w:pPr>
        <w:spacing w:after="0" w:line="168" w:lineRule="exact"/>
        <w:rPr>
          <w:sz w:val="20"/>
          <w:szCs w:val="20"/>
          <w:color w:val="auto"/>
        </w:rPr>
      </w:pPr>
    </w:p>
    <w:p>
      <w:pPr>
        <w:jc w:val="both"/>
        <w:ind w:right="360" w:firstLine="436"/>
        <w:spacing w:after="0" w:line="238" w:lineRule="auto"/>
        <w:rPr>
          <w:sz w:val="20"/>
          <w:szCs w:val="20"/>
          <w:color w:val="auto"/>
        </w:rPr>
      </w:pPr>
      <w:r>
        <w:rPr>
          <w:rFonts w:ascii="Arial" w:cs="Arial" w:eastAsia="Arial" w:hAnsi="Arial"/>
          <w:sz w:val="16"/>
          <w:szCs w:val="16"/>
          <w:color w:val="auto"/>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9" w:lineRule="exact"/>
        <w:rPr>
          <w:sz w:val="20"/>
          <w:szCs w:val="20"/>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of market introduction;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and clinical profile of competing products;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clinical indications for which our product candidates are approved;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provide acceptable evidence of safety and efficacy;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prevalence and severity of any side effects;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labeling or product insert requirements of the FDA or other regulatory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by the FDA or other regulatory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relative convenience and ease of administration, including as compared to alternative treatments and competitive therapies;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cost-effectiveness, particularly in relation to alternative treatments;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effectiveness of our sales, marketing and distribution support;</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availability of adequate coverage, reimbursement and payment from health maintenance organizations and other insurers, both public and private; and</w:t>
      </w:r>
    </w:p>
    <w:p>
      <w:pPr>
        <w:spacing w:after="0" w:line="201" w:lineRule="exact"/>
        <w:rPr>
          <w:rFonts w:ascii="Arial" w:cs="Arial" w:eastAsia="Arial" w:hAnsi="Arial"/>
          <w:sz w:val="15"/>
          <w:szCs w:val="15"/>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potential advantages over alternative treatment methods.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67" w:lineRule="exact"/>
        <w:rPr>
          <w:sz w:val="20"/>
          <w:szCs w:val="20"/>
          <w:color w:val="auto"/>
        </w:rPr>
      </w:pPr>
    </w:p>
    <w:p>
      <w:pPr>
        <w:jc w:val="both"/>
        <w:ind w:right="340"/>
        <w:spacing w:after="0" w:line="275" w:lineRule="auto"/>
        <w:rPr>
          <w:sz w:val="20"/>
          <w:szCs w:val="20"/>
          <w:color w:val="auto"/>
        </w:rPr>
      </w:pPr>
      <w:r>
        <w:rPr>
          <w:rFonts w:ascii="Arial" w:cs="Arial" w:eastAsia="Arial" w:hAnsi="Arial"/>
          <w:sz w:val="15"/>
          <w:szCs w:val="15"/>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161"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Our ability to commercialize any product candidates successfully also will depend in part on the extent to which adequate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products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adequate coverage will be available for any product candidate that we commercialize and, if coverage is available, that the level of reimbursement will be adequate or that will not require co-payments that patients may find unacceptably high.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Any coverage or reimbursement that may become available may be decreased or eliminated in the future.</w:t>
      </w:r>
    </w:p>
    <w:p>
      <w:pPr>
        <w:spacing w:after="0" w:line="177" w:lineRule="exact"/>
        <w:rPr>
          <w:sz w:val="20"/>
          <w:szCs w:val="20"/>
          <w:color w:val="auto"/>
        </w:rPr>
      </w:pPr>
    </w:p>
    <w:p>
      <w:pPr>
        <w:ind w:right="100" w:firstLine="433"/>
        <w:spacing w:after="0" w:line="254" w:lineRule="auto"/>
        <w:rPr>
          <w:sz w:val="20"/>
          <w:szCs w:val="20"/>
          <w:color w:val="auto"/>
        </w:rPr>
      </w:pPr>
      <w:r>
        <w:rPr>
          <w:rFonts w:ascii="Arial" w:cs="Arial" w:eastAsia="Arial" w:hAnsi="Arial"/>
          <w:sz w:val="15"/>
          <w:szCs w:val="15"/>
          <w:color w:val="auto"/>
        </w:rPr>
        <w:t>There may be significant delays in obtaining reimbursement for newly approved products,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7"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Some third-party payors may require pre-approval of coverage for new or innovative drug therapies before they will reimburse healthcare providers who use such therapies. It is difficult to predict at this time what third-party payors will decide with respect to the coverage and reimbursement for our product candidates.</w:t>
      </w:r>
    </w:p>
    <w:p>
      <w:pPr>
        <w:spacing w:after="0" w:line="162"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Third-party payors increasingly are challenging prices charged for pharmaceutical or biologic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products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87"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products vary widely from country to country. Our operations are subject to extensive governmental price control or other market regulations in other countries outside of the United States, and we believe the increasing emphasis on cost-containment initiatives in European and other countries have and will continue to put pressure on the pricing and usage of our product candidates.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86"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Although we do not have immediate plans to pursue the commercialization of rilonacept for recurrent pericarditis outside of the United States, we are evaluating the opportunities for the development and commercialization of our product candidates in foreign markets. We are not permitted to market or promote any of our product candidates before we receive regulatory approval from the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9" w:lineRule="exact"/>
        <w:rPr>
          <w:sz w:val="20"/>
          <w:szCs w:val="20"/>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customers' ability to obtain reimbursement for our product candidates in foreign markets;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inability to directly control commercial activities because we are relying on third parties;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burden of complying with complex and changing foreign regulatory, tax, accounting and legal requirements;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import or export licensing requirements;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longer accounts receivable collection times;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longer lead times for shipping;</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language barriers for technical training and the need for language translations;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existence of additional potentially relevant third-party intellectual property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foreign currency exchange rate fluctuations;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190"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Foreign sales of our product candidates could also be adversely affected by the imposition of governmental controls, political and economic instability, trade restrictions and changes in tariffs.</w:t>
      </w:r>
    </w:p>
    <w:p>
      <w:pPr>
        <w:spacing w:after="0" w:line="185"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71"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3" w:lineRule="exact"/>
        <w:rPr>
          <w:sz w:val="20"/>
          <w:szCs w:val="20"/>
          <w:color w:val="auto"/>
        </w:rPr>
      </w:pPr>
    </w:p>
    <w:p>
      <w:pPr>
        <w:jc w:val="both"/>
        <w:ind w:right="220" w:firstLine="436"/>
        <w:spacing w:after="0" w:line="238" w:lineRule="auto"/>
        <w:rPr>
          <w:sz w:val="20"/>
          <w:szCs w:val="20"/>
          <w:color w:val="auto"/>
        </w:rPr>
      </w:pPr>
      <w:r>
        <w:rPr>
          <w:rFonts w:ascii="Arial" w:cs="Arial" w:eastAsia="Arial" w:hAnsi="Arial"/>
          <w:sz w:val="16"/>
          <w:szCs w:val="16"/>
          <w:color w:val="auto"/>
        </w:rPr>
        <w:t>If the FDA or a comparable foreign regulatory authority approves any of our product candidates, it or they will be subject to ongoing regulatory requirements for manufacturing, labeling, packaging, distribution, storage, advertising, promotion, sampling, record-keeping adverse event reporting, conduct of post-marketing trials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CMOs will be subject to user fees and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7"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We will be required to report certain adverse reactions and production problems, if any, to the FDA and comparable foreign regulatory authorities. Any new legislation addressing drug safety issues could result in delays in product development or commercialization, or increased costs to assure compliance.</w:t>
      </w:r>
    </w:p>
    <w:p>
      <w:pPr>
        <w:spacing w:after="0" w:line="189"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via the accelerated approval pathway, we could be required to conduct a successful post-marketing clinical trial to confirm clinical benefit for our products. An unsuccessful post-marketing trial or failure to complete such a trial could result in the withdrawal of marketing approval. The FDA also may place other conditions on approvals including the requirement for a REMS, to assure the safe use of the product. If the FDA concludes a REMS is needed, the sponsor of the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19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discover previously unknown problems with a product candidate, including adverse events of unanticipated severity or frequency, or with our manufacturing processes, or fail to comply with regulatory requirements, a regulatory agency or enforcement authority may, among other things:</w:t>
      </w:r>
    </w:p>
    <w:p>
      <w:pPr>
        <w:spacing w:after="0" w:line="189" w:lineRule="exact"/>
        <w:rPr>
          <w:sz w:val="20"/>
          <w:szCs w:val="20"/>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 warning letters;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impose civil or criminal penalties;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suspend any of our ongoing clinical trials;</w:t>
      </w:r>
    </w:p>
    <w:p>
      <w:pPr>
        <w:spacing w:after="0" w:line="189" w:lineRule="exact"/>
        <w:rPr>
          <w:rFonts w:ascii="Arial" w:cs="Arial" w:eastAsia="Arial" w:hAnsi="Arial"/>
          <w:sz w:val="16"/>
          <w:szCs w:val="16"/>
          <w:color w:val="auto"/>
        </w:rPr>
      </w:pPr>
    </w:p>
    <w:p>
      <w:pPr>
        <w:ind w:left="5620" w:right="3720" w:hanging="5141"/>
        <w:spacing w:after="0" w:line="492" w:lineRule="auto"/>
        <w:tabs>
          <w:tab w:leader="none" w:pos="9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refuse to approve pending applications or supplements to approved applications submitted by us;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impose restrictions on our operations, including closing our CMOs' facilities; or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seize or detain products, or require a product recall.</w:t>
      </w:r>
    </w:p>
    <w:p>
      <w:pPr>
        <w:spacing w:after="0" w:line="190" w:lineRule="exact"/>
        <w:rPr>
          <w:sz w:val="20"/>
          <w:szCs w:val="20"/>
          <w:color w:val="auto"/>
        </w:rPr>
      </w:pPr>
    </w:p>
    <w:p>
      <w:pPr>
        <w:ind w:right="40" w:firstLine="427"/>
        <w:spacing w:after="0" w:line="262"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1"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applications for marketing authorization. If any of these events occurs, our ability to sell our product may be impaired, and we may incur substantial additional expense to comply with regulatory requirements.</w:t>
      </w:r>
    </w:p>
    <w:p>
      <w:pPr>
        <w:spacing w:after="0" w:line="188"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policies of the FDA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Europe or in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customers and third-party payors will be subject to applicable anti-kickback, fraud and abuse, physician payment transparency, health information privacy and security and other healthcare laws and regulations, which could expose us to criminal sanctions, civil penalties, exclusion from government healthcare programs, contractual damages, reputational harm and diminished profits and future earnings.</w:t>
      </w:r>
    </w:p>
    <w:p>
      <w:pPr>
        <w:spacing w:after="0" w:line="183" w:lineRule="exact"/>
        <w:rPr>
          <w:sz w:val="20"/>
          <w:szCs w:val="20"/>
          <w:color w:val="auto"/>
        </w:rPr>
      </w:pPr>
    </w:p>
    <w:p>
      <w:pPr>
        <w:ind w:right="140" w:firstLine="427"/>
        <w:spacing w:after="0" w:line="237"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if approved,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40"/>
        <w:spacing w:after="0" w:line="241" w:lineRule="auto"/>
        <w:rPr>
          <w:sz w:val="20"/>
          <w:szCs w:val="20"/>
          <w:color w:val="auto"/>
        </w:rPr>
      </w:pPr>
      <w:r>
        <w:rPr>
          <w:rFonts w:ascii="Arial" w:cs="Arial" w:eastAsia="Arial" w:hAnsi="Arial"/>
          <w:sz w:val="16"/>
          <w:szCs w:val="16"/>
          <w:color w:val="auto"/>
        </w:rPr>
        <w:t>through which we market, sell and distribute our product candidates for which we obtain marketing approval. Restrictions under applicable federal and state healthcare laws and regulations, include the following:</w:t>
      </w:r>
    </w:p>
    <w:p>
      <w:pPr>
        <w:spacing w:after="0" w:line="185" w:lineRule="exact"/>
        <w:rPr>
          <w:sz w:val="20"/>
          <w:szCs w:val="20"/>
          <w:color w:val="auto"/>
        </w:rPr>
      </w:pPr>
    </w:p>
    <w:p>
      <w:pPr>
        <w:ind w:left="960" w:right="4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188" w:lineRule="exact"/>
        <w:rPr>
          <w:rFonts w:ascii="Arial" w:cs="Arial" w:eastAsia="Arial" w:hAnsi="Arial"/>
          <w:sz w:val="16"/>
          <w:szCs w:val="16"/>
          <w:color w:val="auto"/>
        </w:rPr>
      </w:pPr>
    </w:p>
    <w:p>
      <w:pPr>
        <w:ind w:left="960" w:right="6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False Claims Act and civil monetary penalties laws, which, among other things,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174" w:lineRule="exact"/>
        <w:rPr>
          <w:rFonts w:ascii="Arial" w:cs="Arial" w:eastAsia="Arial" w:hAnsi="Arial"/>
          <w:sz w:val="16"/>
          <w:szCs w:val="16"/>
          <w:color w:val="auto"/>
        </w:rPr>
      </w:pPr>
    </w:p>
    <w:p>
      <w:pPr>
        <w:ind w:left="96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imposes criminal and civil liability for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6" w:lineRule="exact"/>
        <w:rPr>
          <w:rFonts w:ascii="Arial" w:cs="Arial" w:eastAsia="Arial" w:hAnsi="Arial"/>
          <w:sz w:val="16"/>
          <w:szCs w:val="16"/>
          <w:color w:val="auto"/>
        </w:rPr>
      </w:pPr>
    </w:p>
    <w:p>
      <w:pPr>
        <w:ind w:left="960" w:right="12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physician payment transparency requirements, sometimes referred to as the "Sunshine Act" created under Section 60002 of the Patient Protection and Affordable Care Act, as amended by the Health Care and Education Reconciliation Act, or the Affordable Care Act, which requires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9" w:lineRule="exact"/>
        <w:rPr>
          <w:rFonts w:ascii="Arial" w:cs="Arial" w:eastAsia="Arial" w:hAnsi="Arial"/>
          <w:sz w:val="16"/>
          <w:szCs w:val="16"/>
          <w:color w:val="auto"/>
        </w:rPr>
      </w:pPr>
    </w:p>
    <w:p>
      <w:pPr>
        <w:ind w:left="960" w:right="20" w:hanging="481"/>
        <w:spacing w:after="0" w:line="262" w:lineRule="auto"/>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terms, with respect to safeguarding the privacy, security and transmission of individually identifiable health information; and</w:t>
      </w:r>
    </w:p>
    <w:p>
      <w:pPr>
        <w:spacing w:after="0" w:line="190" w:lineRule="exact"/>
        <w:rPr>
          <w:sz w:val="20"/>
          <w:szCs w:val="20"/>
          <w:color w:val="auto"/>
        </w:rPr>
      </w:pPr>
    </w:p>
    <w:p>
      <w:pPr>
        <w:ind w:left="960" w:hanging="481"/>
        <w:spacing w:after="0" w:line="256" w:lineRule="auto"/>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5"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These laws and regulations, among other things, may constrain our business, marketing and other promotional activities by limiting the kinds of financial arrangements we may have with hospitals, physicians or other potential purchasers of our product candidates, if approved. We have entered into consulting and advisory board agreements with physicians, some of whom are paid in the form of shares or options to acquire our common shares. We could be adversely affected if regulatory agencies determine our financial relationships with such physicians to be in violation of applicable laws. 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w:t>
      </w:r>
    </w:p>
    <w:p>
      <w:pPr>
        <w:spacing w:after="0" w:line="18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Interactions between biopharmaceutical companies and physicians are also governed by strict laws, regulations, industry self-regulation codes of conduct and physicians' codes of professional conduct in the individual EU member states. The provision of any inducements to physicians to prescribe, recommend, endorse, order, purchase, supply, use or administer a drug product is prohibited. A number of EU member states have established additional rules requiring pharmaceutical companies to publicly disclose their interactions with physicians and to obtain approval from employers, professional organizations and/or competent authorities before entering into agreements with physicians.</w:t>
      </w:r>
    </w:p>
    <w:p>
      <w:pPr>
        <w:spacing w:after="0" w:line="189" w:lineRule="exact"/>
        <w:rPr>
          <w:sz w:val="20"/>
          <w:szCs w:val="20"/>
          <w:color w:val="auto"/>
        </w:rPr>
      </w:pPr>
    </w:p>
    <w:p>
      <w:pPr>
        <w:ind w:right="80" w:firstLine="436"/>
        <w:spacing w:after="0" w:line="236"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could limit commercialization of any product candidates that we may develop.</w:t>
      </w:r>
    </w:p>
    <w:p>
      <w:pPr>
        <w:spacing w:after="0" w:line="168"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We will face an inherent risk of product liability exposure related to the testing of our product candidates in human clinical trials and will face an even greater risk if we commercially sell any product candidates that we may develop. If we cannot successfully defend ourselves against claims that our product candidates caused injuries, we could incur substantial liabilities. Regardless of merit or eventual outcome, liability claims may result in:</w:t>
      </w:r>
    </w:p>
    <w:p>
      <w:pPr>
        <w:spacing w:after="0" w:line="186" w:lineRule="exact"/>
        <w:rPr>
          <w:sz w:val="20"/>
          <w:szCs w:val="20"/>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decreased demand for any product candidates that we may develop;</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regulatory investigations that could require costly recalls or product modifications;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of potential revenue;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diversion of management's attention away from managing our business;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inability to commercialize any product candidates that we may develop.</w:t>
      </w:r>
    </w:p>
    <w:p>
      <w:pPr>
        <w:spacing w:after="0" w:line="190" w:lineRule="exact"/>
        <w:rPr>
          <w:sz w:val="20"/>
          <w:szCs w:val="20"/>
          <w:color w:val="auto"/>
        </w:rPr>
      </w:pPr>
    </w:p>
    <w:p>
      <w:pPr>
        <w:ind w:right="280" w:firstLine="427"/>
        <w:spacing w:after="0" w:line="237"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and is subject to deductibles and coverage limitations. We anticipate that we will need to increase our insurance coverage when and if we successfully commercialize any product candidate. Insurance coverage is increasingly expensive. We may not be able to maintain insurance coverage at a reasonable cost or in an amount adequate to satisfy any liability that may arise. If we are unable to obtain insurance at acceptable cost or otherwise protect against potential product liability claims, we will be exposed to significant liabilities, which may materially and adversely affect our business and financial position. These liabilities could prevent or interfere with our commercialization efforts.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Other Risks Related to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Enacted and future healthcare legislation may have a material adverse effect on our business and results of operations.</w:t>
      </w:r>
    </w:p>
    <w:p>
      <w:pPr>
        <w:spacing w:after="0" w:line="208"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In the United States, European Union and other jurisdictions, there have been and we expect there will continue to be a number of legislative and regulatory initiatives and proposed changes to the healthcare system that could affect our future operations. For example, in the United States, in March 2010, the Affordable Care Act was passed, which substantially changes the way healthcare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and biologics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biologics, including our product candidates, and a new Medicare Part D coverage gap discount program, in which manufacturers must agree to offer 50% point-of-sale discounts which, through subsequent legislative amendments, was increased to 70%, off negotiated prices of applicable brand drugs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biologics to eligible beneficiaries during their coverage gap period, as a condition for the manufacturer's outpatient products to be covered under Medicare Part D.</w:t>
      </w:r>
    </w:p>
    <w:p>
      <w:pPr>
        <w:spacing w:after="0" w:line="201"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The current Presidential Administration and U.S. Congress have attempted and will likely continue to seek to modify, repeal or otherwise invalidate all, or certain provisions of, the Affordable Care Act. Most recently, the Tax Cuts and Jobs Act was enacted, which, among other things, removes penalties for not complying with the Affordable Care Act's individual mandate to carry health insurance. It is uncertain the extent to which any such changes may impact our business or financial condition.</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led to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89"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and biologic pricing, reduce the cost of prescription drugs and biologics under Medicare, review the relationship between pricing and manufacturer patient programs and reform government program reimbursement methodologies for drugs and biologics.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8"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86" w:lineRule="exact"/>
        <w:rPr>
          <w:sz w:val="20"/>
          <w:szCs w:val="20"/>
          <w:color w:val="auto"/>
        </w:rPr>
      </w:pPr>
    </w:p>
    <w:p>
      <w:pPr>
        <w:ind w:right="560" w:firstLine="436"/>
        <w:spacing w:after="0" w:line="241" w:lineRule="auto"/>
        <w:rPr>
          <w:sz w:val="20"/>
          <w:szCs w:val="20"/>
          <w:color w:val="auto"/>
        </w:rPr>
      </w:pPr>
      <w:r>
        <w:rPr>
          <w:rFonts w:ascii="Arial" w:cs="Arial" w:eastAsia="Arial" w:hAnsi="Arial"/>
          <w:sz w:val="16"/>
          <w:szCs w:val="16"/>
          <w:color w:val="auto"/>
        </w:rPr>
        <w:t>In markets outside of the United States and European Union,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the European Union or elsewhere. If we or any third-party we may engage are slow or unable to adapt to changes in existing requirements or the adoption of new requirements or policies, or if we or such third-party are not able to maintain regulatory compliance, our product candidates may lose any regulatory approval that may have been obtained and we may not achieve or sustain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our business, financial condition or results of operations.</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Doing business internationally involves a number of risks, including but not limited to:</w:t>
      </w:r>
    </w:p>
    <w:p>
      <w:pPr>
        <w:spacing w:after="0" w:line="189" w:lineRule="exact"/>
        <w:rPr>
          <w:sz w:val="20"/>
          <w:szCs w:val="20"/>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employment laws, regulatory requirements and other governmental approvals, permits and licenses;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by us to obtain and maintain regulatory approvals for the use of our products in various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additional potentially relevant third-party patent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complexities and difficulties in obtaining protection and enforcing our intellectual property;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reimbursement regimes, government payors or patient self-pay systems;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limits in our ability to penetrate international markets;</w:t>
      </w:r>
    </w:p>
    <w:p>
      <w:pPr>
        <w:spacing w:after="0" w:line="177"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natural disasters, political and economic instability, including wars, terrorism, political unrest, outbreak of disease and boycotts;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curtailment of trade, and other business restrictions;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expenses including, among others, expenses for travel, translation and insurance; and</w:t>
      </w:r>
    </w:p>
    <w:p>
      <w:pPr>
        <w:spacing w:after="0" w:line="189" w:lineRule="exact"/>
        <w:rPr>
          <w:rFonts w:ascii="Arial" w:cs="Arial" w:eastAsia="Arial" w:hAnsi="Arial"/>
          <w:sz w:val="16"/>
          <w:szCs w:val="16"/>
          <w:color w:val="auto"/>
        </w:rPr>
      </w:pPr>
    </w:p>
    <w:p>
      <w:pPr>
        <w:ind w:left="960" w:right="60" w:hanging="481"/>
        <w:spacing w:after="0" w:line="241"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85" w:lineRule="exact"/>
        <w:rPr>
          <w:sz w:val="20"/>
          <w:szCs w:val="20"/>
          <w:color w:val="auto"/>
        </w:rPr>
      </w:pPr>
    </w:p>
    <w:p>
      <w:pPr>
        <w:ind w:right="100" w:firstLine="427"/>
        <w:spacing w:after="0" w:line="241" w:lineRule="auto"/>
        <w:rPr>
          <w:sz w:val="20"/>
          <w:szCs w:val="20"/>
          <w:color w:val="auto"/>
        </w:rPr>
      </w:pPr>
      <w:r>
        <w:rPr>
          <w:rFonts w:ascii="Arial" w:cs="Arial" w:eastAsia="Arial" w:hAnsi="Arial"/>
          <w:sz w:val="16"/>
          <w:szCs w:val="16"/>
          <w:color w:val="auto"/>
        </w:rPr>
        <w:t>Any of the foregoing could harm our business and we cannot anticipate all of the ways in which the current economic climate and financial market conditions could adversely impact our business.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Our internal computer systems, or those of our third-party CMOs, CROs or other contractors or consultants, may fail or suffer security breaches, which could result in a material disruption of our product candidates' development programs.</w:t>
      </w:r>
    </w:p>
    <w:p>
      <w:pPr>
        <w:spacing w:after="0" w:line="16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CMOs, CROs and other contractors and consultants are vulnerable to damage from computer viruses, unauthorized access, theft,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or theft of confidential or proprietary information, we could incur liabilities and the further development of our product candidates could be delayed.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liability related to the privacy of health information we obtain from clinical trials sponsored by us.</w:t>
      </w:r>
    </w:p>
    <w:p>
      <w:pPr>
        <w:spacing w:after="0" w:line="208"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EU Data Protection Directive and legislation of the EU member states implementing it.</w:t>
      </w:r>
    </w:p>
    <w:p>
      <w:pPr>
        <w:spacing w:after="0" w:line="177"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European Union into the United States may result in the imposition of criminal and administrative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employees are increasingly utilizing social media tools as a means of communication both internally and externally.</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Class A common shares.</w:t>
      </w:r>
    </w:p>
    <w:p>
      <w:pPr>
        <w:spacing w:after="0" w:line="170" w:lineRule="exact"/>
        <w:rPr>
          <w:sz w:val="20"/>
          <w:szCs w:val="20"/>
          <w:color w:val="auto"/>
        </w:rPr>
      </w:pPr>
    </w:p>
    <w:p>
      <w:pPr>
        <w:ind w:right="700"/>
        <w:spacing w:after="0" w:line="264" w:lineRule="auto"/>
        <w:rPr>
          <w:sz w:val="20"/>
          <w:szCs w:val="20"/>
          <w:color w:val="auto"/>
        </w:rPr>
      </w:pPr>
      <w:r>
        <w:rPr>
          <w:rFonts w:ascii="Arial" w:cs="Arial" w:eastAsia="Arial" w:hAnsi="Arial"/>
          <w:sz w:val="16"/>
          <w:szCs w:val="16"/>
          <w:b w:val="1"/>
          <w:bCs w:val="1"/>
          <w:i w:val="1"/>
          <w:iCs w:val="1"/>
          <w:color w:val="auto"/>
        </w:rPr>
        <w:t>Our employees, principal investigators, CROs, consultants and other third-party service providers may engage in misconduct or other improper activities, including non-compliance with regulatory standards and requirements and insider trading.</w:t>
      </w:r>
    </w:p>
    <w:p>
      <w:pPr>
        <w:spacing w:after="0" w:line="16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are exposed to the risk that our employees, principal investigators, CROs, consultants and other third-party service providers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w:t>
      </w:r>
    </w:p>
    <w:p>
      <w:pPr>
        <w:spacing w:after="0" w:line="189" w:lineRule="exact"/>
        <w:rPr>
          <w:sz w:val="20"/>
          <w:szCs w:val="20"/>
          <w:color w:val="auto"/>
        </w:rPr>
      </w:pPr>
    </w:p>
    <w:p>
      <w:pPr>
        <w:jc w:val="both"/>
        <w:ind w:right="140" w:firstLine="436"/>
        <w:spacing w:after="0" w:line="239"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off-label promotion,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9"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b w:val="1"/>
          <w:bCs w:val="1"/>
          <w:i w:val="1"/>
          <w:iCs w:val="1"/>
          <w:color w:val="auto"/>
        </w:rPr>
        <w:t>We may acquire businesses, or products or product candidates, or form strategic alliances, in the future, and we may not realize the benefits of such acquisitions.</w:t>
      </w:r>
    </w:p>
    <w:p>
      <w:pPr>
        <w:spacing w:after="0" w:line="16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have acquired and in-licensed, and may acquire or in-license additional businesses or products, from other companies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or license, we will achieve the expected synergies to justify the transaction.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Common Shares and This Offering</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i w:val="1"/>
          <w:iCs w:val="1"/>
          <w:color w:val="auto"/>
        </w:rPr>
        <w:t>After this offering, the holders of our Class B common shares, which will initially consist primarily of our executive officers and certain other members of our senior management, will collectively control over a majority of the combined voting power of our common shares and therefore be able to control all matters submitted to our shareholders for approval. This concentration of ownership of our Class B common shares may have an adverse effect on the price of our Class A common shares and may result in our Class A common shares being undervalued.</w:t>
      </w:r>
    </w:p>
    <w:p>
      <w:pPr>
        <w:spacing w:after="0" w:line="18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Class A1 common shares and Class B1 common shares have no voting rights. As a result, all matters submitted to our shareholders will be decided by the vote of holders of our Class A common shares and Class B common shares. Each Class A common share is entitled to one vote per Class A common share and each Class B common share is entitled to ten votes per Class B common share. As a result, of our multi-class voting structure of our common shares the holders of our Class B common shares, which will initially consist primarily of our executive officers and certain other members of our senior management following this offering, will collectively control over a majority of the combined voting power of our common shares and therefore be able to control all matters submitted to our shareholders for approval following this offering. Immediately following this offering, the holders of Class A common shares will account for 24.1% of our aggregate voting power and the holders of Class B common shares will account for the remaining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75.9% of our aggregate voting power. This concentrated control limits other shareholders' ability to influence corporate matters and may have an adverse effect on the price of our Class A common shares, including our Class A common shares being undervalued. Holders of our Class B common shares will collectively be able to control our management and affairs and the outcome of matters submitted to our shareholders for approval, including the election of directors. These holders may have interests, with respect to their investment, that are different from our other investors, including the investors in this offering. In addition, this concentration of ownership might adversely affect certain corporate actions that our other shareholders may view as beneficial, for example, by:</w:t>
      </w:r>
    </w:p>
    <w:p>
      <w:pPr>
        <w:spacing w:after="0" w:line="189" w:lineRule="exact"/>
        <w:rPr>
          <w:sz w:val="20"/>
          <w:szCs w:val="20"/>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9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Immediately following this offering, our executive officers and certain other members of our senior management will hold substantially all of our Class B common shares. As a result of the Class A common shares and Class B common shares they will hold immediately following this offering, our executive officers and certain other members of our senior management will hold 70.8% of our voting power and have the ability to control the outcome of all matters submitted to our shareholders for approval.</w:t>
      </w:r>
    </w:p>
    <w:p>
      <w:pPr>
        <w:spacing w:after="0" w:line="187"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However, this percentage may change depending on any conversion of Class A1 common shares, Class B1 common shares or Class B common shares. Each holder of Class B1 common shares has the ability to convert any portion of its Class B1 common shares into Class A common shares or Class B common shares at any time, and each holder of our Class A1 common shares has the ability to convert any portion of its Class A1 common shares into Class A common shares at any time. Our Class A1 common shares and Class B1 common shares cannot be converted if,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outstanding unless such holders provide us with 61-days' prior notice that they intend to increase, decrease or waive such threshold upon conversion. Due to these conversion rights, holders of our Class A1 common shares and our Class B1 common shares could, at any time, significantly increase their voting control of us, which could result in their ability to significantly influence or control matters submitted to our shareholders for approval. In addition, the conversion of Class B common shares to Class A common shares will have the effect, over time, of increasing the relative voting power of those individual holders of Class B common shares who retain their shares in the long term.</w:t>
      </w:r>
    </w:p>
    <w:p>
      <w:pPr>
        <w:spacing w:after="0" w:line="177"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Immediately following this offering, entities managed by Baker Bros. Advisors LP will hold 59.7% of our Class A1 common shares and 77.6% of our Class B1 common shares. Upon 61-days' prior written notice these entities, could convert their Class A1 common shares and Class B1 common shares into Class A common shares and Class B common shares, which in the aggregate would result in such entities holding 73.4% of the voting power of our outstanding share capital following this offering. See the sections titled "Description of Share Capital — Common Shares" and "Description of Share Capital — Voting Rights" for more information about conversions and the voting rights associated with our common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The price of our Class A common shares is likely to be volatile and fluctuate substantially, which could result in substantial losses for purchasers of our Class A common shares in this offering.</w:t>
      </w:r>
    </w:p>
    <w:p>
      <w:pPr>
        <w:spacing w:after="0" w:line="168" w:lineRule="exact"/>
        <w:rPr>
          <w:sz w:val="20"/>
          <w:szCs w:val="20"/>
          <w:color w:val="auto"/>
        </w:rPr>
      </w:pPr>
    </w:p>
    <w:p>
      <w:pPr>
        <w:ind w:right="120" w:firstLine="436"/>
        <w:spacing w:after="0" w:line="262" w:lineRule="auto"/>
        <w:rPr>
          <w:sz w:val="20"/>
          <w:szCs w:val="20"/>
          <w:color w:val="auto"/>
        </w:rPr>
      </w:pPr>
      <w:r>
        <w:rPr>
          <w:rFonts w:ascii="Arial" w:cs="Arial" w:eastAsia="Arial" w:hAnsi="Arial"/>
          <w:sz w:val="15"/>
          <w:szCs w:val="15"/>
          <w:color w:val="auto"/>
        </w:rPr>
        <w:t>Our share price is likely to be volatile. The shares market in general and the market for biopharmaceutical companies in particular have experienced extreme volatility that has often been unrelated to the operating performance of particular companies. As a result of this volatility, you may not be able to sell your Class A common shares at or above the initial public offering price. The market price for our Class A common shares may be influenced by many factors, including:</w:t>
      </w:r>
    </w:p>
    <w:p>
      <w:pPr>
        <w:spacing w:after="0" w:line="171" w:lineRule="exact"/>
        <w:rPr>
          <w:sz w:val="20"/>
          <w:szCs w:val="20"/>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of clinical trials for our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in in-licensing or acquiring additional complementary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in the commencement, enrollment and the ultimate completion of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and potential impact of competitive products or technologies;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manufacture and successfully produce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level of expenses related to any of our product candidates or clinical development programs;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financing or other corporate transactions, or inability to obtain additional funding;</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meet or exceed expectations of the investment community;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economic, industry and market conditions;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voting control of our executive officers and certain other members of our senior management or affiliates who hold our shares;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72"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b w:val="1"/>
          <w:bCs w:val="1"/>
          <w:i w:val="1"/>
          <w:iCs w:val="1"/>
          <w:color w:val="auto"/>
        </w:rPr>
        <w:t>An active trading market for our Class A common shares may not develop, and you may not be able to resell your shares at or above the initial public offering price.</w:t>
      </w:r>
    </w:p>
    <w:p>
      <w:pPr>
        <w:spacing w:after="0" w:line="168" w:lineRule="exact"/>
        <w:rPr>
          <w:sz w:val="20"/>
          <w:szCs w:val="20"/>
          <w:color w:val="auto"/>
        </w:rPr>
      </w:pPr>
    </w:p>
    <w:p>
      <w:pPr>
        <w:ind w:firstLine="436"/>
        <w:spacing w:after="0" w:line="257" w:lineRule="auto"/>
        <w:rPr>
          <w:sz w:val="20"/>
          <w:szCs w:val="20"/>
          <w:color w:val="auto"/>
        </w:rPr>
      </w:pPr>
      <w:r>
        <w:rPr>
          <w:rFonts w:ascii="Arial" w:cs="Arial" w:eastAsia="Arial" w:hAnsi="Arial"/>
          <w:sz w:val="15"/>
          <w:szCs w:val="15"/>
          <w:color w:val="auto"/>
        </w:rPr>
        <w:t>Prior to this offering, there has been no public market for our Class A common shares. Although our Class A common shares have been approved for listing on The Nasdaq Global Select Market, an active trading market for our Class A common shares may never develop or be sustained following this offering. The initial public offering price of our Class A common shares was determined through negotiations between us and the underwriters. This initial public offering price may not be indicative of the market price of our Class A common shares after this offering. In the absence of an active trading market for our Class A common shares, investors may not be able to sell their Class A common shares at or above the initial public offering price or at the time that they would like to sell.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publish unfavorable research or reports, about us, our business or our market, our shares price and trading volume could decline.</w:t>
      </w:r>
    </w:p>
    <w:p>
      <w:pPr>
        <w:spacing w:after="0" w:line="168" w:lineRule="exact"/>
        <w:rPr>
          <w:sz w:val="20"/>
          <w:szCs w:val="20"/>
          <w:color w:val="auto"/>
        </w:rPr>
      </w:pPr>
    </w:p>
    <w:p>
      <w:pPr>
        <w:ind w:right="240" w:firstLine="433"/>
        <w:spacing w:after="0" w:line="237" w:lineRule="auto"/>
        <w:rPr>
          <w:sz w:val="20"/>
          <w:szCs w:val="20"/>
          <w:color w:val="auto"/>
        </w:rPr>
      </w:pPr>
      <w:r>
        <w:rPr>
          <w:rFonts w:ascii="Arial" w:cs="Arial" w:eastAsia="Arial" w:hAnsi="Arial"/>
          <w:sz w:val="16"/>
          <w:szCs w:val="16"/>
          <w:color w:val="auto"/>
        </w:rPr>
        <w:t>The trading market for our Class A common shares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Class A common shares after this offering, and such lack of research coverage may adversely affect the market price of our Class A common shares. In the event we do have equity research analyst coverage, we will not have any control over the analysts or the content and opinions included in their reports. The price of our shares could decline if one or more equity research analysts downgrades our shares or issues other unfavorable commentary or research. If one or more equity research analysts ceases coverage of our company or fails to publish reports on us regularly, demand for our Class A common shares could decrease, which in turn could cause the price of our Class A common shares or its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our Class A common shares in the public market could cause our share price to fall.</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If our existing shareholders sell, or indicate an intention to sell, substantial amounts of our Class A common shares in the public market after the lock-up and other legal restrictions on resale discussed in this prospectus lapse, the market price of our Class A common shares could decline. Based upon the number of common shares outstanding as of March 31, 2018, upon the completion of this offering, we will have outstanding a total of 14,748,346 Class A common shares, 12,995,954 Class A1 common shares, 4,638,855 Class B common shares and 16,057,618 Class B1 common shares assuming the conversion of all of our preferred shares into common shares upon the closing of this offering, no exercise of options to purchase Class A common shares outstanding as of March 31, 2018 and no exercise of the underwriters' option to purchase additional Class A common shares. Of these shares, only the Class A common shares sold in this offering, plus any Class A common shares sold upon exercise of the underwriters' option to purchase additional Class A common shares, will be freely tradable, without restriction, in the public market immediately following this offering.</w:t>
      </w:r>
    </w:p>
    <w:p>
      <w:pPr>
        <w:spacing w:after="0" w:line="187" w:lineRule="exact"/>
        <w:rPr>
          <w:sz w:val="20"/>
          <w:szCs w:val="20"/>
          <w:color w:val="auto"/>
        </w:rPr>
      </w:pPr>
    </w:p>
    <w:p>
      <w:pPr>
        <w:ind w:right="40" w:firstLine="436"/>
        <w:spacing w:after="0" w:line="254" w:lineRule="auto"/>
        <w:rPr>
          <w:sz w:val="20"/>
          <w:szCs w:val="20"/>
          <w:color w:val="auto"/>
        </w:rPr>
      </w:pPr>
      <w:r>
        <w:rPr>
          <w:rFonts w:ascii="Arial" w:cs="Arial" w:eastAsia="Arial" w:hAnsi="Arial"/>
          <w:sz w:val="15"/>
          <w:szCs w:val="15"/>
          <w:color w:val="auto"/>
        </w:rPr>
        <w:t>Substantially all of our shareholders have entered into lock-up agreements pertaining to this offering with the underwriters that restrict their ability to sell or transfer their common shares, including common shares upon the conversion of preferred shares. The lock-up agreements will expire 180 days from the date of this prospectus. After the lock-up agreements expire, up to an additional 39,962,996 Class A common shares will be eligible for sale in the public market (including Class A common shares issuable upon the conversion of our Class A1 common shares, Class B common shares, and Class B1 common shares). Approximately 27,551,086 of these Class A common shares will be held by our directors, executive officers and certain entities affiliated with our directors, and will, following the expiration of the lock-up, remain subject to certain limitations on sales made by affiliates pursuant to Rule 144 under the Securities Act. In addition, our Class A1 common shares, Class B common shares and Class B1 common shares automatically convert into Class A common shares upon transfer to non-affiliates. As a result, up to 28,449,865 of our Class A common shares may be issued upon such transfers. The representatives of the underwriters may, in their sole discretion, permit our officers, directors and other shareholders who are subject to these lock-up agreements to sell shares prior to the expiration of the lock-up.</w:t>
      </w:r>
    </w:p>
    <w:p>
      <w:pPr>
        <w:spacing w:after="0" w:line="178"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Upon completion of this offering, 4,691,213 of our Class A common shares that are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color w:val="auto"/>
        </w:rPr>
        <w:t>additional Class A common shares are sold, or if it is perceived that they will be sold, in the public market, the market price of our Class A common shares could decline.</w:t>
      </w:r>
    </w:p>
    <w:p>
      <w:pPr>
        <w:spacing w:after="0" w:line="185"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After this offering, the holders of approximately 35,670,093 of our Class A common shares (including Class A common shares issuable upon the conversion of our Class A1 common shares, Class B common shares, and Class B1 common shares),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shareholders could have a material adverse effect on the market price of our Class A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Class A common shares in this offering, you will suffer immediate dilution of your investment.</w:t>
      </w:r>
    </w:p>
    <w:p>
      <w:pPr>
        <w:spacing w:after="0" w:line="20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initial public offering price of our Class A common shares is substantially higher than the as adjusted net tangible book value per common share. Therefore, if you purchase Class A common shares in this offering, you will pay a price per Class A common share that substantially exceeds our as adjusted net tangible book value per common share after this offering. To the extent outstanding options are exercised, you will incur further dilution. Based on the initial public offering price of $18.00 per share, you will experience immediate dilution of $10.91 per common share, representing the difference between our as adjusted net tangible book value per common share after giving effect to this offering and the initial public offering price. In addition, purchasers of Class A common shares in this offering will have contributed approximately 32.3% of the aggregate price paid by all purchasers of our common shares but will own only approximately 17.5% of our common shares outstanding after this offering. See "Dilution."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Future sales and issuances of our common shares or rights to purchase common shares, including pursuant to our equity incentive plans, could result in additional dilution of the percentage ownership of our shareholders and could cause our Class A common share price to fall.</w:t>
      </w:r>
    </w:p>
    <w:p>
      <w:pPr>
        <w:spacing w:after="0" w:line="168" w:lineRule="exact"/>
        <w:rPr>
          <w:sz w:val="20"/>
          <w:szCs w:val="20"/>
          <w:color w:val="auto"/>
        </w:rPr>
      </w:pPr>
    </w:p>
    <w:p>
      <w:pPr>
        <w:ind w:firstLine="436"/>
        <w:spacing w:after="0" w:line="257" w:lineRule="auto"/>
        <w:rPr>
          <w:sz w:val="20"/>
          <w:szCs w:val="20"/>
          <w:color w:val="auto"/>
        </w:rPr>
      </w:pPr>
      <w:r>
        <w:rPr>
          <w:rFonts w:ascii="Arial" w:cs="Arial" w:eastAsia="Arial" w:hAnsi="Arial"/>
          <w:sz w:val="15"/>
          <w:szCs w:val="15"/>
          <w:color w:val="auto"/>
        </w:rPr>
        <w:t>We will need additional capital in the future to continue our planned operations. To the extent we raise additional capital by issuing additional Class A common shares, Class A1 common shares, Class B common shares, Class B1 common shares or other equity securities, our shareholders may experience substantial dilution. We may sell common shares,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These sales may also result in material dilution to our existing shareholders, and new investors could gain rights superior to our existing shareholders.</w:t>
      </w:r>
    </w:p>
    <w:p>
      <w:pPr>
        <w:spacing w:after="0" w:line="156"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b w:val="1"/>
          <w:bCs w:val="1"/>
          <w:i w:val="1"/>
          <w:iCs w:val="1"/>
          <w:color w:val="auto"/>
        </w:rPr>
        <w:t>We have broad discretion in how we use the proceeds of this offering and may not use these proceeds effectively, which could affect our results of operations and cause our shares price to decline.</w:t>
      </w:r>
    </w:p>
    <w:p>
      <w:pPr>
        <w:spacing w:after="0" w:line="16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will have considerable discretion in the application of the net proceeds of this offering. We intend to use the net proceeds from this offering, together with our existing cash and cash equivalents, to fund our clinical and pre-clinical development programs, working capital and other general corporate purposes. We may also use a portion of the net proceeds from this offering to in-license, acquire or invest in additional businesses, technologies, products or assets, although currently we have no specific agreements, commitments or understandings in this regard. As a result, investors will be relying upon management's judgment with only limited information about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120"/>
        <w:spacing w:after="0" w:line="239" w:lineRule="auto"/>
        <w:rPr>
          <w:sz w:val="20"/>
          <w:szCs w:val="20"/>
          <w:color w:val="auto"/>
        </w:rPr>
      </w:pPr>
      <w:r>
        <w:rPr>
          <w:rFonts w:ascii="Arial" w:cs="Arial" w:eastAsia="Arial" w:hAnsi="Arial"/>
          <w:sz w:val="16"/>
          <w:szCs w:val="16"/>
          <w:color w:val="auto"/>
        </w:rPr>
        <w:t>our specific intentions for the use of the balance of the net proceeds of this offering. We may use the net proceeds for purposes that do not yield a significant return or any return at all for our shareholders. In addition, pending their use, we may invest the net proceeds from this offering in a manner that does not produce income or that loses value.</w:t>
      </w:r>
    </w:p>
    <w:p>
      <w:pPr>
        <w:spacing w:after="0" w:line="168"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Class A common shares less attractive to investors.</w:t>
      </w:r>
    </w:p>
    <w:p>
      <w:pPr>
        <w:spacing w:after="0" w:line="16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(a) the last day of the fiscal year in which we have total annual gross revenues of $1.07 billion or more; (b) the last day of the fiscal year following the fifth anniversary of the date of the completion of this offering; (c) the date on which we have issued more than $1 billion in nonconvertible debt during the previous three years; or (d) the date on which we are deemed to be a large accelerated filer under the rules of the Securities and Exchange Commission, which means the market value of our Class A common shares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8" w:lineRule="exact"/>
        <w:rPr>
          <w:sz w:val="20"/>
          <w:szCs w:val="20"/>
          <w:color w:val="auto"/>
        </w:rPr>
      </w:pPr>
    </w:p>
    <w:p>
      <w:pPr>
        <w:ind w:left="960" w:hanging="481"/>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or Section 404;</w:t>
      </w:r>
    </w:p>
    <w:p>
      <w:pPr>
        <w:spacing w:after="0" w:line="189"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exemption from compliance with the requirement of the Public Company Accounting Oversight Board regarding the communication of critical audit matters in the auditor's report on the financial statements;</w:t>
      </w:r>
    </w:p>
    <w:p>
      <w:pPr>
        <w:spacing w:after="0" w:line="173" w:lineRule="exact"/>
        <w:rPr>
          <w:rFonts w:ascii="Arial" w:cs="Arial" w:eastAsia="Arial" w:hAnsi="Arial"/>
          <w:sz w:val="16"/>
          <w:szCs w:val="16"/>
          <w:color w:val="auto"/>
        </w:rPr>
      </w:pPr>
    </w:p>
    <w:p>
      <w:pPr>
        <w:ind w:left="960" w:right="500" w:hanging="481"/>
        <w:spacing w:after="0" w:line="241"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189" w:lineRule="exact"/>
        <w:rPr>
          <w:rFonts w:ascii="Arial" w:cs="Arial" w:eastAsia="Arial" w:hAnsi="Arial"/>
          <w:sz w:val="16"/>
          <w:szCs w:val="16"/>
          <w:color w:val="auto"/>
        </w:rPr>
      </w:pPr>
    </w:p>
    <w:p>
      <w:pPr>
        <w:ind w:left="960" w:right="440" w:hanging="481"/>
        <w:spacing w:after="0" w:line="239"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Class A common shares less attractive if we rely on these exemptions. If some investors find our Class A common shares less attractive as a result, there may be a less active trading market for our Class A common shares and our shares price may be more volatile.</w:t>
      </w:r>
    </w:p>
    <w:p>
      <w:pPr>
        <w:spacing w:after="0" w:line="189" w:lineRule="exact"/>
        <w:rPr>
          <w:sz w:val="20"/>
          <w:szCs w:val="20"/>
          <w:color w:val="auto"/>
        </w:rPr>
      </w:pPr>
    </w:p>
    <w:p>
      <w:pPr>
        <w:ind w:right="160" w:firstLine="436"/>
        <w:spacing w:after="0" w:line="23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w:t>
      </w:r>
    </w:p>
    <w:p>
      <w:pPr>
        <w:spacing w:after="0" w:line="168" w:lineRule="exact"/>
        <w:rPr>
          <w:sz w:val="20"/>
          <w:szCs w:val="20"/>
          <w:color w:val="auto"/>
        </w:rPr>
      </w:pPr>
    </w:p>
    <w:p>
      <w:pPr>
        <w:ind w:right="20" w:firstLine="427"/>
        <w:spacing w:after="0" w:line="256"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5"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anti-takeover provisions in our amended and restated bye-laws that may discourage a change of control.</w:t>
      </w:r>
    </w:p>
    <w:p>
      <w:pPr>
        <w:spacing w:after="0" w:line="208" w:lineRule="exact"/>
        <w:rPr>
          <w:sz w:val="20"/>
          <w:szCs w:val="20"/>
          <w:color w:val="auto"/>
        </w:rPr>
      </w:pPr>
    </w:p>
    <w:p>
      <w:pPr>
        <w:ind w:right="180" w:firstLine="436"/>
        <w:spacing w:after="0" w:line="241" w:lineRule="auto"/>
        <w:rPr>
          <w:sz w:val="20"/>
          <w:szCs w:val="20"/>
          <w:color w:val="auto"/>
        </w:rPr>
      </w:pPr>
      <w:r>
        <w:rPr>
          <w:rFonts w:ascii="Arial" w:cs="Arial" w:eastAsia="Arial" w:hAnsi="Arial"/>
          <w:sz w:val="16"/>
          <w:szCs w:val="16"/>
          <w:color w:val="auto"/>
        </w:rPr>
        <w:t>Our amended and restated bye-laws will contain provisions that could make it more difficult for a third-party to acquire us without the consent of our board of directors. These provisions will provide for:</w:t>
      </w:r>
    </w:p>
    <w:p>
      <w:pPr>
        <w:spacing w:after="0" w:line="185" w:lineRule="exact"/>
        <w:rPr>
          <w:sz w:val="20"/>
          <w:szCs w:val="20"/>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directors only to be removed for cause;</w:t>
      </w:r>
    </w:p>
    <w:p>
      <w:pPr>
        <w:spacing w:after="0" w:line="177" w:lineRule="exact"/>
        <w:rPr>
          <w:rFonts w:ascii="Arial" w:cs="Arial" w:eastAsia="Arial" w:hAnsi="Arial"/>
          <w:sz w:val="16"/>
          <w:szCs w:val="16"/>
          <w:color w:val="auto"/>
        </w:rPr>
      </w:pPr>
    </w:p>
    <w:p>
      <w:pPr>
        <w:ind w:left="960" w:right="120" w:hanging="481"/>
        <w:spacing w:after="0" w:line="180" w:lineRule="auto"/>
        <w:tabs>
          <w:tab w:leader="none" w:pos="960"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an affirmative vote of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voting shares for certain "business combination" transactions that have not been approved by our board of directors;</w:t>
      </w:r>
    </w:p>
    <w:p>
      <w:pPr>
        <w:spacing w:after="0" w:line="174" w:lineRule="exact"/>
        <w:rPr>
          <w:rFonts w:ascii="Arial" w:cs="Arial" w:eastAsia="Arial" w:hAnsi="Arial"/>
          <w:sz w:val="31"/>
          <w:szCs w:val="31"/>
          <w:color w:val="auto"/>
          <w:vertAlign w:val="superscript"/>
        </w:rPr>
      </w:pPr>
    </w:p>
    <w:p>
      <w:pPr>
        <w:ind w:left="960" w:right="40" w:hanging="481"/>
        <w:spacing w:after="0" w:line="239"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multi-class common share structure, which provides our holders of Class B common shares with the ability to significantly influence the outcome of matters requiring shareholder approval, even if they own less than a majority of the shares of our outstanding Class A common shares, Class A1 common shares, Class B common shares, and Class B1 common shares;</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restrictions on the time period in which directors may be nominated; and</w:t>
      </w:r>
    </w:p>
    <w:p>
      <w:pPr>
        <w:spacing w:after="0" w:line="177"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board of directors to determine the powers, preferences and rights of our preferred shares and to issue the preferred shares without shareholder approval.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and may prevent our shareholders from receiving the benefit from any premium to the market price of our Class A common shares offered by a bidder in a takeover context. Even in the absence of a takeover attempt, the existence of these provisions may adversely affect the prevailing market price of our Class A common shares if the provisions are viewed as discouraging takeover attempts in the future. These provisions could also discourage proxy contests, make it more difficult for you and other shareholders to elect directors of your choosing and cause us to take corporate actions other than those you desire. See "Description of Share Capital."</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capital shares in the foreseeable future, capital appreciation, if any, will be your sole source of gain.</w:t>
      </w:r>
    </w:p>
    <w:p>
      <w:pPr>
        <w:spacing w:after="0" w:line="16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We have never declared or paid cash dividends on our capital shares. We currently intend to retain all of our future earnings, if any, to finance the growth and development of our business. Additionally, the proposal to pay future dividends to shareholders will in addition effectively be at the sole discretion of our board of directors after taking into account various factors our board of directors deems relevant, including our business prospects, capital requirements, financial performance and new product development. As a result, capital appreciation, if any, of our Class A common shares will be your sole source of gain for the foreseeable future.</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Owning Shares in a Bermuda Exempted Company and Certain Tax Risks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Bermuda company and it may be difficult for you to enforce judgments against us or our directors and executive officers.</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are a Bermuda exempted company. As a result, the rights of holders of our Class A common shares will be governed by Bermuda law and our memorandum of association and bye-laws.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 See "Enforcement of Civil Liabilities Under United States Federal Securities Laws" for additional information.</w:t>
      </w:r>
    </w:p>
    <w:p>
      <w:pPr>
        <w:spacing w:after="0" w:line="17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i w:val="1"/>
          <w:iCs w:val="1"/>
          <w:color w:val="auto"/>
        </w:rPr>
        <w:t>Our amended and restated bye-laws will designate the Supreme Court of Bermuda as the choice of jurisdiction for disputes that arise concerning the Companies Act or out of or in connection with our bye-laws, which could limit our shareholders' ability to choose the judicial forum for disputes with us or our directors or officers.</w:t>
      </w:r>
    </w:p>
    <w:p>
      <w:pPr>
        <w:spacing w:after="0" w:line="179"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Our amended and restated bye-laws, which will become effective immediately following the completion of this offering, provide that, unless we consent in writing to the selection of an alternative jurisdiction, any dispute that arises concerning the Companies Act or out of or in connection with our bye-laws, including any question regarding the existence and scope of any bye-law and/or whether there has been a breach of the Companies Act or the bye-laws by any of our officers or directors (whether or not such a claim is brought in the name of a shareholder or in the name of our company) shall be subject to the jurisdiction of the Supreme Court of Bermuda.</w:t>
      </w:r>
    </w:p>
    <w:p>
      <w:pPr>
        <w:spacing w:after="0" w:line="189" w:lineRule="exact"/>
        <w:rPr>
          <w:sz w:val="20"/>
          <w:szCs w:val="20"/>
          <w:color w:val="auto"/>
        </w:rPr>
      </w:pPr>
    </w:p>
    <w:p>
      <w:pPr>
        <w:ind w:right="300" w:firstLine="427"/>
        <w:spacing w:after="0" w:line="241" w:lineRule="auto"/>
        <w:rPr>
          <w:sz w:val="20"/>
          <w:szCs w:val="20"/>
          <w:color w:val="auto"/>
        </w:rPr>
      </w:pPr>
      <w:r>
        <w:rPr>
          <w:rFonts w:ascii="Arial" w:cs="Arial" w:eastAsia="Arial" w:hAnsi="Arial"/>
          <w:sz w:val="16"/>
          <w:szCs w:val="16"/>
          <w:color w:val="auto"/>
        </w:rPr>
        <w:t>Any person or entity purchasing or otherwise acquiring any interest in any of our shares shall be deemed to have notice of and consented to this provision. This choice of jurisdiction provision may limit a shareholder's ability to bring a claim in a judicial forum of its choosing for disputes with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us or our directors or officers, which may discourage lawsuits against us and our directors and officers. If a court were to find either choice of jurisdiction provision in our amended and restated bye-laws to be inapplicable or unenforceable in an action, we may incur additional costs associated with resolving the dispute in other jurisdictions, which could harm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Bermuda law differs from the laws in effect in the United States and may afford less protection to our shareholders.</w:t>
      </w:r>
    </w:p>
    <w:p>
      <w:pPr>
        <w:spacing w:after="0" w:line="20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We are organized under the laws of Bermuda. As a result, our corporate affairs are governed by the Bermuda Companies Act 1981, as amended, or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regulatory limitations on the ownership and transfer of our common shares.</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as amended,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shares exchange, which includes The Nasdaq Global Select Market. This general permission would cease to apply if we were to cease to be listed on The Nasdaq Global Select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subject to unanticipated tax liabilities.</w:t>
      </w:r>
    </w:p>
    <w:p>
      <w:pPr>
        <w:spacing w:after="0" w:line="208" w:lineRule="exact"/>
        <w:rPr>
          <w:sz w:val="20"/>
          <w:szCs w:val="20"/>
          <w:color w:val="auto"/>
        </w:rPr>
      </w:pPr>
    </w:p>
    <w:p>
      <w:pPr>
        <w:ind w:right="220" w:firstLine="427"/>
        <w:spacing w:after="0" w:line="239" w:lineRule="auto"/>
        <w:rPr>
          <w:sz w:val="20"/>
          <w:szCs w:val="20"/>
          <w:color w:val="auto"/>
        </w:rPr>
      </w:pPr>
      <w:r>
        <w:rPr>
          <w:rFonts w:ascii="Arial" w:cs="Arial" w:eastAsia="Arial" w:hAnsi="Arial"/>
          <w:sz w:val="16"/>
          <w:szCs w:val="16"/>
          <w:color w:val="auto"/>
        </w:rPr>
        <w:t>Although we are incorporated under the laws of Bermuda, we may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non-Bermudan tax liability could materially adversely affect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Taxing authorities could reallocate our taxable income among our subsidiaries, which could increase our overall tax liability.</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are incorporated under the laws of Bermuda and currently have a subsidiary in the United States. If we succeed in growing our business, we expect to conduct increased operations through our subsidiaries in various tax jurisdictions pursuant to transfer pricing arrangements between us, our parent company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may reduce our net income in future periods.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tax position could be adversely impacted by changes in tax rates, tax laws, tax practice, tax treaties or tax regulations or changes in the interpretation thereof by the tax authorities in Europe (including the United Kingdom), the United States,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was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8"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Our actual effective tax rate may vary from our expectation and that variance may be material. A number of factors may increase our future effective tax rates, including:</w:t>
      </w:r>
    </w:p>
    <w:p>
      <w:pPr>
        <w:spacing w:after="0" w:line="185" w:lineRule="exact"/>
        <w:rPr>
          <w:sz w:val="20"/>
          <w:szCs w:val="20"/>
          <w:color w:val="auto"/>
        </w:rPr>
      </w:pPr>
    </w:p>
    <w:p>
      <w:pPr>
        <w:ind w:left="960" w:hanging="481"/>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jurisdictions in which profits are determined to be earned and taxed;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resolution of issues arising from any future tax audits with various tax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w:t>
      </w:r>
    </w:p>
    <w:p>
      <w:pPr>
        <w:spacing w:after="0" w:line="177" w:lineRule="exact"/>
        <w:rPr>
          <w:rFonts w:ascii="Arial" w:cs="Arial" w:eastAsia="Arial" w:hAnsi="Arial"/>
          <w:sz w:val="16"/>
          <w:szCs w:val="16"/>
          <w:color w:val="auto"/>
        </w:rPr>
      </w:pPr>
    </w:p>
    <w:p>
      <w:pPr>
        <w:jc w:val="center"/>
        <w:ind w:left="5620" w:right="620" w:hanging="5141"/>
        <w:spacing w:after="0" w:line="492" w:lineRule="auto"/>
        <w:tabs>
          <w:tab w:leader="none" w:pos="9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increases in expenses not deductible for tax purposes, including transaction costs and impairments of goodwill in connection with acquisitions;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taxation of share-based compensation;</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tax laws or the interpretation of such tax laws, and changes in generally accepted accounting principles;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challenges to the transfer pricing policies related to our structure.</w:t>
      </w:r>
    </w:p>
    <w:p>
      <w:pPr>
        <w:spacing w:after="0" w:line="172"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common shares.</w:t>
      </w:r>
    </w:p>
    <w:p>
      <w:pPr>
        <w:spacing w:after="0" w:line="168" w:lineRule="exact"/>
        <w:rPr>
          <w:sz w:val="20"/>
          <w:szCs w:val="20"/>
          <w:color w:val="auto"/>
        </w:rPr>
      </w:pPr>
    </w:p>
    <w:p>
      <w:pPr>
        <w:ind w:right="100" w:firstLine="436"/>
        <w:spacing w:after="0" w:line="253" w:lineRule="auto"/>
        <w:rPr>
          <w:sz w:val="20"/>
          <w:szCs w:val="20"/>
          <w:color w:val="auto"/>
        </w:rPr>
      </w:pPr>
      <w:r>
        <w:rPr>
          <w:rFonts w:ascii="Arial" w:cs="Arial" w:eastAsia="Arial" w:hAnsi="Arial"/>
          <w:sz w:val="15"/>
          <w:szCs w:val="15"/>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Bermuda and U.S. Federal Income Tax Considerations — Material U.S. Federal Income Tax Considerations to U.S. Holders") owns our common shares, we will continue to be treated as a PFIC with respect to such U.S. Holder in all succeeding years during which the U.S. Holder owns the common shares, regardless of whether we continue to meet the PFIC test described above, unless the U.S. Holder makes or has made a specified election and we cease to be a PFIC. If we are classified as a PFIC for any taxable year during which a U.S. Holder holds our common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Bermuda and U.S. Federal Income Tax Considerations — Material U.S. Federal Income Tax Considerations to U.S. Holders — Passive Foreign Investment Company."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 U.S. person is treated as owning at least 10% of our common shares, such holder may be subject to adverse U.S. federal income tax consequences.</w:t>
      </w:r>
    </w:p>
    <w:p>
      <w:pPr>
        <w:spacing w:after="0" w:line="219"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We believe we are classified as a controlled foreign corporation for the current taxable year and may be classified as a controlled foreign corporation in future taxable years. Even if we were not classified as a controlled foreign corporation, if our group includes one or more U.S. subsidiaries, certain of our non-U.S. subsidiaries could be treated as controlled foreign corporations. If a U.S. Holder (as defined below under "Material Bermuda and U.S. Federal Income Tax Considerations — Material U.S. Federal Income Tax Considerations to U.S. Holders") is treated as owning (directly, indirectly or constructively) at least 10% of the value or voting power of our common shares, such U.S. Holder may be treated as a "United States shareholder" with respect to us (if we are classified as a controlled foreign corporation) and each controlled foreign corporation in our group (if any).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any assurances that we will assist investors in determining whether we or any of our non-U.S. subsidiaries, if any,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reporting and tax paying obligations discussed above. U.S. Holders should consult their tax advisors regarding the potential application of these rules to their investment in our common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208" w:lineRule="exact"/>
        <w:rPr>
          <w:sz w:val="20"/>
          <w:szCs w:val="20"/>
          <w:color w:val="auto"/>
        </w:rPr>
      </w:pPr>
    </w:p>
    <w:p>
      <w:pPr>
        <w:ind w:firstLine="433"/>
        <w:spacing w:after="0" w:line="257" w:lineRule="auto"/>
        <w:rPr>
          <w:sz w:val="20"/>
          <w:szCs w:val="20"/>
          <w:color w:val="auto"/>
        </w:rPr>
      </w:pPr>
      <w:r>
        <w:rPr>
          <w:rFonts w:ascii="Arial" w:cs="Arial" w:eastAsia="Arial" w:hAnsi="Arial"/>
          <w:sz w:val="15"/>
          <w:szCs w:val="15"/>
          <w:color w:val="auto"/>
        </w:rPr>
        <w:t>The U.S. government has recently enacted comprehensive tax legislation that includes significant changes to the taxation of business entities, referenced herein as the Tax Reform Act. These changes include, among others, a permanent reduction to the corporate income tax rate, limiting interest deductions, adopting elements of a territorial tax system and introducing certain anti-base erosion provisions. We continue to examine the impact this tax reform legislation may have on our business. The effect of the Tax Reform Act on our business, whether adverse or favorable, is uncertain, and may not become evident for some period of time. U.S. Holders should consult with their legal and tax advisors regarding any such legislation and the potential tax consequences of investing in our common shares.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10"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their expected properties, performance and impact on healthcare costs, the expected timeline for achievement of our clinical milestones, the timing of, and potential results from, clinical and other trials, marketing authorization from the FDA or regulatory authorities in other jurisdictions, coverage and reimbursement for procedures using our product candidates, if approved, research and development costs, timing of regulatory filings and feedback, timing and likelihood of success, plans and objectives of management for future operations and future results of anticipated products, are forward-looking statements.</w:t>
      </w:r>
    </w:p>
    <w:p>
      <w:pPr>
        <w:spacing w:after="0" w:line="188" w:lineRule="exact"/>
        <w:rPr>
          <w:sz w:val="20"/>
          <w:szCs w:val="20"/>
          <w:color w:val="auto"/>
        </w:rPr>
      </w:pPr>
    </w:p>
    <w:p>
      <w:pPr>
        <w:ind w:right="960" w:firstLine="433"/>
        <w:spacing w:after="0" w:line="273" w:lineRule="auto"/>
        <w:rPr>
          <w:sz w:val="20"/>
          <w:szCs w:val="20"/>
          <w:color w:val="auto"/>
        </w:rPr>
      </w:pPr>
      <w:r>
        <w:rPr>
          <w:rFonts w:ascii="Arial" w:cs="Arial" w:eastAsia="Arial" w:hAnsi="Arial"/>
          <w:sz w:val="15"/>
          <w:szCs w:val="15"/>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2" w:lineRule="exact"/>
        <w:rPr>
          <w:sz w:val="20"/>
          <w:szCs w:val="20"/>
          <w:color w:val="auto"/>
        </w:rPr>
      </w:pPr>
    </w:p>
    <w:p>
      <w:pPr>
        <w:ind w:right="40" w:firstLine="436"/>
        <w:spacing w:after="0" w:line="255" w:lineRule="auto"/>
        <w:rPr>
          <w:sz w:val="20"/>
          <w:szCs w:val="20"/>
          <w:color w:val="auto"/>
        </w:rPr>
      </w:pPr>
      <w:r>
        <w:rPr>
          <w:rFonts w:ascii="Arial" w:cs="Arial" w:eastAsia="Arial" w:hAnsi="Arial"/>
          <w:sz w:val="15"/>
          <w:szCs w:val="15"/>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These forward-looking statements are subject to numerous risks, including, without limitation, the following:</w:t>
      </w:r>
    </w:p>
    <w:p>
      <w:pPr>
        <w:spacing w:after="0" w:line="177" w:lineRule="exact"/>
        <w:rPr>
          <w:sz w:val="20"/>
          <w:szCs w:val="20"/>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status as a development-stage company and our expectation to incur losses in the future;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future capital needs and our need to raise additional funds;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lengthy and expensive clinical development process with its uncertain outcome and potential for clinical failure or delay;</w:t>
      </w:r>
    </w:p>
    <w:p>
      <w:pPr>
        <w:spacing w:after="0" w:line="189"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decision by any applicable regulatory authority whether to clear our product candidates for clinical development and, ultimately, whether to approve them for marketing and sale;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anticipate and prevent adverse events caused by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identify, in-license, acquire, discover or develop additional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have our product candidates manufactured;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market acceptance of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timely and successfully develop and commercialize our existing and future product candidates, if approved;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physician awareness and adoption of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size of the market for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meet the quality expectations of physicians or patients;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improve our product candidates;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360" w:hanging="481"/>
        <w:spacing w:after="0" w:line="241"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decision of third-party payors not to cover our product candidates or to require extensive and/or independently performed clinical trials prior to covering or maintaining coverage of our product candidates;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successfully manage our growth;</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avoid product liability claims and maintain adequate product liability insurance;</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obtain regulatory exclusivity;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rights related to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federal, state and foreign regulatory requirements applicable to our product candidates;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ownership concentration may prevent new investors in this offering from influencing significant corporate decisions.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ind w:right="80" w:firstLine="433"/>
        <w:spacing w:after="0" w:line="239"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INDUSTRY AND OTHER DATA</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Unless otherwise indicated, 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and "Special Note Regarding Forward-Looking Statements" and elsewhere in this prospectus. These and other factors could cause results to differ materially from those expressed in the estimates made by the independent parties and by us.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USE OF PROCEEDS</w:t>
      </w:r>
    </w:p>
    <w:p>
      <w:pPr>
        <w:spacing w:after="0" w:line="210"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We estimate that the net proceeds to us from our issuance and sale of 8,477,777 Class A common shares in this offering will be approximately $138.1 million (or $159.4 million if the underwriters exercise in full their option to purchase additional Class A common shares), based on the initial public offering price of $18.00 per share and after deducting the underwriting discounts and commissions and estimated offering expenses payable by us.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intend to use the net proceeds from this offering, together with our existing cash resources, as follows:</w:t>
      </w:r>
    </w:p>
    <w:p>
      <w:pPr>
        <w:spacing w:after="0" w:line="190" w:lineRule="exact"/>
        <w:rPr>
          <w:sz w:val="20"/>
          <w:szCs w:val="20"/>
          <w:color w:val="auto"/>
        </w:rPr>
      </w:pPr>
    </w:p>
    <w:p>
      <w:pPr>
        <w:ind w:left="960" w:right="60" w:hanging="481"/>
        <w:spacing w:after="0" w:line="241"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approximately $30.0 million to $35.0 million to complete our ongoing Phase 2 proof-of-concept clinical trial of rilonacept for the treatment of pericarditis and, if the results from this trial are favorable, to initiate and advance our planned Phase 3 development of rilonacept;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approximately $65.0 million to $70.0 million to initiate and advance our planned Phase 2 clinical trial of mavrilimumab for the treatment of GCA;</w:t>
      </w:r>
    </w:p>
    <w:p>
      <w:pPr>
        <w:spacing w:after="0" w:line="177"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approximately $80.0 million to $85.0 million to complete our ongoing Phase 1a/1b clinical trial of KPL-716 in subjects with atopic dermatitis as a proof-of-concept for pruritic conditions and, if the results from the trial are favorable, advance the clinical development of KPL-716 for the treatment of prurigo nodularis and atopic dermatitis; and</w:t>
      </w:r>
    </w:p>
    <w:p>
      <w:pPr>
        <w:spacing w:after="0" w:line="174"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remainder to fund new and ongoing research and development activities, including to advance the pre-clinical development of KPL-045 and KPL-404, and for working capital and other general corporate activities.</w:t>
      </w:r>
    </w:p>
    <w:p>
      <w:pPr>
        <w:spacing w:after="0" w:line="185"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This expected use of net proceeds from this offering represents our current intentions based upon our current plans and business conditions. As of the date of this prospectus, we cannot predict with complete certainty all of the particular uses for the net proceeds from this offering or the actual amounts that we will spend on the uses set forth above. We may also use a portion of the net proceeds to in-license, acquire or invest in additional businesses, technologies, products or assets, although currently we have no specific agreements, commitments or understandings in this regard. The amounts and timing of our actual expenditures will depend on numerous factors, including the progress of our clinical trials, our ability to obtain marketing approval from the FDA for our product candidates and other development and commercialization efforts for our product candidates, as well as the amount of cash used in our operations. We may find it necessary or advisable to use the net proceeds from this offering for other purposes, and as a result, our management will retain broad discretion over the allocation of the net proceeds from this offering.</w:t>
      </w:r>
    </w:p>
    <w:p>
      <w:pPr>
        <w:spacing w:after="0" w:line="187"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anticipate that our existing cash and cash equivalents, together with the anticipated net proceeds from this offering, will be sufficient to fund our operating expenses and capital expenditure requirements into the second quarter of 2020, enabling us (i) to complete our ongoing clinical trials, (ii) initiate and advance our planned Phase 3 development of rilonacept and our planned Phase 2 clinical trial of mavrilimumab and (iii) advance the clinical development of KPL-716 for the treatment of prurigo nodularis and atopic dermatitis. We have based this estimate on assumptions that may prove to be wrong, and we could utilize our available capital resources sooner than we expect. Following this offering, we will require substantial capital to complete clinical development, seek regulatory approval of, and, if approved, commercialize our product candidates.</w:t>
      </w:r>
    </w:p>
    <w:p>
      <w:pPr>
        <w:spacing w:after="0" w:line="188" w:lineRule="exact"/>
        <w:rPr>
          <w:sz w:val="20"/>
          <w:szCs w:val="20"/>
          <w:color w:val="auto"/>
        </w:rPr>
      </w:pPr>
    </w:p>
    <w:p>
      <w:pPr>
        <w:ind w:right="500" w:firstLine="436"/>
        <w:spacing w:after="0" w:line="241" w:lineRule="auto"/>
        <w:rPr>
          <w:sz w:val="20"/>
          <w:szCs w:val="20"/>
          <w:color w:val="auto"/>
        </w:rPr>
      </w:pPr>
      <w:r>
        <w:rPr>
          <w:rFonts w:ascii="Arial" w:cs="Arial" w:eastAsia="Arial" w:hAnsi="Arial"/>
          <w:sz w:val="16"/>
          <w:szCs w:val="16"/>
          <w:color w:val="auto"/>
        </w:rPr>
        <w:t>Pending the use of the proceeds described above, we plan to invest the net proceeds from this offering in short- and intermediate-term, interest-bearing obligations, investment-grade instruments, certificates of deposit or direct or guaranteed obligations of the U.S. government.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We have never declared or paid any cash dividends on our common shares. In October 2015, we distributed Class B common shares to the then-existing holders of our Class A common shares on a pro rata basis. We intend to retain all of our future earnings, if any, to finance the operation and expansion of our business and do not anticipate paying any cash dividends in the foreseeable future. Any future determination to declare and pay dividends to holders of our common shares will be made at the discretion of our board of directors, which may take into account several factors, including general economic conditions, our financial condition and results of operations, available cash and current and anticipated cash needs, capital requirements, contractual, legal, tax and regulatory restrictions, the implications of the payment of dividends by us to our shareholders and any other factors that our board of directors may deem relevant. In addition, pursuant to the Companies Act,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which will be effective immediately following the closing of this offering, each of our common shares is entitled to dividends if, as and when dividends are declared by our board of directors, subject to any preferred dividend right of the holders of any preferred shares.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our cash and cash equivalents and our capitalization as of March 31, 2018:</w:t>
      </w:r>
    </w:p>
    <w:p>
      <w:pPr>
        <w:spacing w:after="0" w:line="190" w:lineRule="exact"/>
        <w:rPr>
          <w:sz w:val="20"/>
          <w:szCs w:val="20"/>
          <w:color w:val="auto"/>
        </w:rPr>
      </w:pPr>
    </w:p>
    <w:p>
      <w:pPr>
        <w:ind w:left="960" w:hanging="481"/>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 pro forma basis to give effect to:</w:t>
      </w:r>
    </w:p>
    <w:p>
      <w:pPr>
        <w:spacing w:after="0" w:line="370" w:lineRule="exact"/>
        <w:rPr>
          <w:rFonts w:ascii="Arial" w:cs="Arial" w:eastAsia="Arial" w:hAnsi="Arial"/>
          <w:sz w:val="16"/>
          <w:szCs w:val="16"/>
          <w:color w:val="auto"/>
        </w:rPr>
      </w:pPr>
    </w:p>
    <w:p>
      <w:pPr>
        <w:ind w:left="1440" w:right="320" w:hanging="479"/>
        <w:spacing w:after="0" w:line="241" w:lineRule="auto"/>
        <w:tabs>
          <w:tab w:leader="none" w:pos="14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conversion of all outstanding preferred shares into 5,546,019 Class A common shares, 1,070,502 Class B common shares, 12,995,954 Class A1 common shares and 16,057,618 Class B1 common shares upon the closing of this offering; and</w:t>
      </w:r>
    </w:p>
    <w:p>
      <w:pPr>
        <w:spacing w:after="0" w:line="173" w:lineRule="exact"/>
        <w:rPr>
          <w:rFonts w:ascii="Arial" w:cs="Arial" w:eastAsia="Arial" w:hAnsi="Arial"/>
          <w:sz w:val="16"/>
          <w:szCs w:val="16"/>
          <w:color w:val="auto"/>
        </w:rPr>
      </w:pPr>
    </w:p>
    <w:p>
      <w:pPr>
        <w:ind w:left="1440" w:hanging="479"/>
        <w:spacing w:after="0"/>
        <w:tabs>
          <w:tab w:leader="none" w:pos="14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effectiveness of our amended and restated bye-laws immediately following the closing of this offering; and</w:t>
      </w:r>
    </w:p>
    <w:p>
      <w:pPr>
        <w:spacing w:after="0" w:line="382" w:lineRule="exact"/>
        <w:rPr>
          <w:rFonts w:ascii="Arial" w:cs="Arial" w:eastAsia="Arial" w:hAnsi="Arial"/>
          <w:sz w:val="16"/>
          <w:szCs w:val="16"/>
          <w:color w:val="auto"/>
        </w:rPr>
      </w:pPr>
    </w:p>
    <w:p>
      <w:pPr>
        <w:ind w:left="960" w:right="20" w:hanging="481"/>
        <w:spacing w:after="0" w:line="273" w:lineRule="auto"/>
        <w:tabs>
          <w:tab w:leader="none" w:pos="9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on a pro forma as adjusted basis to give further effect to our issuance and sale of 8,477,777 Class A common shares in this offering at the initial public offering price of $18.00 per share, after deducting the underwriting discounts and commissions and estimated offering expenses payable by us.</w:t>
      </w:r>
    </w:p>
    <w:p>
      <w:pPr>
        <w:spacing w:after="0" w:line="162"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You should read the following table in conjunction with our consolidated financial statements and the related notes appearing at the end of this prospectus and the sections of the prospectus titled "Selected Consolidated Financial Data," "Management's Discussion and Analysis of Financial Condition and Results of Operations" and "Description of Share Capital."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70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10"/>
          </w:tcPr>
          <w:p>
            <w:pPr>
              <w:jc w:val="right"/>
              <w:ind w:right="840"/>
              <w:spacing w:after="0"/>
              <w:rPr>
                <w:sz w:val="20"/>
                <w:szCs w:val="20"/>
                <w:color w:val="auto"/>
              </w:rPr>
            </w:pPr>
            <w:r>
              <w:rPr>
                <w:rFonts w:ascii="Arial" w:cs="Arial" w:eastAsia="Arial" w:hAnsi="Arial"/>
                <w:sz w:val="16"/>
                <w:szCs w:val="16"/>
                <w:b w:val="1"/>
                <w:bCs w:val="1"/>
                <w:color w:val="auto"/>
              </w:rPr>
              <w:t>As of March 31, 2018</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7"/>
              </w:rPr>
              <w:t>Pro Forma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Pro Forma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b w:val="1"/>
                <w:bCs w:val="1"/>
                <w:color w:val="auto"/>
                <w:w w:val="82"/>
              </w:rPr>
              <w:t>(in thousands,</w:t>
            </w:r>
          </w:p>
        </w:tc>
        <w:tc>
          <w:tcPr>
            <w:tcW w:w="140" w:type="dxa"/>
            <w:vAlign w:val="bottom"/>
            <w:gridSpan w:val="2"/>
          </w:tcPr>
          <w:p>
            <w:pPr>
              <w:spacing w:after="0"/>
              <w:rPr>
                <w:sz w:val="14"/>
                <w:szCs w:val="14"/>
                <w:color w:val="auto"/>
              </w:rPr>
            </w:pPr>
          </w:p>
        </w:tc>
        <w:tc>
          <w:tcPr>
            <w:tcW w:w="1040" w:type="dxa"/>
            <w:vAlign w:val="bottom"/>
            <w:tcBorders>
              <w:top w:val="single" w:sz="8" w:color="auto"/>
            </w:tcBorders>
            <w:gridSpan w:val="2"/>
          </w:tcPr>
          <w:p>
            <w:pPr>
              <w:jc w:val="center"/>
              <w:ind w:left="2"/>
              <w:spacing w:after="0" w:line="164" w:lineRule="exact"/>
              <w:rPr>
                <w:sz w:val="20"/>
                <w:szCs w:val="20"/>
                <w:color w:val="auto"/>
              </w:rPr>
            </w:pPr>
            <w:r>
              <w:rPr>
                <w:rFonts w:ascii="Arial" w:cs="Arial" w:eastAsia="Arial" w:hAnsi="Arial"/>
                <w:sz w:val="16"/>
                <w:szCs w:val="16"/>
                <w:b w:val="1"/>
                <w:bCs w:val="1"/>
                <w:color w:val="auto"/>
                <w:w w:val="98"/>
              </w:rPr>
              <w:t>except share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and per share data)</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221,108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221,108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359,255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1140"/>
              <w:spacing w:after="0"/>
              <w:rPr>
                <w:sz w:val="20"/>
                <w:szCs w:val="20"/>
                <w:color w:val="auto"/>
              </w:rPr>
            </w:pPr>
            <w:r>
              <w:rPr>
                <w:rFonts w:ascii="Arial" w:cs="Arial" w:eastAsia="Arial" w:hAnsi="Arial"/>
                <w:sz w:val="16"/>
                <w:szCs w:val="16"/>
                <w:color w:val="auto"/>
              </w:rPr>
              <w:t>Convertible preferred shares (Series A, B and C), par value of $0.000273235 per</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81" w:lineRule="exact"/>
              <w:rPr>
                <w:sz w:val="20"/>
                <w:szCs w:val="20"/>
                <w:color w:val="auto"/>
              </w:rPr>
            </w:pPr>
            <w:r>
              <w:rPr>
                <w:rFonts w:ascii="Arial" w:cs="Arial" w:eastAsia="Arial" w:hAnsi="Arial"/>
                <w:sz w:val="16"/>
                <w:szCs w:val="16"/>
                <w:color w:val="auto"/>
              </w:rPr>
              <w:t>share; 35,670,093 shares designated, issued and outstanding, actual; and no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78" w:lineRule="exact"/>
              <w:rPr>
                <w:sz w:val="20"/>
                <w:szCs w:val="20"/>
                <w:color w:val="auto"/>
              </w:rPr>
            </w:pPr>
            <w:r>
              <w:rPr>
                <w:rFonts w:ascii="Arial" w:cs="Arial" w:eastAsia="Arial" w:hAnsi="Arial"/>
                <w:sz w:val="16"/>
                <w:szCs w:val="16"/>
                <w:color w:val="auto"/>
              </w:rPr>
              <w:t>shares issued and outstanding, pro forma and pro forma as adjusted</w:t>
            </w:r>
          </w:p>
        </w:tc>
        <w:tc>
          <w:tcPr>
            <w:tcW w:w="22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310,592</w:t>
            </w:r>
          </w:p>
        </w:tc>
        <w:tc>
          <w:tcPr>
            <w:tcW w:w="100" w:type="dxa"/>
            <w:vAlign w:val="bottom"/>
          </w:tcPr>
          <w:p>
            <w:pPr>
              <w:spacing w:after="0"/>
              <w:rPr>
                <w:sz w:val="15"/>
                <w:szCs w:val="15"/>
                <w:color w:val="auto"/>
              </w:rPr>
            </w:pPr>
          </w:p>
        </w:tc>
        <w:tc>
          <w:tcPr>
            <w:tcW w:w="1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Shareholders' equity (deficit):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w w:val="98"/>
              </w:rPr>
              <w:t>Class A common shares, $0.000273235 par value; 5,507,938 shares designated,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724,550 shares issued and outstanding, actual; 6,270,569 shares issued and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outstanding, pro forma; 14,748,346 shares issued and outstanding, pro forma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78" w:lineRule="exact"/>
              <w:rPr>
                <w:sz w:val="20"/>
                <w:szCs w:val="20"/>
                <w:color w:val="auto"/>
              </w:rPr>
            </w:pPr>
            <w:r>
              <w:rPr>
                <w:rFonts w:ascii="Arial" w:cs="Arial" w:eastAsia="Arial" w:hAnsi="Arial"/>
                <w:sz w:val="16"/>
                <w:szCs w:val="16"/>
                <w:color w:val="auto"/>
              </w:rPr>
              <w:t>as adjusted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Class B common shares, $0.000273235 par value; 3,568,353 shares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designated, issued and outstanding, actual; 4,638,855 shares issued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outstanding, pro forma; 4,638,855 shares issued and outstanding, pro forma</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78" w:lineRule="exact"/>
              <w:rPr>
                <w:sz w:val="20"/>
                <w:szCs w:val="20"/>
                <w:color w:val="auto"/>
              </w:rPr>
            </w:pPr>
            <w:r>
              <w:rPr>
                <w:rFonts w:ascii="Arial" w:cs="Arial" w:eastAsia="Arial" w:hAnsi="Arial"/>
                <w:sz w:val="16"/>
                <w:szCs w:val="16"/>
                <w:color w:val="auto"/>
              </w:rPr>
              <w:t>as adjusted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Class A1 common shares, $0.000273235 par value; no shares designated,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issued and outstanding, actual; 12,995,954 shares issued and 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78" w:lineRule="exact"/>
              <w:rPr>
                <w:sz w:val="20"/>
                <w:szCs w:val="20"/>
                <w:color w:val="auto"/>
              </w:rPr>
            </w:pPr>
            <w:r>
              <w:rPr>
                <w:rFonts w:ascii="Arial" w:cs="Arial" w:eastAsia="Arial" w:hAnsi="Arial"/>
                <w:sz w:val="16"/>
                <w:szCs w:val="16"/>
                <w:color w:val="auto"/>
              </w:rPr>
              <w:t>pro forma; 12,995,954 shares issued and outstanding, pro forma as adjusted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Class B1 common shares, $0.000273235 par value; no shares designated,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issued and outstanding, actual; 16,057,618 shares issued and outstanding,</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78" w:lineRule="exact"/>
              <w:rPr>
                <w:sz w:val="20"/>
                <w:szCs w:val="20"/>
                <w:color w:val="auto"/>
              </w:rPr>
            </w:pPr>
            <w:r>
              <w:rPr>
                <w:rFonts w:ascii="Arial" w:cs="Arial" w:eastAsia="Arial" w:hAnsi="Arial"/>
                <w:sz w:val="16"/>
                <w:szCs w:val="16"/>
                <w:color w:val="auto"/>
              </w:rPr>
              <w:t>pro forma; 16,057,618 shares issued and outstanding, pro forma as adjusted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81" w:lineRule="exact"/>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1,864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312,446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450,562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(106,980)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(106,980)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(106,980)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vMerge w:val="restart"/>
          </w:tcPr>
          <w:p>
            <w:pPr>
              <w:ind w:left="240"/>
              <w:spacing w:after="0"/>
              <w:rPr>
                <w:sz w:val="20"/>
                <w:szCs w:val="20"/>
                <w:color w:val="auto"/>
              </w:rPr>
            </w:pPr>
            <w:r>
              <w:rPr>
                <w:rFonts w:ascii="Arial" w:cs="Arial" w:eastAsia="Arial" w:hAnsi="Arial"/>
                <w:sz w:val="16"/>
                <w:szCs w:val="16"/>
                <w:color w:val="auto"/>
              </w:rPr>
              <w:t>Total shareholders' equity (deficit)</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(105,115)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343,595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Total capitalization</w:t>
            </w:r>
          </w:p>
        </w:tc>
        <w:tc>
          <w:tcPr>
            <w:tcW w:w="22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343,595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foregoing table excludes:</w:t>
      </w:r>
    </w:p>
    <w:p>
      <w:pPr>
        <w:spacing w:after="0" w:line="190" w:lineRule="exact"/>
        <w:rPr>
          <w:sz w:val="20"/>
          <w:szCs w:val="20"/>
          <w:color w:val="auto"/>
        </w:rPr>
      </w:pPr>
    </w:p>
    <w:p>
      <w:pPr>
        <w:ind w:left="960" w:right="40" w:hanging="481"/>
        <w:spacing w:after="0" w:line="241"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85" w:lineRule="exact"/>
        <w:rPr>
          <w:rFonts w:ascii="Arial" w:cs="Arial" w:eastAsia="Arial" w:hAnsi="Arial"/>
          <w:sz w:val="16"/>
          <w:szCs w:val="16"/>
          <w:color w:val="auto"/>
        </w:rPr>
      </w:pPr>
    </w:p>
    <w:p>
      <w:pPr>
        <w:ind w:left="960" w:hanging="481"/>
        <w:spacing w:after="0" w:line="237"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 (including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line="238"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 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DILUTION</w:t>
      </w:r>
    </w:p>
    <w:p>
      <w:pPr>
        <w:spacing w:after="0" w:line="210"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color w:val="auto"/>
        </w:rPr>
        <w:t>If you invest in our Class A common shares in this offering, your ownership interest will be immediately diluted to the extent of the difference between the initial public offering price per share and the pro forma as adjusted net tangible book value per common share after this offering.</w:t>
      </w:r>
    </w:p>
    <w:p>
      <w:pPr>
        <w:spacing w:after="0" w:line="185" w:lineRule="exact"/>
        <w:rPr>
          <w:sz w:val="20"/>
          <w:szCs w:val="20"/>
          <w:color w:val="auto"/>
        </w:rPr>
      </w:pPr>
    </w:p>
    <w:p>
      <w:pPr>
        <w:ind w:right="20" w:firstLine="436"/>
        <w:spacing w:after="0" w:line="251" w:lineRule="auto"/>
        <w:rPr>
          <w:sz w:val="20"/>
          <w:szCs w:val="20"/>
          <w:color w:val="auto"/>
        </w:rPr>
      </w:pPr>
      <w:r>
        <w:rPr>
          <w:rFonts w:ascii="Arial" w:cs="Arial" w:eastAsia="Arial" w:hAnsi="Arial"/>
          <w:sz w:val="15"/>
          <w:szCs w:val="15"/>
          <w:color w:val="auto"/>
        </w:rPr>
        <w:t>Our historical net tangible book value (deficit) as of March 31, 2018 was $(106.7) million, or $(24.86) per common share. Our historical net tangible book value (deficit) represents our total tangible assets less our total liabilities and carrying value of our preferred shares, which is not included within our shareholders' equity</w:t>
      </w:r>
    </w:p>
    <w:p>
      <w:pPr>
        <w:spacing w:after="0" w:line="1" w:lineRule="exact"/>
        <w:rPr>
          <w:sz w:val="20"/>
          <w:szCs w:val="20"/>
          <w:color w:val="auto"/>
        </w:rPr>
      </w:pPr>
    </w:p>
    <w:p>
      <w:pPr>
        <w:ind w:right="680"/>
        <w:spacing w:after="0" w:line="241" w:lineRule="auto"/>
        <w:rPr>
          <w:sz w:val="20"/>
          <w:szCs w:val="20"/>
          <w:color w:val="auto"/>
        </w:rPr>
      </w:pPr>
      <w:r>
        <w:rPr>
          <w:rFonts w:ascii="Arial" w:cs="Arial" w:eastAsia="Arial" w:hAnsi="Arial"/>
          <w:sz w:val="16"/>
          <w:szCs w:val="16"/>
          <w:color w:val="auto"/>
        </w:rPr>
        <w:t>(deficit). Historical net tangible book value (deficit) per share represents historical net tangible book value (deficit) divided by the 4,292,903 common shares outstanding as of March 31, 2018.</w:t>
      </w:r>
    </w:p>
    <w:p>
      <w:pPr>
        <w:spacing w:after="0" w:line="185"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Our pro forma net tangible book value as of March 31, 2018 was $203.9 million, or $5.10 per common share. Pro forma net tangible book value represents the amount of our total tangible assets less our total liabilities, after giving effect to the conversion of all outstanding preferred shares into an aggregate of 35,670,093 common shares upon the closing of this offering. Pro forma net tangible book value per share represents our pro forma net tangible book value divided by the total number of shares outstanding as of March 31, 2018, after giving effect to the pro forma adjustments described above.</w:t>
      </w:r>
    </w:p>
    <w:p>
      <w:pPr>
        <w:spacing w:after="0" w:line="187"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After giving further effect to our issuance and sale of 8,477,777 Class A common shares in this offering at the initial public offering price of $18.00 per share and after deducting the underwriting discounts and commissions and estimated offering expenses payable by us, our pro forma as adjusted net tangible book value as of March 31, 2018 would have been $343.6 million, or $7.09 per share. This represents an immediate increase in pro forma as adjusted net tangible book value of $1.99 per share to our existing shareholders and immediate dilution of $10.91 per share to new investors purchasing Class A common shares in this offering. Dilution per share to new investors is determined by subtracting the pro forma as adjusted net tangible book value per share after this offering from the initial public offering price per Class A common share paid by new investors. The following table illustrates this dilution on a per share basis: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Initial public offering price per share</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40" w:type="dxa"/>
            <w:vAlign w:val="bottom"/>
            <w:shd w:val="clear" w:color="auto" w:fill="CCEEFF"/>
          </w:tcPr>
          <w:p>
            <w:pPr>
              <w:spacing w:after="0"/>
              <w:rPr>
                <w:sz w:val="16"/>
                <w:szCs w:val="16"/>
                <w:color w:val="auto"/>
              </w:rPr>
            </w:pPr>
          </w:p>
        </w:tc>
      </w:tr>
      <w:tr>
        <w:trPr>
          <w:trHeight w:val="181"/>
        </w:trPr>
        <w:tc>
          <w:tcPr>
            <w:tcW w:w="7200" w:type="dxa"/>
            <w:vAlign w:val="bottom"/>
          </w:tcPr>
          <w:p>
            <w:pPr>
              <w:ind w:left="160"/>
              <w:spacing w:after="0" w:line="181" w:lineRule="exact"/>
              <w:rPr>
                <w:sz w:val="20"/>
                <w:szCs w:val="20"/>
                <w:color w:val="auto"/>
              </w:rPr>
            </w:pPr>
            <w:r>
              <w:rPr>
                <w:rFonts w:ascii="Arial" w:cs="Arial" w:eastAsia="Arial" w:hAnsi="Arial"/>
                <w:sz w:val="16"/>
                <w:szCs w:val="16"/>
                <w:color w:val="auto"/>
              </w:rPr>
              <w:t>Historical net tangible book value (deficit) per share as of March 31, 2018</w:t>
            </w:r>
          </w:p>
        </w:tc>
        <w:tc>
          <w:tcPr>
            <w:tcW w:w="4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(24.86)</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72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Increase per share attributable to the pro forma adjustments described above</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29.96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7200" w:type="dxa"/>
            <w:vAlign w:val="bottom"/>
          </w:tcPr>
          <w:p>
            <w:pPr>
              <w:ind w:left="160"/>
              <w:spacing w:after="0" w:line="173" w:lineRule="exact"/>
              <w:rPr>
                <w:sz w:val="20"/>
                <w:szCs w:val="20"/>
                <w:color w:val="auto"/>
              </w:rPr>
            </w:pPr>
            <w:r>
              <w:rPr>
                <w:rFonts w:ascii="Arial" w:cs="Arial" w:eastAsia="Arial" w:hAnsi="Arial"/>
                <w:sz w:val="16"/>
                <w:szCs w:val="16"/>
                <w:color w:val="auto"/>
              </w:rPr>
              <w:t>Pro forma net tangible book value per share as of March 31, 2018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7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pro forma as adjusted net tangible book value per share attributable to new investors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8"/>
        </w:trPr>
        <w:tc>
          <w:tcPr>
            <w:tcW w:w="72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purchasing Class A common shares in this offering</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7200" w:type="dxa"/>
            <w:vAlign w:val="bottom"/>
          </w:tcPr>
          <w:p>
            <w:pPr>
              <w:spacing w:after="0" w:line="173" w:lineRule="exact"/>
              <w:rPr>
                <w:sz w:val="20"/>
                <w:szCs w:val="20"/>
                <w:color w:val="auto"/>
              </w:rPr>
            </w:pPr>
            <w:r>
              <w:rPr>
                <w:rFonts w:ascii="Arial" w:cs="Arial" w:eastAsia="Arial" w:hAnsi="Arial"/>
                <w:sz w:val="16"/>
                <w:szCs w:val="16"/>
                <w:color w:val="auto"/>
              </w:rPr>
              <w:t>Pro forma as adjusted net tangible book value per share after this offering</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7.09</w:t>
            </w:r>
          </w:p>
        </w:tc>
        <w:tc>
          <w:tcPr>
            <w:tcW w:w="140" w:type="dxa"/>
            <w:vAlign w:val="bottom"/>
          </w:tcPr>
          <w:p>
            <w:pPr>
              <w:spacing w:after="0"/>
              <w:rPr>
                <w:sz w:val="15"/>
                <w:szCs w:val="15"/>
                <w:color w:val="auto"/>
              </w:rPr>
            </w:pPr>
          </w:p>
        </w:tc>
      </w:tr>
      <w:tr>
        <w:trPr>
          <w:trHeight w:val="173"/>
        </w:trPr>
        <w:tc>
          <w:tcPr>
            <w:tcW w:w="72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Dilution per share to new investors purchasing Class A common shares in this offering</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10.91</w:t>
            </w:r>
          </w:p>
        </w:tc>
        <w:tc>
          <w:tcPr>
            <w:tcW w:w="140" w:type="dxa"/>
            <w:vAlign w:val="bottom"/>
            <w:shd w:val="clear" w:color="auto" w:fill="CCEEFF"/>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If the underwriters exercise in full their option to purchase additional Class A common shares, the pro forma as adjusted net tangible book value per share after this offering would be $7.34, and the dilution per share to new investors would be $10.66, in each case based on the initial public offering price of $18.00 per share and after deducting the underwriting discounts and commissions.</w:t>
      </w:r>
    </w:p>
    <w:p>
      <w:pPr>
        <w:spacing w:after="0" w:line="186" w:lineRule="exact"/>
        <w:rPr>
          <w:sz w:val="20"/>
          <w:szCs w:val="20"/>
          <w:color w:val="auto"/>
        </w:rPr>
      </w:pPr>
    </w:p>
    <w:p>
      <w:pPr>
        <w:ind w:right="240" w:firstLine="433"/>
        <w:spacing w:after="0" w:line="239" w:lineRule="auto"/>
        <w:rPr>
          <w:sz w:val="20"/>
          <w:szCs w:val="20"/>
          <w:color w:val="auto"/>
        </w:rPr>
      </w:pPr>
      <w:r>
        <w:rPr>
          <w:rFonts w:ascii="Arial" w:cs="Arial" w:eastAsia="Arial" w:hAnsi="Arial"/>
          <w:sz w:val="16"/>
          <w:szCs w:val="16"/>
          <w:color w:val="auto"/>
        </w:rPr>
        <w:t>The following table summarizes, on the pro forma as adjusted basis as described above, the total number of common shares purchased from us, the total consideration paid and the average price per share paid or to be paid by existing shareholders and by new investors acquiring our Class A common shares in this offering at the initial public offering price of $18.00 per share, before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deducting the underwriting discounts and commissions and estimated offering expenses payable by us.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0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2"/>
          </w:tcPr>
          <w:p>
            <w:pPr>
              <w:ind w:left="760"/>
              <w:spacing w:after="0"/>
              <w:rPr>
                <w:sz w:val="20"/>
                <w:szCs w:val="20"/>
                <w:color w:val="auto"/>
              </w:rPr>
            </w:pPr>
            <w:r>
              <w:rPr>
                <w:rFonts w:ascii="Arial" w:cs="Arial" w:eastAsia="Arial" w:hAnsi="Arial"/>
                <w:sz w:val="16"/>
                <w:szCs w:val="16"/>
                <w:b w:val="1"/>
                <w:bCs w:val="1"/>
                <w:color w:val="auto"/>
                <w:w w:val="99"/>
              </w:rPr>
              <w:t>Total</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Average</w:t>
            </w:r>
          </w:p>
        </w:tc>
      </w:tr>
      <w:tr>
        <w:trPr>
          <w:trHeight w:val="202"/>
        </w:trPr>
        <w:tc>
          <w:tcPr>
            <w:tcW w:w="3980" w:type="dxa"/>
            <w:vAlign w:val="bottom"/>
          </w:tcPr>
          <w:p>
            <w:pPr>
              <w:spacing w:after="0"/>
              <w:rPr>
                <w:sz w:val="17"/>
                <w:szCs w:val="17"/>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Purchased</w:t>
            </w:r>
          </w:p>
        </w:tc>
        <w:tc>
          <w:tcPr>
            <w:tcW w:w="19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Consideration</w:t>
            </w:r>
          </w:p>
        </w:tc>
        <w:tc>
          <w:tcPr>
            <w:tcW w:w="1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6"/>
              </w:rPr>
              <w:t>Price</w:t>
            </w:r>
          </w:p>
        </w:tc>
      </w:tr>
      <w:tr>
        <w:trPr>
          <w:trHeight w:val="197"/>
        </w:trPr>
        <w:tc>
          <w:tcPr>
            <w:tcW w:w="39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8"/>
              </w:rPr>
              <w:t>Per Share</w:t>
            </w:r>
          </w:p>
        </w:tc>
        <w:tc>
          <w:tcPr>
            <w:tcW w:w="140" w:type="dxa"/>
            <w:vAlign w:val="bottom"/>
          </w:tcPr>
          <w:p>
            <w:pPr>
              <w:spacing w:after="0"/>
              <w:rPr>
                <w:sz w:val="17"/>
                <w:szCs w:val="17"/>
                <w:color w:val="auto"/>
              </w:rPr>
            </w:pPr>
          </w:p>
        </w:tc>
      </w:tr>
      <w:tr>
        <w:trPr>
          <w:trHeight w:val="181"/>
        </w:trPr>
        <w:tc>
          <w:tcPr>
            <w:tcW w:w="3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Existing shareholders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39,962,996</w:t>
            </w:r>
          </w:p>
        </w:tc>
        <w:tc>
          <w:tcPr>
            <w:tcW w:w="1180" w:type="dxa"/>
            <w:vAlign w:val="bottom"/>
            <w:gridSpan w:val="4"/>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82.5%$</w:t>
            </w: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320,028,545</w:t>
            </w:r>
          </w:p>
        </w:tc>
        <w:tc>
          <w:tcPr>
            <w:tcW w:w="1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67.7%$</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8.01</w:t>
            </w:r>
          </w:p>
        </w:tc>
        <w:tc>
          <w:tcPr>
            <w:tcW w:w="140" w:type="dxa"/>
            <w:vAlign w:val="bottom"/>
            <w:shd w:val="clear" w:color="auto" w:fill="CCEEFF"/>
          </w:tcPr>
          <w:p>
            <w:pPr>
              <w:spacing w:after="0"/>
              <w:rPr>
                <w:sz w:val="15"/>
                <w:szCs w:val="15"/>
                <w:color w:val="auto"/>
              </w:rPr>
            </w:pPr>
          </w:p>
        </w:tc>
      </w:tr>
      <w:tr>
        <w:trPr>
          <w:trHeight w:val="181"/>
        </w:trPr>
        <w:tc>
          <w:tcPr>
            <w:tcW w:w="3980" w:type="dxa"/>
            <w:vAlign w:val="bottom"/>
          </w:tcPr>
          <w:p>
            <w:pPr>
              <w:spacing w:after="0" w:line="181" w:lineRule="exact"/>
              <w:rPr>
                <w:sz w:val="20"/>
                <w:szCs w:val="20"/>
                <w:color w:val="auto"/>
              </w:rPr>
            </w:pPr>
            <w:r>
              <w:rPr>
                <w:rFonts w:ascii="Arial" w:cs="Arial" w:eastAsia="Arial" w:hAnsi="Arial"/>
                <w:sz w:val="16"/>
                <w:szCs w:val="16"/>
                <w:color w:val="auto"/>
              </w:rPr>
              <w:t>New investors</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8,477,777</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152,599,986</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32.3</w:t>
            </w:r>
          </w:p>
        </w:tc>
        <w:tc>
          <w:tcPr>
            <w:tcW w:w="140" w:type="dxa"/>
            <w:vAlign w:val="bottom"/>
          </w:tcPr>
          <w:p>
            <w:pPr>
              <w:spacing w:after="0"/>
              <w:rPr>
                <w:sz w:val="15"/>
                <w:szCs w:val="15"/>
                <w:color w:val="auto"/>
              </w:rPr>
            </w:pPr>
          </w:p>
        </w:tc>
        <w:tc>
          <w:tcPr>
            <w:tcW w:w="180" w:type="dxa"/>
            <w:vAlign w:val="bottom"/>
          </w:tcPr>
          <w:p>
            <w:pPr>
              <w:jc w:val="right"/>
              <w:ind w:right="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18.00</w:t>
            </w:r>
          </w:p>
        </w:tc>
        <w:tc>
          <w:tcPr>
            <w:tcW w:w="140" w:type="dxa"/>
            <w:vAlign w:val="bottom"/>
          </w:tcPr>
          <w:p>
            <w:pPr>
              <w:spacing w:after="0"/>
              <w:rPr>
                <w:sz w:val="15"/>
                <w:szCs w:val="15"/>
                <w:color w:val="auto"/>
              </w:rPr>
            </w:pPr>
          </w:p>
        </w:tc>
      </w:tr>
      <w:tr>
        <w:trPr>
          <w:trHeight w:val="173"/>
        </w:trPr>
        <w:tc>
          <w:tcPr>
            <w:tcW w:w="398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48,440,773</w:t>
            </w:r>
          </w:p>
        </w:tc>
        <w:tc>
          <w:tcPr>
            <w:tcW w:w="1180" w:type="dxa"/>
            <w:vAlign w:val="bottom"/>
            <w:gridSpan w:val="4"/>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100.0%$</w:t>
            </w:r>
          </w:p>
        </w:tc>
        <w:tc>
          <w:tcPr>
            <w:tcW w:w="10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472,628,531</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table above assumes no exercise of the underwriters' option to purchase additional Class A common shares. If the underwriters exercise in full their option to purchase additional Class A common shares, the percentage of our common shares held by existing shareholders would be decreased to 80.4% of the total number of our common shares outstanding after this offering, and the number of shares held by new investors participating in this offering would be increased to 19.6% of the total number of our common shares outstanding after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foregoing tables exclude:</w:t>
      </w:r>
    </w:p>
    <w:p>
      <w:pPr>
        <w:spacing w:after="0" w:line="190" w:lineRule="exact"/>
        <w:rPr>
          <w:sz w:val="20"/>
          <w:szCs w:val="20"/>
          <w:color w:val="auto"/>
        </w:rPr>
      </w:pPr>
    </w:p>
    <w:p>
      <w:pPr>
        <w:ind w:left="960" w:right="40" w:hanging="481"/>
        <w:spacing w:after="0" w:line="241"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85" w:lineRule="exact"/>
        <w:rPr>
          <w:rFonts w:ascii="Arial" w:cs="Arial" w:eastAsia="Arial" w:hAnsi="Arial"/>
          <w:sz w:val="16"/>
          <w:szCs w:val="16"/>
          <w:color w:val="auto"/>
        </w:rPr>
      </w:pPr>
    </w:p>
    <w:p>
      <w:pPr>
        <w:ind w:left="960" w:right="40" w:hanging="481"/>
        <w:spacing w:after="0" w:line="237"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76" w:lineRule="exact"/>
        <w:rPr>
          <w:rFonts w:ascii="Arial" w:cs="Arial" w:eastAsia="Arial" w:hAnsi="Arial"/>
          <w:sz w:val="16"/>
          <w:szCs w:val="16"/>
          <w:color w:val="auto"/>
        </w:rPr>
      </w:pPr>
    </w:p>
    <w:p>
      <w:pPr>
        <w:ind w:left="960" w:right="40" w:hanging="481"/>
        <w:spacing w:after="0" w:line="238"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 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7"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To the extent any of the outstanding share options are exercised, you will experience further dilution as a new investor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87" w:lineRule="exact"/>
        <w:rPr>
          <w:sz w:val="20"/>
          <w:szCs w:val="20"/>
          <w:color w:val="auto"/>
        </w:rPr>
      </w:pPr>
    </w:p>
    <w:p>
      <w:pPr>
        <w:ind w:right="160" w:firstLine="436"/>
        <w:spacing w:after="0" w:line="239"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agreed to purchase an aggregate of approximately $55.0 million of Class A common shares in this offering at the initial public offering price per share. The underwriters will receive the same underwriting discount on any shares purchased by these existing shareholders as they will on any other shares sold to the public in this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SELECTED CONSOLIDATED FINANCIAL DATA</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2016 and 2017 and the consolidated balance sheet data as of December 31, 2016 and 2017 from our audited consolidated financial statements appearing at the end of this prospectus. We have derived the consolidated statement of operations data for the three months ended March 31, 2017 and 2018 and the consolidated balance sheet data as of March 31, 2018 from our unaudited consolidated financial statements appearing at the end of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results that may be expected in any future period, and our results for any interim period are not necessarily indicative of results that may be expected for any full year.</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gridSpan w:val="14"/>
          </w:tcPr>
          <w:p>
            <w:pPr>
              <w:jc w:val="center"/>
              <w:ind w:right="180"/>
              <w:spacing w:after="0"/>
              <w:rPr>
                <w:sz w:val="20"/>
                <w:szCs w:val="20"/>
                <w:color w:val="auto"/>
              </w:rPr>
            </w:pPr>
            <w:r>
              <w:rPr>
                <w:rFonts w:ascii="Arial" w:cs="Arial" w:eastAsia="Arial" w:hAnsi="Arial"/>
                <w:sz w:val="16"/>
                <w:szCs w:val="16"/>
                <w:b w:val="1"/>
                <w:bCs w:val="1"/>
                <w:color w:val="auto"/>
                <w:w w:val="97"/>
              </w:rPr>
              <w:t>(in thousands, except share and per share data)</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 Data:</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tcPr>
          <w:p>
            <w:pPr>
              <w:spacing w:after="0" w:line="181" w:lineRule="exact"/>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spacing w:after="0" w:line="173" w:lineRule="exact"/>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60" w:type="dxa"/>
            <w:vAlign w:val="bottom"/>
            <w:gridSpan w:val="2"/>
            <w:vMerge w:val="continue"/>
          </w:tcPr>
          <w:p>
            <w:pPr>
              <w:spacing w:after="0"/>
              <w:rPr>
                <w:sz w:val="15"/>
                <w:szCs w:val="15"/>
                <w:color w:val="auto"/>
              </w:rPr>
            </w:pPr>
          </w:p>
        </w:tc>
        <w:tc>
          <w:tcPr>
            <w:tcW w:w="22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Net loss per share attributable to common shareholders—basic and</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diluted</w:t>
            </w:r>
            <w:r>
              <w:rPr>
                <w:rFonts w:ascii="Arial" w:cs="Arial" w:eastAsia="Arial" w:hAnsi="Arial"/>
                <w:sz w:val="24"/>
                <w:szCs w:val="24"/>
                <w:color w:val="auto"/>
                <w:vertAlign w:val="superscript"/>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line="233" w:lineRule="exact"/>
              <w:rPr>
                <w:sz w:val="20"/>
                <w:szCs w:val="20"/>
                <w:color w:val="auto"/>
              </w:rPr>
            </w:pPr>
            <w:r>
              <w:rPr>
                <w:rFonts w:ascii="Arial" w:cs="Arial" w:eastAsia="Arial" w:hAnsi="Arial"/>
                <w:sz w:val="16"/>
                <w:szCs w:val="16"/>
                <w:color w:val="auto"/>
                <w:w w:val="98"/>
              </w:rPr>
              <w:t>Weighted average common shares outstanding—basic and diluted</w:t>
            </w:r>
            <w:r>
              <w:rPr>
                <w:rFonts w:ascii="Arial" w:cs="Arial" w:eastAsia="Arial" w:hAnsi="Arial"/>
                <w:sz w:val="26"/>
                <w:szCs w:val="26"/>
                <w:color w:val="auto"/>
                <w:w w:val="98"/>
                <w:vertAlign w:val="superscript"/>
              </w:rPr>
              <w:t>(1)</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1,405,400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Pro forma net loss per share attributable to common shareholders—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basic and diluted (unaudited)</w:t>
            </w:r>
            <w:r>
              <w:rPr>
                <w:rFonts w:ascii="Arial" w:cs="Arial" w:eastAsia="Arial" w:hAnsi="Arial"/>
                <w:sz w:val="24"/>
                <w:szCs w:val="24"/>
                <w:color w:val="auto"/>
                <w:vertAlign w:val="superscript"/>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 average common shares outstanding—basic</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and diluted (unaudited)</w:t>
            </w:r>
            <w:r>
              <w:rPr>
                <w:rFonts w:ascii="Arial" w:cs="Arial" w:eastAsia="Arial" w:hAnsi="Arial"/>
                <w:sz w:val="24"/>
                <w:szCs w:val="24"/>
                <w:color w:val="auto"/>
                <w:vertAlign w:val="superscript"/>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23,638,410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320" w:hanging="480"/>
        <w:spacing w:after="0" w:line="195"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See Note 11 to our consolidated financial statements included elsewhere in this prospectus for further details on the calculation of basic and diluted net loss per share attributable to common shareholders and on the calculation of pro forma basic and diluted net loss per share attributable to common shareholders.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4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4"/>
          </w:tcPr>
          <w:p>
            <w:pPr>
              <w:jc w:val="center"/>
              <w:ind w:left="542"/>
              <w:spacing w:after="0"/>
              <w:rPr>
                <w:sz w:val="20"/>
                <w:szCs w:val="20"/>
                <w:color w:val="auto"/>
              </w:rPr>
            </w:pPr>
            <w:r>
              <w:rPr>
                <w:rFonts w:ascii="Arial" w:cs="Arial" w:eastAsia="Arial" w:hAnsi="Arial"/>
                <w:sz w:val="16"/>
                <w:szCs w:val="16"/>
                <w:b w:val="1"/>
                <w:bCs w:val="1"/>
                <w:color w:val="auto"/>
                <w:w w:val="94"/>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3"/>
          </w:tcPr>
          <w:p>
            <w:pPr>
              <w:jc w:val="center"/>
              <w:ind w:right="1240"/>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3"/>
          </w:tcPr>
          <w:p>
            <w:pPr>
              <w:jc w:val="center"/>
              <w:ind w:right="124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Balance Sheet Data:</w:t>
            </w: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tcPr>
          <w:p>
            <w:pPr>
              <w:spacing w:after="0" w:line="181" w:lineRule="exact"/>
              <w:rPr>
                <w:sz w:val="20"/>
                <w:szCs w:val="20"/>
                <w:color w:val="auto"/>
              </w:rPr>
            </w:pPr>
            <w:r>
              <w:rPr>
                <w:rFonts w:ascii="Arial" w:cs="Arial" w:eastAsia="Arial" w:hAnsi="Arial"/>
                <w:sz w:val="16"/>
                <w:szCs w:val="16"/>
                <w:color w:val="auto"/>
              </w:rPr>
              <w:t>Cash and cash equivalents</w:t>
            </w:r>
          </w:p>
        </w:tc>
        <w:tc>
          <w:tcPr>
            <w:tcW w:w="18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55,970</w:t>
            </w:r>
          </w:p>
        </w:tc>
        <w:tc>
          <w:tcPr>
            <w:tcW w:w="100" w:type="dxa"/>
            <w:vAlign w:val="bottom"/>
          </w:tcPr>
          <w:p>
            <w:pPr>
              <w:spacing w:after="0"/>
              <w:rPr>
                <w:sz w:val="15"/>
                <w:szCs w:val="15"/>
                <w:color w:val="auto"/>
              </w:rPr>
            </w:pPr>
          </w:p>
        </w:tc>
        <w:tc>
          <w:tcPr>
            <w:tcW w:w="320" w:type="dxa"/>
            <w:vAlign w:val="bottom"/>
            <w:gridSpan w:val="2"/>
          </w:tcPr>
          <w:p>
            <w:pPr>
              <w:jc w:val="center"/>
              <w:ind w:right="82"/>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45,555</w:t>
            </w:r>
          </w:p>
        </w:tc>
        <w:tc>
          <w:tcPr>
            <w:tcW w:w="100" w:type="dxa"/>
            <w:vAlign w:val="bottom"/>
          </w:tcPr>
          <w:p>
            <w:pPr>
              <w:spacing w:after="0"/>
              <w:rPr>
                <w:sz w:val="15"/>
                <w:szCs w:val="15"/>
                <w:color w:val="auto"/>
              </w:rPr>
            </w:pPr>
          </w:p>
        </w:tc>
        <w:tc>
          <w:tcPr>
            <w:tcW w:w="2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221,108</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60" w:type="dxa"/>
            <w:vAlign w:val="bottom"/>
            <w:gridSpan w:val="4"/>
            <w:shd w:val="clear" w:color="auto" w:fill="CCEEFF"/>
          </w:tcPr>
          <w:p>
            <w:pPr>
              <w:spacing w:after="0" w:line="217"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(1)</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tcPr>
          <w:p>
            <w:pPr>
              <w:spacing w:after="0" w:line="181" w:lineRule="exact"/>
              <w:rPr>
                <w:sz w:val="20"/>
                <w:szCs w:val="20"/>
                <w:color w:val="auto"/>
              </w:rPr>
            </w:pPr>
            <w:r>
              <w:rPr>
                <w:rFonts w:ascii="Arial" w:cs="Arial" w:eastAsia="Arial" w:hAnsi="Arial"/>
                <w:sz w:val="16"/>
                <w:szCs w:val="16"/>
                <w:color w:val="auto"/>
              </w:rPr>
              <w:t>Total assets</w:t>
            </w: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56,467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47,492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224,775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w:t>
            </w: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119,770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310,592</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Arial" w:cs="Arial" w:eastAsia="Arial" w:hAnsi="Arial"/>
                <w:sz w:val="16"/>
                <w:szCs w:val="16"/>
                <w:color w:val="auto"/>
              </w:rPr>
              <w:t>Total shareholders' deficit</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(25,732)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(89,708)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(105,115)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140" w:type="dxa"/>
            <w:vAlign w:val="bottom"/>
          </w:tcPr>
          <w:p>
            <w:pPr>
              <w:spacing w:after="0"/>
              <w:rPr>
                <w:sz w:val="7"/>
                <w:szCs w:val="7"/>
                <w:color w:val="auto"/>
              </w:rPr>
            </w:pPr>
          </w:p>
        </w:tc>
        <w:tc>
          <w:tcPr>
            <w:tcW w:w="300" w:type="dxa"/>
            <w:vAlign w:val="bottom"/>
            <w:tcBorders>
              <w:bottom w:val="single" w:sz="8" w:color="auto"/>
            </w:tcBorders>
            <w:gridSpan w:val="2"/>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440" w:type="dxa"/>
            <w:vAlign w:val="bottom"/>
            <w:gridSpan w:val="3"/>
          </w:tcPr>
          <w:p>
            <w:pPr>
              <w:ind w:left="1140"/>
              <w:spacing w:after="0"/>
              <w:rPr>
                <w:sz w:val="20"/>
                <w:szCs w:val="20"/>
                <w:color w:val="auto"/>
              </w:rPr>
            </w:pPr>
            <w:r>
              <w:rPr>
                <w:rFonts w:ascii="Arial" w:cs="Arial" w:eastAsia="Arial" w:hAnsi="Arial"/>
                <w:sz w:val="10"/>
                <w:szCs w:val="10"/>
                <w:color w:val="auto"/>
              </w:rPr>
              <w:t>(1)</w:t>
            </w:r>
          </w:p>
        </w:tc>
        <w:tc>
          <w:tcPr>
            <w:tcW w:w="4060" w:type="dxa"/>
            <w:vAlign w:val="bottom"/>
            <w:gridSpan w:val="2"/>
            <w:vMerge w:val="restart"/>
          </w:tcPr>
          <w:p>
            <w:pPr>
              <w:ind w:left="180"/>
              <w:spacing w:after="0"/>
              <w:rPr>
                <w:sz w:val="20"/>
                <w:szCs w:val="20"/>
                <w:color w:val="auto"/>
              </w:rPr>
            </w:pPr>
            <w:r>
              <w:rPr>
                <w:rFonts w:ascii="Arial" w:cs="Arial" w:eastAsia="Arial" w:hAnsi="Arial"/>
                <w:sz w:val="13"/>
                <w:szCs w:val="13"/>
                <w:color w:val="auto"/>
              </w:rPr>
              <w:t>We define working capital as current assets less current liabilities.</w:t>
            </w: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60" w:type="dxa"/>
            <w:vAlign w:val="bottom"/>
            <w:gridSpan w:val="2"/>
            <w:vMerge w:val="continue"/>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80" w:type="dxa"/>
            <w:vAlign w:val="bottom"/>
          </w:tcPr>
          <w:p>
            <w:pPr>
              <w:jc w:val="right"/>
              <w:ind w:right="1202"/>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3420" w:type="dxa"/>
            <w:vAlign w:val="bottom"/>
            <w:tcBorders>
              <w:bottom w:val="single" w:sz="8" w:color="808080"/>
            </w:tcBorders>
          </w:tcPr>
          <w:p>
            <w:pPr>
              <w:spacing w:after="0"/>
              <w:rPr>
                <w:sz w:val="16"/>
                <w:szCs w:val="16"/>
                <w:color w:val="auto"/>
              </w:rPr>
            </w:pPr>
          </w:p>
        </w:tc>
        <w:tc>
          <w:tcPr>
            <w:tcW w:w="15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17"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74" w:lineRule="exact"/>
        <w:rPr>
          <w:sz w:val="20"/>
          <w:szCs w:val="20"/>
          <w:color w:val="auto"/>
        </w:rPr>
      </w:pPr>
    </w:p>
    <w:p>
      <w:pPr>
        <w:ind w:right="100" w:firstLine="436"/>
        <w:spacing w:after="0" w:line="24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the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8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Since our inception in 2015, we have devoted substantially all of our efforts and financial resources to organizing and staffing our company, business planning, raising capital, acquiring, in-licensing or discovering product candidates and securing related intellectual property rights and conducting research and development activities for our programs. We do not have any products approved for sale and have not generated any revenue from product sales. We have funded our operations to date primarily with proceeds from the sale of preferred shares. Through March 31, 2018, we had received net proceeds of $310.6 million from the sale of preferred shares.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have incurred significant operating losses since inception. Our ability to generate product revenue sufficient to achieve profitability will depend heavily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successful development and eventual commercialization of one or more of our current or future product candidates. Our net losses were $24.0 million and</w:t>
      </w:r>
    </w:p>
    <w:p>
      <w:pPr>
        <w:spacing w:after="0"/>
        <w:rPr>
          <w:sz w:val="20"/>
          <w:szCs w:val="20"/>
          <w:color w:val="auto"/>
        </w:rPr>
      </w:pPr>
      <w:r>
        <w:rPr>
          <w:rFonts w:ascii="Arial" w:cs="Arial" w:eastAsia="Arial" w:hAnsi="Arial"/>
          <w:sz w:val="15"/>
          <w:szCs w:val="15"/>
          <w:color w:val="auto"/>
        </w:rPr>
        <w:t>$64.9 million for the years ended December 31, 2016 and 2017, respectively and were $4.9 million and $16.0 million for the three months ended March 31, 2017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2018, respectively. As of December 31, 2017 and March 31, 2018, we had an accumulated deficit of $91.0 million and $107.0 million, respectively. We expect to</w:t>
      </w:r>
    </w:p>
    <w:p>
      <w:pPr>
        <w:spacing w:after="0"/>
        <w:rPr>
          <w:sz w:val="20"/>
          <w:szCs w:val="20"/>
          <w:color w:val="auto"/>
        </w:rPr>
      </w:pPr>
      <w:r>
        <w:rPr>
          <w:rFonts w:ascii="Arial" w:cs="Arial" w:eastAsia="Arial" w:hAnsi="Arial"/>
          <w:sz w:val="15"/>
          <w:szCs w:val="15"/>
          <w:color w:val="auto"/>
        </w:rPr>
        <w:t>continue to incur significant operating losses for at least the next several years as we advance our product candidates through all stages of development and clinical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trials and, ultimately, seek regulatory approval. In addition, if we obtain marketing approval for any of our product candidates, we expect to incur significant</w:t>
      </w:r>
    </w:p>
    <w:p>
      <w:pPr>
        <w:spacing w:after="0"/>
        <w:rPr>
          <w:sz w:val="20"/>
          <w:szCs w:val="20"/>
          <w:color w:val="auto"/>
        </w:rPr>
      </w:pPr>
      <w:r>
        <w:rPr>
          <w:rFonts w:ascii="Arial" w:cs="Arial" w:eastAsia="Arial" w:hAnsi="Arial"/>
          <w:sz w:val="15"/>
          <w:szCs w:val="15"/>
          <w:color w:val="auto"/>
        </w:rPr>
        <w:t>commercialization expenses related to product manufacturing, marketing, sales and distribution. We may also incur expenses in connection with the in-licensing 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acquisition of additional product candidates. Furthermore, upon the closing of this offering, we expect to incur additional costs associated with operating as a public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company, including significant legal, accounting, investor relations and other expenses that we did not incur as a private company.</w:t>
      </w:r>
    </w:p>
    <w:p>
      <w:pPr>
        <w:spacing w:after="0" w:line="190" w:lineRule="exact"/>
        <w:rPr>
          <w:sz w:val="20"/>
          <w:szCs w:val="20"/>
          <w:color w:val="auto"/>
        </w:rPr>
      </w:pPr>
    </w:p>
    <w:p>
      <w:pPr>
        <w:ind w:right="400" w:firstLine="427"/>
        <w:spacing w:after="0" w:line="238"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5"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40" w:firstLine="427"/>
        <w:spacing w:after="0" w:line="238" w:lineRule="auto"/>
        <w:rPr>
          <w:sz w:val="20"/>
          <w:szCs w:val="20"/>
          <w:color w:val="auto"/>
        </w:rPr>
      </w:pPr>
      <w:r>
        <w:rPr>
          <w:rFonts w:ascii="Arial" w:cs="Arial" w:eastAsia="Arial" w:hAnsi="Arial"/>
          <w:sz w:val="16"/>
          <w:szCs w:val="16"/>
          <w:color w:val="auto"/>
        </w:rPr>
        <w:t>As of December 31, 2017 and March 31, 2018, we had cash and cash equivalents of $45.6 million and $221.1 million, respectively. We believe that our existing cash and cash equivalents, will enable us to fund our operating expenses and capital expenditure requirements for at least the next 12 months. We have based this estimate on assumptions that may prove to be wrong, and we could exhaust our available capital resources sooner than we expect. See "—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p>
      <w:pPr>
        <w:ind w:right="240" w:firstLine="433"/>
        <w:spacing w:after="0" w:line="239"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the sale of products in the foreseeable future. If our development efforts for our product candidates are successful and result in regulatory approval, we may generate revenue in the future from product sales.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06"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 We expense research and development costs as incurred. These expenses may include:</w:t>
      </w:r>
    </w:p>
    <w:p>
      <w:pPr>
        <w:spacing w:after="0" w:line="185" w:lineRule="exact"/>
        <w:rPr>
          <w:sz w:val="20"/>
          <w:szCs w:val="20"/>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incurred to conduct the necessary pre-clinical studies and clinical trials required to obtain regulatory approval;</w:t>
      </w:r>
    </w:p>
    <w:p>
      <w:pPr>
        <w:spacing w:after="0" w:line="189" w:lineRule="exact"/>
        <w:rPr>
          <w:rFonts w:ascii="Arial" w:cs="Arial" w:eastAsia="Arial" w:hAnsi="Arial"/>
          <w:sz w:val="16"/>
          <w:szCs w:val="16"/>
          <w:color w:val="auto"/>
        </w:rPr>
      </w:pPr>
    </w:p>
    <w:p>
      <w:pPr>
        <w:ind w:left="960" w:right="38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incurred under agreements with CROs, that are primarily engaged in the oversight and conduct of our clinical trials and CMOs, that are primarily engaged to provide pre-clinical and clinical drug substance and product for our research and development programs;</w:t>
      </w:r>
    </w:p>
    <w:p>
      <w:pPr>
        <w:spacing w:after="0" w:line="173"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costs related to acquiring and manufacturing pre-clinical studies and clinical trial materials, including manufacturing validation batches, as well as investigative sites and consultants that conduct our clinical trials, pre-clinical studies and other scientific development services;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payments made in cash or equity securities under third-party licensing, acquisition and option agreements;</w:t>
      </w:r>
    </w:p>
    <w:p>
      <w:pPr>
        <w:spacing w:after="0" w:line="189" w:lineRule="exact"/>
        <w:rPr>
          <w:rFonts w:ascii="Arial" w:cs="Arial" w:eastAsia="Arial" w:hAnsi="Arial"/>
          <w:sz w:val="16"/>
          <w:szCs w:val="16"/>
          <w:color w:val="auto"/>
        </w:rPr>
      </w:pPr>
    </w:p>
    <w:p>
      <w:pPr>
        <w:ind w:left="960" w:right="18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employee-related expenses, including salaries and benefits, travel and share-based compensation expense for employees engaged in research and development functions;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related to compliance with regulatory requirements;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allocated facilities-related costs, depreciation and other expenses, which include rent and utilities.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8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research laboratories in connection with our pre-clinical development, process development, manufacturing and clinical development activities. Our direct research and development expenses by program also include fees incurred under license, acquisition and option agreements. We do not allocate employee costs or facility expenses,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our research and development expenses incurred by program:</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9"/>
              </w:rPr>
              <w:t>Three Months</w:t>
            </w:r>
          </w:p>
        </w:tc>
      </w:tr>
      <w:tr>
        <w:trPr>
          <w:trHeight w:val="181"/>
        </w:trPr>
        <w:tc>
          <w:tcPr>
            <w:tcW w:w="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jc w:val="right"/>
              <w:ind w:right="242"/>
              <w:spacing w:after="0" w:line="181" w:lineRule="exact"/>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5"/>
          </w:tcPr>
          <w:p>
            <w:pPr>
              <w:jc w:val="center"/>
              <w:ind w:right="140"/>
              <w:spacing w:after="0" w:line="181" w:lineRule="exact"/>
              <w:rPr>
                <w:sz w:val="20"/>
                <w:szCs w:val="20"/>
                <w:color w:val="auto"/>
              </w:rPr>
            </w:pPr>
            <w:r>
              <w:rPr>
                <w:rFonts w:ascii="Arial" w:cs="Arial" w:eastAsia="Arial" w:hAnsi="Arial"/>
                <w:sz w:val="16"/>
                <w:szCs w:val="16"/>
                <w:b w:val="1"/>
                <w:bCs w:val="1"/>
                <w:color w:val="auto"/>
                <w:w w:val="98"/>
              </w:rPr>
              <w:t>Ended</w:t>
            </w:r>
          </w:p>
        </w:tc>
      </w:tr>
      <w:tr>
        <w:trPr>
          <w:trHeight w:val="202"/>
        </w:trPr>
        <w:tc>
          <w:tcPr>
            <w:tcW w:w="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62"/>
              <w:spacing w:after="0"/>
              <w:rPr>
                <w:sz w:val="20"/>
                <w:szCs w:val="20"/>
                <w:color w:val="auto"/>
              </w:rPr>
            </w:pPr>
            <w:r>
              <w:rPr>
                <w:rFonts w:ascii="Arial" w:cs="Arial" w:eastAsia="Arial" w:hAnsi="Arial"/>
                <w:sz w:val="16"/>
                <w:szCs w:val="16"/>
                <w:b w:val="1"/>
                <w:bCs w:val="1"/>
                <w:color w:val="auto"/>
              </w:rPr>
              <w:t>(in</w:t>
            </w:r>
          </w:p>
        </w:tc>
        <w:tc>
          <w:tcPr>
            <w:tcW w:w="8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w w:val="71"/>
              </w:rPr>
              <w:t>thousands)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Rilonacept</w:t>
            </w:r>
            <w:r>
              <w:rPr>
                <w:rFonts w:ascii="Arial" w:cs="Arial" w:eastAsia="Arial" w:hAnsi="Arial"/>
                <w:sz w:val="25"/>
                <w:szCs w:val="25"/>
                <w:color w:val="auto"/>
                <w:vertAlign w:val="superscript"/>
              </w:rPr>
              <w:t>(1)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40" w:type="dxa"/>
            <w:vAlign w:val="bottom"/>
            <w:shd w:val="clear" w:color="auto" w:fill="CCEEFF"/>
          </w:tcPr>
          <w:p>
            <w:pPr>
              <w:spacing w:after="0"/>
              <w:rPr>
                <w:sz w:val="18"/>
                <w:szCs w:val="18"/>
                <w:color w:val="auto"/>
              </w:rPr>
            </w:pPr>
          </w:p>
        </w:tc>
      </w:tr>
      <w:tr>
        <w:trPr>
          <w:trHeight w:val="217"/>
        </w:trPr>
        <w:tc>
          <w:tcPr>
            <w:tcW w:w="4560" w:type="dxa"/>
            <w:vAlign w:val="bottom"/>
            <w:gridSpan w:val="2"/>
          </w:tcPr>
          <w:p>
            <w:pPr>
              <w:spacing w:after="0" w:line="217" w:lineRule="exact"/>
              <w:rPr>
                <w:sz w:val="20"/>
                <w:szCs w:val="20"/>
                <w:color w:val="auto"/>
              </w:rPr>
            </w:pPr>
            <w:r>
              <w:rPr>
                <w:rFonts w:ascii="Arial" w:cs="Arial" w:eastAsia="Arial" w:hAnsi="Arial"/>
                <w:sz w:val="15"/>
                <w:szCs w:val="15"/>
                <w:color w:val="auto"/>
              </w:rPr>
              <w:t>Mavrilimumab</w:t>
            </w:r>
            <w:r>
              <w:rPr>
                <w:rFonts w:ascii="Arial" w:cs="Arial" w:eastAsia="Arial" w:hAnsi="Arial"/>
                <w:sz w:val="25"/>
                <w:szCs w:val="25"/>
                <w:color w:val="auto"/>
                <w:vertAlign w:val="superscript"/>
              </w:rPr>
              <w:t>(2)</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8"/>
                <w:szCs w:val="18"/>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KPL-716</w:t>
            </w:r>
            <w:r>
              <w:rPr>
                <w:rFonts w:ascii="Arial" w:cs="Arial" w:eastAsia="Arial" w:hAnsi="Arial"/>
                <w:sz w:val="25"/>
                <w:szCs w:val="25"/>
                <w:color w:val="auto"/>
                <w:vertAlign w:val="superscript"/>
              </w:rPr>
              <w:t>(3)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w:t>
            </w:r>
          </w:p>
        </w:tc>
        <w:tc>
          <w:tcPr>
            <w:tcW w:w="140" w:type="dxa"/>
            <w:vAlign w:val="bottom"/>
            <w:shd w:val="clear" w:color="auto" w:fill="CCEEFF"/>
          </w:tcPr>
          <w:p>
            <w:pPr>
              <w:spacing w:after="0"/>
              <w:rPr>
                <w:sz w:val="18"/>
                <w:szCs w:val="18"/>
                <w:color w:val="auto"/>
              </w:rPr>
            </w:pPr>
          </w:p>
        </w:tc>
      </w:tr>
      <w:tr>
        <w:trPr>
          <w:trHeight w:val="217"/>
        </w:trPr>
        <w:tc>
          <w:tcPr>
            <w:tcW w:w="4560" w:type="dxa"/>
            <w:vAlign w:val="bottom"/>
            <w:gridSpan w:val="2"/>
          </w:tcPr>
          <w:p>
            <w:pPr>
              <w:spacing w:after="0" w:line="217" w:lineRule="exact"/>
              <w:rPr>
                <w:sz w:val="20"/>
                <w:szCs w:val="20"/>
                <w:color w:val="auto"/>
              </w:rPr>
            </w:pPr>
            <w:r>
              <w:rPr>
                <w:rFonts w:ascii="Arial" w:cs="Arial" w:eastAsia="Arial" w:hAnsi="Arial"/>
                <w:sz w:val="15"/>
                <w:szCs w:val="15"/>
                <w:color w:val="auto"/>
              </w:rPr>
              <w:t>KPL-045</w:t>
            </w:r>
            <w:r>
              <w:rPr>
                <w:rFonts w:ascii="Arial" w:cs="Arial" w:eastAsia="Arial" w:hAnsi="Arial"/>
                <w:sz w:val="25"/>
                <w:szCs w:val="25"/>
                <w:color w:val="auto"/>
                <w:vertAlign w:val="superscript"/>
              </w:rPr>
              <w:t>(4)</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8"/>
                <w:szCs w:val="18"/>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KPL-404</w:t>
            </w:r>
            <w:r>
              <w:rPr>
                <w:rFonts w:ascii="Arial" w:cs="Arial" w:eastAsia="Arial" w:hAnsi="Arial"/>
                <w:sz w:val="25"/>
                <w:szCs w:val="25"/>
                <w:color w:val="auto"/>
                <w:vertAlign w:val="superscript"/>
              </w:rPr>
              <w:t>(5)</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40" w:type="dxa"/>
            <w:vAlign w:val="bottom"/>
            <w:shd w:val="clear" w:color="auto" w:fill="CCEEFF"/>
          </w:tcPr>
          <w:p>
            <w:pPr>
              <w:spacing w:after="0"/>
              <w:rPr>
                <w:sz w:val="18"/>
                <w:szCs w:val="18"/>
                <w:color w:val="auto"/>
              </w:rPr>
            </w:pPr>
          </w:p>
        </w:tc>
      </w:tr>
      <w:tr>
        <w:trPr>
          <w:trHeight w:val="181"/>
        </w:trPr>
        <w:tc>
          <w:tcPr>
            <w:tcW w:w="4560" w:type="dxa"/>
            <w:vAlign w:val="bottom"/>
            <w:gridSpan w:val="2"/>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2,569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5,689</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944</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3,103</w:t>
            </w:r>
          </w:p>
        </w:tc>
        <w:tc>
          <w:tcPr>
            <w:tcW w:w="140" w:type="dxa"/>
            <w:vAlign w:val="bottom"/>
          </w:tcPr>
          <w:p>
            <w:pPr>
              <w:spacing w:after="0"/>
              <w:rPr>
                <w:sz w:val="15"/>
                <w:szCs w:val="15"/>
                <w:color w:val="auto"/>
              </w:rPr>
            </w:pPr>
          </w:p>
        </w:tc>
      </w:tr>
      <w:tr>
        <w:trPr>
          <w:trHeight w:val="173"/>
        </w:trPr>
        <w:tc>
          <w:tcPr>
            <w:tcW w:w="4560" w:type="dxa"/>
            <w:vAlign w:val="bottom"/>
            <w:gridSpan w:val="2"/>
            <w:shd w:val="clear" w:color="auto" w:fill="CCEEFF"/>
          </w:tcPr>
          <w:p>
            <w:pPr>
              <w:ind w:left="160"/>
              <w:spacing w:after="0" w:line="173" w:lineRule="exact"/>
              <w:rPr>
                <w:sz w:val="20"/>
                <w:szCs w:val="20"/>
                <w:color w:val="auto"/>
              </w:rPr>
            </w:pPr>
            <w:r>
              <w:rPr>
                <w:rFonts w:ascii="Arial" w:cs="Arial" w:eastAsia="Arial" w:hAnsi="Arial"/>
                <w:sz w:val="16"/>
                <w:szCs w:val="16"/>
                <w:color w:val="auto"/>
              </w:rPr>
              <w:t>Total research and development expenses</w:t>
            </w:r>
          </w:p>
        </w:tc>
        <w:tc>
          <w:tcPr>
            <w:tcW w:w="128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17,439</w:t>
            </w:r>
          </w:p>
        </w:tc>
        <w:tc>
          <w:tcPr>
            <w:tcW w:w="3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56,357</w:t>
            </w:r>
          </w:p>
        </w:tc>
        <w:tc>
          <w:tcPr>
            <w:tcW w:w="3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3,145</w:t>
            </w:r>
          </w:p>
        </w:tc>
        <w:tc>
          <w:tcPr>
            <w:tcW w:w="3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33" w:lineRule="exact"/>
        <w:rPr>
          <w:sz w:val="20"/>
          <w:szCs w:val="20"/>
          <w:color w:val="auto"/>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$5.0 million related to an upfront payment under our license agreement with Regeneron.</w:t>
      </w:r>
    </w:p>
    <w:p>
      <w:pPr>
        <w:spacing w:after="0" w:line="135" w:lineRule="exact"/>
        <w:rPr>
          <w:rFonts w:ascii="Arial" w:cs="Arial" w:eastAsia="Arial" w:hAnsi="Arial"/>
          <w:sz w:val="19"/>
          <w:szCs w:val="19"/>
          <w:color w:val="auto"/>
          <w:vertAlign w:val="superscript"/>
        </w:rPr>
      </w:pPr>
    </w:p>
    <w:p>
      <w:pPr>
        <w:ind w:left="1620" w:right="540" w:hanging="480"/>
        <w:spacing w:after="0" w:line="19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consists of expense of $18.0 million related to an upfront payment and an accrued milestone under our license agreement with MedImmune.</w:t>
      </w:r>
    </w:p>
    <w:p>
      <w:pPr>
        <w:spacing w:after="0" w:line="135" w:lineRule="exact"/>
        <w:rPr>
          <w:rFonts w:ascii="Arial" w:cs="Arial" w:eastAsia="Arial" w:hAnsi="Arial"/>
          <w:sz w:val="19"/>
          <w:szCs w:val="19"/>
          <w:color w:val="auto"/>
          <w:vertAlign w:val="superscript"/>
        </w:rPr>
      </w:pPr>
    </w:p>
    <w:p>
      <w:pPr>
        <w:ind w:left="1620" w:right="32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2016 includes expense of $11.5 million related to an upfront payment and $0.5 million related to a technology transfer payment under our asset purchase agreement with Biogen. The amount for the year ended December 31, 2017 includes expense of $4.0 million related to a milestone payment under our asset purchase agreement with Biogen associated with the achievement of a specified clinical milestone event.</w:t>
      </w:r>
    </w:p>
    <w:p>
      <w:pPr>
        <w:spacing w:after="0" w:line="136" w:lineRule="exact"/>
        <w:rPr>
          <w:rFonts w:ascii="Arial" w:cs="Arial" w:eastAsia="Arial" w:hAnsi="Arial"/>
          <w:sz w:val="19"/>
          <w:szCs w:val="19"/>
          <w:color w:val="auto"/>
          <w:vertAlign w:val="superscript"/>
        </w:rPr>
      </w:pPr>
    </w:p>
    <w:p>
      <w:pPr>
        <w:ind w:left="1620" w:right="24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$1.5 million related to an upfront payment under our license agreement with Novo Nordisk. The amount for the three months ended March 31, 2018 includes expense of $0.2 million related to a technology transfer payment under our license agreement with Novo Nordisk.</w:t>
      </w:r>
    </w:p>
    <w:p>
      <w:pPr>
        <w:spacing w:after="0" w:line="136" w:lineRule="exact"/>
        <w:rPr>
          <w:rFonts w:ascii="Arial" w:cs="Arial" w:eastAsia="Arial" w:hAnsi="Arial"/>
          <w:sz w:val="19"/>
          <w:szCs w:val="19"/>
          <w:color w:val="auto"/>
          <w:vertAlign w:val="superscript"/>
        </w:rPr>
      </w:pPr>
    </w:p>
    <w:p>
      <w:pPr>
        <w:ind w:left="1620" w:hanging="480"/>
        <w:spacing w:after="0" w:line="19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$0.5 million related to upfront payments for the initial option period under our stock purchase option agreement with Primatope.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complete our ongoing and planned clinical trials for rilonacept, mavrilimumab and KPL-716, as well as conduct other pre-clinical and clinical development including regulatory filings for our other product candidates and our discovery research efforts and increase personnel costs, including costs associated with share-based compensation. We also expect to incur additional expenses related to milestone and royalty payments payable to third parties with whom we have entered into license, acquisition and option agreements to acquire the rights to our product candidates.</w:t>
      </w:r>
    </w:p>
    <w:p>
      <w:pPr>
        <w:spacing w:after="0" w:line="188" w:lineRule="exact"/>
        <w:rPr>
          <w:sz w:val="20"/>
          <w:szCs w:val="20"/>
          <w:color w:val="auto"/>
        </w:rPr>
      </w:pPr>
    </w:p>
    <w:p>
      <w:pPr>
        <w:ind w:right="180" w:firstLine="433"/>
        <w:spacing w:after="0" w:line="238" w:lineRule="auto"/>
        <w:rPr>
          <w:sz w:val="20"/>
          <w:szCs w:val="20"/>
          <w:color w:val="auto"/>
        </w:rPr>
      </w:pPr>
      <w:r>
        <w:rPr>
          <w:rFonts w:ascii="Arial" w:cs="Arial" w:eastAsia="Arial" w:hAnsi="Arial"/>
          <w:sz w:val="16"/>
          <w:szCs w:val="16"/>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an appropriate safety and efficacy profile with IND-enabling and clinical studies;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successful patient enrollment in and the initiation and completion of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 including the FDA;</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extent of any required post-marketing approval commitments to applicable regulatory authorities;</w:t>
      </w:r>
    </w:p>
    <w:p>
      <w:pPr>
        <w:spacing w:after="0" w:line="177"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clinical and commercial manufacturing capabilities or making arrangements with third-party manufacturers in order to ensure that we or our third-party manufacturers are able to make product successfully;</w:t>
      </w:r>
    </w:p>
    <w:p>
      <w:pPr>
        <w:spacing w:after="0" w:line="173"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development and timely delivery of clinical-grade and commercial-grade drug formulations that can be used in our clinical trials and for commercial launch;</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obtaining, maintaining, defending and enforcing patent claims and other intellectual property rights;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significant and changing government regulation;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launching commercial sales of our product candidates, if and when approved, whether alone or in collaboration with others;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the product candidates following approval if any of our product candidates are approved.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340" w:firstLine="436"/>
        <w:spacing w:after="0" w:line="239" w:lineRule="auto"/>
        <w:rPr>
          <w:sz w:val="20"/>
          <w:szCs w:val="20"/>
          <w:color w:val="auto"/>
        </w:rPr>
      </w:pPr>
      <w:r>
        <w:rPr>
          <w:rFonts w:ascii="Arial" w:cs="Arial" w:eastAsia="Arial" w:hAnsi="Arial"/>
          <w:sz w:val="16"/>
          <w:szCs w:val="16"/>
          <w:color w:val="auto"/>
        </w:rPr>
        <w:t>General and administrative expenses consist primarily of salaries and benefits, travel and share-based compensation expense for personnel in executive, business development, finance, human resources, legal and support personnel functions. General and administrative expenses also include insurance and professional fees for legal, patent, consulting, accounting and audit services.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being a public company.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consists of income recognized from investments in money market funds and U.S. Treasury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8" w:lineRule="exact"/>
        <w:rPr>
          <w:sz w:val="20"/>
          <w:szCs w:val="20"/>
          <w:color w:val="auto"/>
        </w:rPr>
      </w:pPr>
    </w:p>
    <w:p>
      <w:pPr>
        <w:ind w:right="160" w:firstLine="427"/>
        <w:spacing w:after="0" w:line="237" w:lineRule="auto"/>
        <w:rPr>
          <w:sz w:val="20"/>
          <w:szCs w:val="20"/>
          <w:color w:val="auto"/>
        </w:rPr>
      </w:pPr>
      <w:r>
        <w:rPr>
          <w:rFonts w:ascii="Arial" w:cs="Arial" w:eastAsia="Arial" w:hAnsi="Arial"/>
          <w:sz w:val="16"/>
          <w:szCs w:val="16"/>
          <w:color w:val="auto"/>
        </w:rPr>
        <w:t>As a company incorporated in Bermuda, we are principally subject to taxation in Bermuda. Under the current laws of Bermuda, tax on a company's income is assessed at a zero percent tax rate. As a result, we have not recorded any income tax benefits from our losses incurred in Bermuda during each reporting period, and no net operating loss carryforwards will be available to us for those losses. Our provision for income taxes relates to taxable income generated by our wholly owned U.S. subsidiary, Kiniksa Pharmaceuticals Corp., under a cost-plus arrangement with our parent company, Kiniksa Pharmaceuticals, Ltd. Kiniksa Pharmaceuticals Corp. is subject to federal and state income taxes in the United States.</w:t>
      </w:r>
    </w:p>
    <w:p>
      <w:pPr>
        <w:spacing w:after="0" w:line="189" w:lineRule="exact"/>
        <w:rPr>
          <w:sz w:val="20"/>
          <w:szCs w:val="20"/>
          <w:color w:val="auto"/>
        </w:rPr>
      </w:pPr>
    </w:p>
    <w:p>
      <w:pPr>
        <w:ind w:right="600" w:firstLine="427"/>
        <w:spacing w:after="0" w:line="241" w:lineRule="auto"/>
        <w:rPr>
          <w:sz w:val="20"/>
          <w:szCs w:val="20"/>
          <w:color w:val="auto"/>
        </w:rPr>
      </w:pPr>
      <w:r>
        <w:rPr>
          <w:rFonts w:ascii="Arial" w:cs="Arial" w:eastAsia="Arial" w:hAnsi="Arial"/>
          <w:sz w:val="16"/>
          <w:szCs w:val="16"/>
          <w:color w:val="auto"/>
        </w:rPr>
        <w:t>As of December 31, 2017, we had state research and development tax credit carryforwards of approximately $0.1 million available to reduce future tax liabilities, which begin to expire in 2031 through 2032.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2017 and 2018</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2017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Ended 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Change</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tcPr>
          <w:p>
            <w:pPr>
              <w:spacing w:after="0"/>
              <w:rPr>
                <w:sz w:val="15"/>
                <w:szCs w:val="15"/>
                <w:color w:val="auto"/>
              </w:rPr>
            </w:pP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12,630</w:t>
            </w:r>
          </w:p>
        </w:tc>
        <w:tc>
          <w:tcPr>
            <w:tcW w:w="100" w:type="dxa"/>
            <w:vAlign w:val="bottom"/>
          </w:tcPr>
          <w:p>
            <w:pPr>
              <w:spacing w:after="0"/>
              <w:rPr>
                <w:sz w:val="15"/>
                <w:szCs w:val="15"/>
                <w:color w:val="auto"/>
              </w:rPr>
            </w:pPr>
          </w:p>
        </w:tc>
        <w:tc>
          <w:tcPr>
            <w:tcW w:w="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9,485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26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1,807</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16,340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11,292</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(16,340)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(11,292)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Interest income</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provision for income taxes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(16,035)</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(11,061)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Benefit (provision) for income taxes</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w:t>
            </w:r>
          </w:p>
        </w:tc>
        <w:tc>
          <w:tcPr>
            <w:tcW w:w="282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(15,982)</w:t>
            </w:r>
          </w:p>
        </w:tc>
        <w:tc>
          <w:tcPr>
            <w:tcW w:w="24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(11,041)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20" w:type="dxa"/>
            <w:vAlign w:val="bottom"/>
            <w:vMerge w:val="restart"/>
          </w:tcPr>
          <w:p>
            <w:pPr>
              <w:jc w:val="right"/>
              <w:ind w:right="1462"/>
              <w:spacing w:after="0"/>
              <w:rPr>
                <w:sz w:val="20"/>
                <w:szCs w:val="20"/>
                <w:color w:val="auto"/>
              </w:rPr>
            </w:pPr>
            <w:r>
              <w:rPr>
                <w:rFonts w:ascii="Arial" w:cs="Arial" w:eastAsia="Arial" w:hAnsi="Arial"/>
                <w:sz w:val="16"/>
                <w:szCs w:val="16"/>
                <w:color w:val="auto"/>
              </w:rPr>
              <w:t>97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3580" w:type="dxa"/>
            <w:vAlign w:val="bottom"/>
            <w:tcBorders>
              <w:bottom w:val="single" w:sz="8" w:color="808080"/>
            </w:tcBorders>
          </w:tcPr>
          <w:p>
            <w:pPr>
              <w:spacing w:after="0"/>
              <w:rPr>
                <w:sz w:val="16"/>
                <w:szCs w:val="16"/>
                <w:color w:val="auto"/>
              </w:rPr>
            </w:pPr>
          </w:p>
        </w:tc>
        <w:tc>
          <w:tcPr>
            <w:tcW w:w="26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8"/>
              </w:rPr>
              <w:t>Three Months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rPr>
              <w:t>Ended March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6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7"/>
                <w:szCs w:val="17"/>
                <w:color w:val="auto"/>
              </w:rPr>
            </w:pPr>
          </w:p>
        </w:tc>
      </w:tr>
      <w:tr>
        <w:trPr>
          <w:trHeight w:val="193"/>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6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Rilonacept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1,223</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1,223</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Mavrilimumab</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KPL-716</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2,201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7,215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5,014</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KPL-045</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KPL-404</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374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374</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320"/>
              <w:spacing w:after="0" w:line="181" w:lineRule="exact"/>
              <w:rPr>
                <w:sz w:val="20"/>
                <w:szCs w:val="20"/>
                <w:color w:val="auto"/>
              </w:rPr>
            </w:pPr>
            <w:r>
              <w:rPr>
                <w:rFonts w:ascii="Arial" w:cs="Arial" w:eastAsia="Arial" w:hAnsi="Arial"/>
                <w:sz w:val="16"/>
                <w:szCs w:val="16"/>
                <w:color w:val="auto"/>
              </w:rPr>
              <w:t>Personnel related (including share-based compensation)</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738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2,457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1,719</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646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440</w:t>
            </w:r>
          </w:p>
        </w:tc>
        <w:tc>
          <w:tcPr>
            <w:tcW w:w="140" w:type="dxa"/>
            <w:vAlign w:val="bottom"/>
            <w:shd w:val="clear" w:color="auto" w:fill="CCEEFF"/>
          </w:tcPr>
          <w:p>
            <w:pPr>
              <w:spacing w:after="0"/>
              <w:rPr>
                <w:sz w:val="15"/>
                <w:szCs w:val="15"/>
                <w:color w:val="auto"/>
              </w:rPr>
            </w:pPr>
          </w:p>
        </w:tc>
      </w:tr>
      <w:tr>
        <w:trPr>
          <w:trHeight w:val="173"/>
        </w:trPr>
        <w:tc>
          <w:tcPr>
            <w:tcW w:w="6500" w:type="dxa"/>
            <w:vAlign w:val="bottom"/>
          </w:tcPr>
          <w:p>
            <w:pPr>
              <w:ind w:left="480"/>
              <w:spacing w:after="0" w:line="173" w:lineRule="exact"/>
              <w:rPr>
                <w:sz w:val="20"/>
                <w:szCs w:val="20"/>
                <w:color w:val="auto"/>
              </w:rPr>
            </w:pPr>
            <w:r>
              <w:rPr>
                <w:rFonts w:ascii="Arial" w:cs="Arial" w:eastAsia="Arial" w:hAnsi="Arial"/>
                <w:sz w:val="16"/>
                <w:szCs w:val="16"/>
                <w:color w:val="auto"/>
              </w:rPr>
              <w:t>Total research and development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3,145</w:t>
            </w:r>
          </w:p>
        </w:tc>
        <w:tc>
          <w:tcPr>
            <w:tcW w:w="2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12,630</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9,485</w:t>
            </w:r>
          </w:p>
        </w:tc>
        <w:tc>
          <w:tcPr>
            <w:tcW w:w="14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Research and development expenses were $12.6 million for the three months ended March 31, 2018, compared to $3.1 million for the three months ended March 31, 2017. The increase of $9.5 million was primarily due to an increase in external fees related to our development programs, of which there were five in 2018 and one in 2017, as well as an increase of $2.2 million in unallocated research and development expenses.</w:t>
      </w:r>
    </w:p>
    <w:p>
      <w:pPr>
        <w:spacing w:after="0" w:line="186" w:lineRule="exact"/>
        <w:rPr>
          <w:sz w:val="20"/>
          <w:szCs w:val="20"/>
          <w:color w:val="auto"/>
        </w:rPr>
      </w:pPr>
    </w:p>
    <w:p>
      <w:pPr>
        <w:ind w:right="260" w:firstLine="433"/>
        <w:spacing w:after="0" w:line="239" w:lineRule="auto"/>
        <w:rPr>
          <w:sz w:val="20"/>
          <w:szCs w:val="20"/>
          <w:color w:val="auto"/>
        </w:rPr>
      </w:pPr>
      <w:r>
        <w:rPr>
          <w:rFonts w:ascii="Arial" w:cs="Arial" w:eastAsia="Arial" w:hAnsi="Arial"/>
          <w:sz w:val="16"/>
          <w:szCs w:val="16"/>
          <w:color w:val="auto"/>
        </w:rPr>
        <w:t>The direct costs of $1.2 million for our rilonacept program during the three months ended March 31, 2018 were due to expenses related to clinical research and development with our open-label Phase 2 proof-of-concept clinical trial. We had no direct costs for our rilonacept program during the three months ended March 31, 2017.</w:t>
      </w:r>
    </w:p>
    <w:p>
      <w:pPr>
        <w:spacing w:after="0" w:line="186" w:lineRule="exact"/>
        <w:rPr>
          <w:sz w:val="20"/>
          <w:szCs w:val="20"/>
          <w:color w:val="auto"/>
        </w:rPr>
      </w:pPr>
    </w:p>
    <w:p>
      <w:pPr>
        <w:ind w:right="480" w:firstLine="433"/>
        <w:spacing w:after="0" w:line="273" w:lineRule="auto"/>
        <w:rPr>
          <w:sz w:val="20"/>
          <w:szCs w:val="20"/>
          <w:color w:val="auto"/>
        </w:rPr>
      </w:pPr>
      <w:r>
        <w:rPr>
          <w:rFonts w:ascii="Arial" w:cs="Arial" w:eastAsia="Arial" w:hAnsi="Arial"/>
          <w:sz w:val="15"/>
          <w:szCs w:val="15"/>
          <w:color w:val="auto"/>
        </w:rPr>
        <w:t>The direct costs of $0.3 million for our mavrilimumab program during the three months ended March 31, 2018 were due to expenses related primarily to preparation for our planned Phase 2 clinical trial. We had no direct costs for our mavrilimumab program during the three months ended March 31, 2017.</w:t>
      </w:r>
    </w:p>
    <w:p>
      <w:pPr>
        <w:spacing w:after="0" w:line="162" w:lineRule="exact"/>
        <w:rPr>
          <w:sz w:val="20"/>
          <w:szCs w:val="20"/>
          <w:color w:val="auto"/>
        </w:rPr>
      </w:pPr>
    </w:p>
    <w:p>
      <w:pPr>
        <w:ind w:right="120" w:firstLine="433"/>
        <w:spacing w:after="0" w:line="238" w:lineRule="auto"/>
        <w:rPr>
          <w:sz w:val="20"/>
          <w:szCs w:val="20"/>
          <w:color w:val="auto"/>
        </w:rPr>
      </w:pPr>
      <w:r>
        <w:rPr>
          <w:rFonts w:ascii="Arial" w:cs="Arial" w:eastAsia="Arial" w:hAnsi="Arial"/>
          <w:sz w:val="16"/>
          <w:szCs w:val="16"/>
          <w:color w:val="auto"/>
        </w:rPr>
        <w:t>The direct costs of our KPL-716 program were $7.2 million during the three months ended March 31, 2018, compared to $2.2 million during the three months ended March 31, 2017. The increase in $5.0 million in direct costs for our KPL-716 program during the three months ended March 31, 2018 was primarily due to increased expenses related to our Phase 1a/1b clinical trial and our LOTUS-PN observational study including manufacturing and development costs related to clinical drug supply, partially offset by a decrease in other research and development studies related to this program.</w:t>
      </w:r>
    </w:p>
    <w:p>
      <w:pPr>
        <w:spacing w:after="0" w:line="187" w:lineRule="exact"/>
        <w:rPr>
          <w:sz w:val="20"/>
          <w:szCs w:val="20"/>
          <w:color w:val="auto"/>
        </w:rPr>
      </w:pPr>
    </w:p>
    <w:p>
      <w:pPr>
        <w:ind w:right="120" w:firstLine="433"/>
        <w:spacing w:after="0" w:line="239" w:lineRule="auto"/>
        <w:rPr>
          <w:sz w:val="20"/>
          <w:szCs w:val="20"/>
          <w:color w:val="auto"/>
        </w:rPr>
      </w:pPr>
      <w:r>
        <w:rPr>
          <w:rFonts w:ascii="Arial" w:cs="Arial" w:eastAsia="Arial" w:hAnsi="Arial"/>
          <w:sz w:val="16"/>
          <w:szCs w:val="16"/>
          <w:color w:val="auto"/>
        </w:rPr>
        <w:t>The direct costs of $0.4 million for our KPL-045 program during the three months ended March 31, 2018 were due to $0.2 million of direct costs related to clinical research and development as well as a $0.2 million payment related to technology transfer under our agreement with Novo Nordisk. We had no direct costs for our KPL-045 program during the three months ended March 31, 2017.</w:t>
      </w:r>
    </w:p>
    <w:p>
      <w:pPr>
        <w:spacing w:after="0" w:line="186"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 direct costs of $0.4 million for our KPL-404 program during the three months ended March 31, 2018 were due to expenses related to clinical research and development, including manufacturing development. We had no direct costs for our KPL-404 program during the three months ended March 31, 2017.</w:t>
      </w:r>
    </w:p>
    <w:p>
      <w:pPr>
        <w:spacing w:after="0" w:line="185" w:lineRule="exact"/>
        <w:rPr>
          <w:sz w:val="20"/>
          <w:szCs w:val="20"/>
          <w:color w:val="auto"/>
        </w:rPr>
      </w:pPr>
    </w:p>
    <w:p>
      <w:pPr>
        <w:ind w:right="40" w:firstLine="436"/>
        <w:spacing w:after="0" w:line="241" w:lineRule="auto"/>
        <w:rPr>
          <w:sz w:val="20"/>
          <w:szCs w:val="20"/>
          <w:color w:val="auto"/>
        </w:rPr>
      </w:pPr>
      <w:r>
        <w:rPr>
          <w:rFonts w:ascii="Arial" w:cs="Arial" w:eastAsia="Arial" w:hAnsi="Arial"/>
          <w:sz w:val="16"/>
          <w:szCs w:val="16"/>
          <w:color w:val="auto"/>
        </w:rPr>
        <w:t>Unallocated research and development expenses were $3.1 million for the three months ended March 31, 2018 compared to $0.9 million for the three months ended March 31, 2017. The increase of $2.2 million in unallocated research and development expenses was due to an increase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of $1.7 million in personnel-related costs, including share-based compensation, and an increase of $0.4 million in other costs. The increase in personnel-related costs was primarily due to the hiring of additional personnel in our research and development functions, particularly those responsible for coordinating with CMOs on development and manufacturing of drug supply and coordinating with CROs on the conduct and oversight of our current and planned clinical trials as well as research studies and development programs for our product candidates. Personnel-related costs for the three months ended March 31, 2018 and 2017 included share-based compensation of $0.2 million and $29,700, respectively. The increase in other costs was primarily due to a $0.2 million increase in professional fees, a $0.1 million increase in travel expenses and a $0.1 million increase in certain allocated facilities-related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General and administrative expenses were $3.7 million for the three months ended March 31, 2018 compared to $1.9 million for the three months ended March 31, 2017. The increase of $1.8 million was due to increases of $0.7 million in personnel-related costs and $1.1 million in professional fees. The increase in personnel-related costs was due to the hiring of additional personnel in our general and administrative functions, primarily in our corporate, finance and human resources departments, as we continued to expand our operations to support the organization. Personnel-related costs for the three months ended March 31, 2018 and 2017 included share-based compensation of $0.4 million and $0.1 million, respectively. Professional fees increased due to legal costs incurred in connection with maintaining and registering worldwide patents and costs associated with our ongoing business operations, as well as higher accounting, recruiting and market research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206" w:lineRule="exact"/>
        <w:rPr>
          <w:sz w:val="20"/>
          <w:szCs w:val="20"/>
          <w:color w:val="auto"/>
        </w:rPr>
      </w:pPr>
    </w:p>
    <w:p>
      <w:pPr>
        <w:ind w:right="480" w:firstLine="436"/>
        <w:spacing w:after="0" w:line="241" w:lineRule="auto"/>
        <w:rPr>
          <w:sz w:val="20"/>
          <w:szCs w:val="20"/>
          <w:color w:val="auto"/>
        </w:rPr>
      </w:pPr>
      <w:r>
        <w:rPr>
          <w:rFonts w:ascii="Arial" w:cs="Arial" w:eastAsia="Arial" w:hAnsi="Arial"/>
          <w:sz w:val="16"/>
          <w:szCs w:val="16"/>
          <w:color w:val="auto"/>
        </w:rPr>
        <w:t>Interest income was $0.3 million for the three months ended March 31, 2018 compared to $0.1 million for the three months ended March 31, 2017. The increase was due to both higher average invested cash balances and higher interest rates on U.S. Treasury securities in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Benefit (Provision) for Income Taxes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recorded an insignificant benefit for income taxes for the three months ended March 31, 2018 and 2017.</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2016 and 2017</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results of operations for the years ended December 31, 2016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8"/>
          </w:tcPr>
          <w:p>
            <w:pPr>
              <w:jc w:val="right"/>
              <w:ind w:right="180"/>
              <w:spacing w:after="0"/>
              <w:rPr>
                <w:sz w:val="20"/>
                <w:szCs w:val="20"/>
                <w:color w:val="auto"/>
              </w:rPr>
            </w:pPr>
            <w:r>
              <w:rPr>
                <w:rFonts w:ascii="Arial" w:cs="Arial" w:eastAsia="Arial" w:hAnsi="Arial"/>
                <w:sz w:val="16"/>
                <w:szCs w:val="16"/>
                <w:b w:val="1"/>
                <w:bCs w:val="1"/>
                <w:color w:val="auto"/>
                <w:w w:val="96"/>
              </w:rPr>
              <w:t>(in thousands)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114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17,439</w:t>
            </w:r>
          </w:p>
        </w:tc>
        <w:tc>
          <w:tcPr>
            <w:tcW w:w="60" w:type="dxa"/>
            <w:vAlign w:val="bottom"/>
          </w:tcPr>
          <w:p>
            <w:pPr>
              <w:spacing w:after="0"/>
              <w:rPr>
                <w:sz w:val="15"/>
                <w:szCs w:val="15"/>
                <w:color w:val="auto"/>
              </w:rPr>
            </w:pPr>
          </w:p>
        </w:tc>
        <w:tc>
          <w:tcPr>
            <w:tcW w:w="18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w w:val="98"/>
              </w:rPr>
              <w:t>56,357</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38,918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3"/>
            <w:shd w:val="clear" w:color="auto" w:fill="CCEEFF"/>
          </w:tcPr>
          <w:p>
            <w:pPr>
              <w:jc w:val="right"/>
              <w:spacing w:after="0" w:line="181" w:lineRule="exact"/>
              <w:rPr>
                <w:sz w:val="20"/>
                <w:szCs w:val="20"/>
                <w:color w:val="auto"/>
              </w:rPr>
            </w:pPr>
            <w:r>
              <w:rPr>
                <w:rFonts w:ascii="Arial" w:cs="Arial" w:eastAsia="Arial" w:hAnsi="Arial"/>
                <w:sz w:val="16"/>
                <w:szCs w:val="16"/>
                <w:color w:val="auto"/>
              </w:rPr>
              <w:t>6,563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9,043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2,480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line="173" w:lineRule="exact"/>
              <w:rPr>
                <w:sz w:val="20"/>
                <w:szCs w:val="20"/>
                <w:color w:val="auto"/>
              </w:rPr>
            </w:pPr>
            <w:r>
              <w:rPr>
                <w:rFonts w:ascii="Arial" w:cs="Arial" w:eastAsia="Arial" w:hAnsi="Arial"/>
                <w:sz w:val="16"/>
                <w:szCs w:val="16"/>
                <w:color w:val="auto"/>
              </w:rPr>
              <w:t>24,002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98"/>
              </w:rPr>
              <w:t>65,400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41,398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(24,002)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(65,400)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(41,398)</w:t>
            </w:r>
          </w:p>
        </w:tc>
        <w:tc>
          <w:tcPr>
            <w:tcW w:w="0" w:type="dxa"/>
            <w:vAlign w:val="bottom"/>
          </w:tcPr>
          <w:p>
            <w:pPr>
              <w:spacing w:after="0"/>
              <w:rPr>
                <w:sz w:val="1"/>
                <w:szCs w:val="1"/>
                <w:color w:val="auto"/>
              </w:rPr>
            </w:pPr>
          </w:p>
        </w:tc>
      </w:tr>
      <w:tr>
        <w:trPr>
          <w:trHeight w:val="181"/>
        </w:trPr>
        <w:tc>
          <w:tcPr>
            <w:tcW w:w="63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provision for income taxes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(23,937)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(64,871)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(40,934)</w:t>
            </w:r>
          </w:p>
        </w:tc>
        <w:tc>
          <w:tcPr>
            <w:tcW w:w="0" w:type="dxa"/>
            <w:vAlign w:val="bottom"/>
          </w:tcPr>
          <w:p>
            <w:pPr>
              <w:spacing w:after="0"/>
              <w:rPr>
                <w:sz w:val="1"/>
                <w:szCs w:val="1"/>
                <w:color w:val="auto"/>
              </w:rPr>
            </w:pPr>
          </w:p>
        </w:tc>
      </w:tr>
      <w:tr>
        <w:trPr>
          <w:trHeight w:val="181"/>
        </w:trPr>
        <w:tc>
          <w:tcPr>
            <w:tcW w:w="63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2"/>
              <w:spacing w:after="0" w:line="173" w:lineRule="exact"/>
              <w:rPr>
                <w:sz w:val="20"/>
                <w:szCs w:val="20"/>
                <w:color w:val="auto"/>
              </w:rPr>
            </w:pPr>
            <w:r>
              <w:rPr>
                <w:rFonts w:ascii="Arial" w:cs="Arial" w:eastAsia="Arial" w:hAnsi="Arial"/>
                <w:sz w:val="16"/>
                <w:szCs w:val="16"/>
                <w:color w:val="auto"/>
                <w:w w:val="89"/>
              </w:rPr>
              <w:t>$</w:t>
            </w: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(23,973)</w:t>
            </w:r>
          </w:p>
        </w:tc>
        <w:tc>
          <w:tcPr>
            <w:tcW w:w="18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w:t>
            </w: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(64,873)</w:t>
            </w:r>
          </w:p>
        </w:tc>
        <w:tc>
          <w:tcPr>
            <w:tcW w:w="1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(40,900)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3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8"/>
          </w:tcPr>
          <w:p>
            <w:pPr>
              <w:jc w:val="right"/>
              <w:ind w:right="300"/>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Rilonacept</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3"/>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9"/>
              </w:rPr>
              <w:t>—</w:t>
            </w:r>
          </w:p>
        </w:tc>
        <w:tc>
          <w:tcPr>
            <w:tcW w:w="2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6,301</w:t>
            </w:r>
          </w:p>
        </w:tc>
        <w:tc>
          <w:tcPr>
            <w:tcW w:w="2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6,301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Mavrilimumab</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18,000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KPL-716</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81" w:lineRule="exact"/>
              <w:rPr>
                <w:sz w:val="20"/>
                <w:szCs w:val="20"/>
                <w:color w:val="auto"/>
              </w:rPr>
            </w:pPr>
            <w:r>
              <w:rPr>
                <w:rFonts w:ascii="Arial" w:cs="Arial" w:eastAsia="Arial" w:hAnsi="Arial"/>
                <w:sz w:val="16"/>
                <w:szCs w:val="16"/>
                <w:color w:val="auto"/>
              </w:rPr>
              <w:t>14,870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24,164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9,294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KPL-045</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1,654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KPL-404</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549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549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320"/>
              <w:spacing w:after="0" w:line="181" w:lineRule="exact"/>
              <w:rPr>
                <w:sz w:val="20"/>
                <w:szCs w:val="20"/>
                <w:color w:val="auto"/>
              </w:rPr>
            </w:pPr>
            <w:r>
              <w:rPr>
                <w:rFonts w:ascii="Arial" w:cs="Arial" w:eastAsia="Arial" w:hAnsi="Arial"/>
                <w:sz w:val="16"/>
                <w:szCs w:val="16"/>
                <w:color w:val="auto"/>
              </w:rPr>
              <w:t>Personnel related (including share-based compensation)</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81" w:lineRule="exact"/>
              <w:rPr>
                <w:sz w:val="20"/>
                <w:szCs w:val="20"/>
                <w:color w:val="auto"/>
              </w:rPr>
            </w:pPr>
            <w:r>
              <w:rPr>
                <w:rFonts w:ascii="Arial" w:cs="Arial" w:eastAsia="Arial" w:hAnsi="Arial"/>
                <w:sz w:val="16"/>
                <w:szCs w:val="16"/>
                <w:color w:val="auto"/>
              </w:rPr>
              <w:t>1,837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4,576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2,739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700" w:type="dxa"/>
            <w:vAlign w:val="bottom"/>
            <w:tcBorders>
              <w:bottom w:val="single" w:sz="8" w:color="auto"/>
            </w:tcBorders>
            <w:gridSpan w:val="4"/>
            <w:shd w:val="clear" w:color="auto" w:fill="CCEEFF"/>
          </w:tcPr>
          <w:p>
            <w:pPr>
              <w:jc w:val="right"/>
              <w:spacing w:after="0" w:line="181" w:lineRule="exact"/>
              <w:rPr>
                <w:sz w:val="20"/>
                <w:szCs w:val="20"/>
                <w:color w:val="auto"/>
              </w:rPr>
            </w:pPr>
            <w:r>
              <w:rPr>
                <w:rFonts w:ascii="Arial" w:cs="Arial" w:eastAsia="Arial" w:hAnsi="Arial"/>
                <w:sz w:val="16"/>
                <w:szCs w:val="16"/>
                <w:color w:val="auto"/>
              </w:rPr>
              <w:t>732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1,113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381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tcPr>
          <w:p>
            <w:pPr>
              <w:ind w:left="480"/>
              <w:spacing w:after="0" w:line="173" w:lineRule="exact"/>
              <w:rPr>
                <w:sz w:val="20"/>
                <w:szCs w:val="20"/>
                <w:color w:val="auto"/>
              </w:rPr>
            </w:pPr>
            <w:r>
              <w:rPr>
                <w:rFonts w:ascii="Arial" w:cs="Arial" w:eastAsia="Arial" w:hAnsi="Arial"/>
                <w:sz w:val="16"/>
                <w:szCs w:val="16"/>
                <w:color w:val="auto"/>
              </w:rPr>
              <w:t>Total research and development expenses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73" w:lineRule="exact"/>
              <w:rPr>
                <w:sz w:val="20"/>
                <w:szCs w:val="20"/>
                <w:color w:val="auto"/>
              </w:rPr>
            </w:pPr>
            <w:r>
              <w:rPr>
                <w:rFonts w:ascii="Arial" w:cs="Arial" w:eastAsia="Arial" w:hAnsi="Arial"/>
                <w:sz w:val="16"/>
                <w:szCs w:val="16"/>
                <w:color w:val="auto"/>
              </w:rPr>
              <w:t>$  17,439</w:t>
            </w:r>
          </w:p>
        </w:tc>
        <w:tc>
          <w:tcPr>
            <w:tcW w:w="26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56,357</w:t>
            </w:r>
          </w:p>
        </w:tc>
        <w:tc>
          <w:tcPr>
            <w:tcW w:w="280" w:type="dxa"/>
            <w:vAlign w:val="bottom"/>
            <w:gridSpan w:val="3"/>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38,918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Research and development expenses were $56.4 million for the year ended December 31, 2017, compared to $17.4 million for the year ended December 31, 2016. The increase of $38.9 million was primarily due to an increase in external fees related to our development programs as well as an increase of $3.1 million in unallocated research and development expenses.</w:t>
      </w:r>
    </w:p>
    <w:p>
      <w:pPr>
        <w:spacing w:after="0" w:line="186" w:lineRule="exact"/>
        <w:rPr>
          <w:sz w:val="20"/>
          <w:szCs w:val="20"/>
          <w:color w:val="auto"/>
        </w:rPr>
      </w:pPr>
    </w:p>
    <w:p>
      <w:pPr>
        <w:ind w:right="60" w:firstLine="433"/>
        <w:spacing w:after="0" w:line="239" w:lineRule="auto"/>
        <w:rPr>
          <w:sz w:val="20"/>
          <w:szCs w:val="20"/>
          <w:color w:val="auto"/>
        </w:rPr>
      </w:pPr>
      <w:r>
        <w:rPr>
          <w:rFonts w:ascii="Arial" w:cs="Arial" w:eastAsia="Arial" w:hAnsi="Arial"/>
          <w:sz w:val="16"/>
          <w:szCs w:val="16"/>
          <w:color w:val="auto"/>
        </w:rPr>
        <w:t>The direct costs of $6.3 million for our rilonacept program during the year ended December 31, 2017 were due to a $5.0 million upfront payment made under our license agreement with Regeneron, as well as $1.3 million of clinical research and development costs associated with the commencement of our open-label Phase 2 proof-of-concept clinical trial. We had no direct costs for our rilonacept program during the year ended December 31, 2016.</w:t>
      </w:r>
    </w:p>
    <w:p>
      <w:pPr>
        <w:spacing w:after="0" w:line="186" w:lineRule="exact"/>
        <w:rPr>
          <w:sz w:val="20"/>
          <w:szCs w:val="20"/>
          <w:color w:val="auto"/>
        </w:rPr>
      </w:pPr>
    </w:p>
    <w:p>
      <w:pPr>
        <w:ind w:right="40" w:firstLine="433"/>
        <w:spacing w:after="0" w:line="241" w:lineRule="auto"/>
        <w:rPr>
          <w:sz w:val="20"/>
          <w:szCs w:val="20"/>
          <w:color w:val="auto"/>
        </w:rPr>
      </w:pPr>
      <w:r>
        <w:rPr>
          <w:rFonts w:ascii="Arial" w:cs="Arial" w:eastAsia="Arial" w:hAnsi="Arial"/>
          <w:sz w:val="16"/>
          <w:szCs w:val="16"/>
          <w:color w:val="auto"/>
        </w:rPr>
        <w:t>The direct costs of $18.0 million for our mavrilimumab program during the year ended December 31, 2017 were due to an $8.0 million upfront payment made under our license agreement with MedImmune as well as an accrued milestone of $10.0 million, as we have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determined the payment related to the milestone to be probable. We had no direct costs for our mavrilimumab program during the year ended December 31, 2016.</w:t>
      </w:r>
    </w:p>
    <w:p>
      <w:pPr>
        <w:spacing w:after="0" w:line="201"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direct costs for our KPL-716 program were $24.2 million during the year ended December 31, 2017, compared to $14.9 million during the year ended December 31, 2016. The increase of $9.3 million in direct costs for our KPL-716 program during the year ended December 31, 2017 was primarily due to expenses related to our Phase 1a/1b clinical trial, including a $4.0 million milestone payment made to Biogen upon the achievement of a specified clinical milestone event, as well as expenses related to our LOTUS-PN observational study, manufacturing development costs for clinical drug supply and other research and development studies. During the year ended December 31, 2016, direct costs for our KPL-716 program included expenses of $11.5 million related to an upfront payment and $0.5 million related to a technology transfer payment, each under our agreement with Biogen.</w:t>
      </w:r>
    </w:p>
    <w:p>
      <w:pPr>
        <w:spacing w:after="0" w:line="188" w:lineRule="exact"/>
        <w:rPr>
          <w:sz w:val="20"/>
          <w:szCs w:val="20"/>
          <w:color w:val="auto"/>
        </w:rPr>
      </w:pPr>
    </w:p>
    <w:p>
      <w:pPr>
        <w:ind w:firstLine="433"/>
        <w:spacing w:after="0" w:line="241" w:lineRule="auto"/>
        <w:rPr>
          <w:sz w:val="20"/>
          <w:szCs w:val="20"/>
          <w:color w:val="auto"/>
        </w:rPr>
      </w:pPr>
      <w:r>
        <w:rPr>
          <w:rFonts w:ascii="Arial" w:cs="Arial" w:eastAsia="Arial" w:hAnsi="Arial"/>
          <w:sz w:val="16"/>
          <w:szCs w:val="16"/>
          <w:color w:val="auto"/>
        </w:rPr>
        <w:t>The direct costs of $1.7 million for our KPL-045 program during the year ended December 31, 2017 were primarily due to a $1.5 million upfront payment made under our license agreement with Novo Nordisk. We had no direct costs for our KPL-045 program during the year ended December 31, 2016.</w:t>
      </w:r>
    </w:p>
    <w:p>
      <w:pPr>
        <w:spacing w:after="0" w:line="185"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direct costs of $0.5 million for our KPL-404 program during the year ended December 31, 2017 were due to $0.5 million of upfront payments made in connection with the initial option period under our stock purchase option agreement with Primatope. We had no direct costs for our KPL-404 program during the year ended December 31, 2016.</w:t>
      </w:r>
    </w:p>
    <w:p>
      <w:pPr>
        <w:spacing w:after="0" w:line="186" w:lineRule="exact"/>
        <w:rPr>
          <w:sz w:val="20"/>
          <w:szCs w:val="20"/>
          <w:color w:val="auto"/>
        </w:rPr>
      </w:pPr>
    </w:p>
    <w:p>
      <w:pPr>
        <w:ind w:right="80" w:firstLine="436"/>
        <w:spacing w:after="0" w:line="254" w:lineRule="auto"/>
        <w:rPr>
          <w:sz w:val="20"/>
          <w:szCs w:val="20"/>
          <w:color w:val="auto"/>
        </w:rPr>
      </w:pPr>
      <w:r>
        <w:rPr>
          <w:rFonts w:ascii="Arial" w:cs="Arial" w:eastAsia="Arial" w:hAnsi="Arial"/>
          <w:sz w:val="15"/>
          <w:szCs w:val="15"/>
          <w:color w:val="auto"/>
        </w:rPr>
        <w:t>Unallocated research and development expenses were $5.7 million for the year ended December 31, 2017, compared to $2.6 million for the year ended December 31, 2016. The increase of $3.1 million in unallocated research and development expenses was due to an increase of $2.7 million in personnel-related costs, including share-based compensation, and an increase of $0.4 million in other costs. The increase in personnel-related costs was primarily due to the hiring of additional personnel in our research and development functions, particularly those responsible for coordinating with CMOs on development and manufacturing of drug supply for our product candidates and coordinating with CROs on the conduct and oversight of our Phase 1a/1b clinical trial and LOTUS-PN observational study for our KPL-716 program and our open-label Phase 2 proof-of-concept clinical trial for our rilonacept program. Personnel-related costs for the years ended December 31, 2017 and 2016 included share-based compensation of $0.3 million and $0.1 million, respectively. The increase in other costs was primarily due to a $0.2 million increase in travel expense and a $0.1 million increase in certain allocated facilities-related costs and information technology expenses.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20" w:firstLine="436"/>
        <w:spacing w:after="0" w:line="256" w:lineRule="auto"/>
        <w:rPr>
          <w:sz w:val="20"/>
          <w:szCs w:val="20"/>
          <w:color w:val="auto"/>
        </w:rPr>
      </w:pPr>
      <w:r>
        <w:rPr>
          <w:rFonts w:ascii="Arial" w:cs="Arial" w:eastAsia="Arial" w:hAnsi="Arial"/>
          <w:sz w:val="15"/>
          <w:szCs w:val="15"/>
          <w:color w:val="auto"/>
        </w:rPr>
        <w:t>General and administrative expenses were $9.0 million for the year ended December 31, 2017, compared to $6.6 million for the year ended December 31, 2016. The increase of $2.5 million was primarily due to increases of $1.4 million in personnel-related costs and $1.1 million in professional fees. The increase in personnel-related costs was due to the hiring of additional personnel in our general and administrative functions, primarily in our legal and finance departments, as we continued to expand our operations to support the organization. Personnel-related costs for the years ended December 31, 2017 and 2016 included share-based compensation of $0.6 million and $0.3 million, respectively. Professional fees increased due to legal costs incurred in connection with maintaining and registering worldwide patents and costs associated with our ongoing business operations, as well higher accounting, consulting and market research expenses.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206"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Interest income was $0.5 million for the year ended December 31, 2017, compared to $0.1 million for the year ended December 31, 2016. The increase was due to both higher average invested cash balances and higher interest rates on U.S. Treasury securities in 2017.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recorded an insignificant provision for income taxes for the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Since our inception, we have not generated any revenue from any sources, including from product sales, and have incurred significant operating losses and negative cash flows from our operations. We have funded our operations to date primarily with proceeds from the sale of preferred shares. Through March 31, 2018, we had received net proceeds of $310.6 million from sales of our preferred shares. As of December 31, 2017 and March 31, 2018, we had cash and cash equivalents of $45.6 million and $221.1 million,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4"/>
        </w:trPr>
        <w:tc>
          <w:tcPr>
            <w:tcW w:w="6760" w:type="dxa"/>
            <w:vAlign w:val="bottom"/>
            <w:gridSpan w:val="2"/>
          </w:tcPr>
          <w:p>
            <w:pPr>
              <w:ind w:left="420"/>
              <w:spacing w:after="0"/>
              <w:rPr>
                <w:sz w:val="20"/>
                <w:szCs w:val="20"/>
                <w:color w:val="auto"/>
              </w:rPr>
            </w:pPr>
            <w:r>
              <w:rPr>
                <w:rFonts w:ascii="Arial" w:cs="Arial" w:eastAsia="Arial" w:hAnsi="Arial"/>
                <w:sz w:val="16"/>
                <w:szCs w:val="16"/>
                <w:color w:val="auto"/>
              </w:rPr>
              <w:t>The following table summarizes our cash flows for each of the periods presented: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7"/>
        </w:trPr>
        <w:tc>
          <w:tcPr>
            <w:tcW w:w="11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jc w:val="right"/>
              <w:ind w:right="382"/>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w:t>
            </w:r>
          </w:p>
        </w:tc>
      </w:tr>
      <w:tr>
        <w:trPr>
          <w:trHeight w:val="202"/>
        </w:trPr>
        <w:tc>
          <w:tcPr>
            <w:tcW w:w="1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6"/>
          </w:tcPr>
          <w:p>
            <w:pPr>
              <w:jc w:val="right"/>
              <w:ind w:right="302"/>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6"/>
          </w:tcPr>
          <w:p>
            <w:pPr>
              <w:ind w:left="60"/>
              <w:spacing w:after="0"/>
              <w:rPr>
                <w:sz w:val="20"/>
                <w:szCs w:val="20"/>
                <w:color w:val="auto"/>
              </w:rPr>
            </w:pPr>
            <w:r>
              <w:rPr>
                <w:rFonts w:ascii="Arial" w:cs="Arial" w:eastAsia="Arial" w:hAnsi="Arial"/>
                <w:sz w:val="16"/>
                <w:szCs w:val="16"/>
                <w:b w:val="1"/>
                <w:bCs w:val="1"/>
                <w:color w:val="auto"/>
              </w:rPr>
              <w:t>Ended March 31,</w:t>
            </w:r>
          </w:p>
        </w:tc>
      </w:tr>
      <w:tr>
        <w:trPr>
          <w:trHeight w:val="197"/>
        </w:trPr>
        <w:tc>
          <w:tcPr>
            <w:tcW w:w="1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82"/>
              <w:spacing w:after="0"/>
              <w:rPr>
                <w:sz w:val="20"/>
                <w:szCs w:val="20"/>
                <w:color w:val="auto"/>
              </w:rPr>
            </w:pPr>
            <w:r>
              <w:rPr>
                <w:rFonts w:ascii="Arial" w:cs="Arial" w:eastAsia="Arial" w:hAnsi="Arial"/>
                <w:sz w:val="16"/>
                <w:szCs w:val="16"/>
                <w:b w:val="1"/>
                <w:bCs w:val="1"/>
                <w:color w:val="auto"/>
              </w:rPr>
              <w:t>(in</w:t>
            </w:r>
          </w:p>
        </w:tc>
        <w:tc>
          <w:tcPr>
            <w:tcW w:w="84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(21,867)</w:t>
            </w: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(50,219)</w:t>
            </w:r>
          </w:p>
        </w:tc>
        <w:tc>
          <w:tcPr>
            <w:tcW w:w="2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(5,679)</w:t>
            </w:r>
          </w:p>
        </w:tc>
        <w:tc>
          <w:tcPr>
            <w:tcW w:w="1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(14,972)</w:t>
            </w:r>
          </w:p>
        </w:tc>
      </w:tr>
      <w:tr>
        <w:trPr>
          <w:trHeight w:val="181"/>
        </w:trPr>
        <w:tc>
          <w:tcPr>
            <w:tcW w:w="676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15"/>
                <w:szCs w:val="15"/>
                <w:color w:val="auto"/>
              </w:rPr>
            </w:pPr>
          </w:p>
        </w:tc>
        <w:tc>
          <w:tcPr>
            <w:tcW w:w="7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(75)</w:t>
            </w:r>
          </w:p>
        </w:tc>
      </w:tr>
      <w:tr>
        <w:trPr>
          <w:trHeight w:val="181"/>
        </w:trPr>
        <w:tc>
          <w:tcPr>
            <w:tcW w:w="1140" w:type="dxa"/>
            <w:vAlign w:val="bottom"/>
          </w:tcPr>
          <w:p>
            <w:pPr>
              <w:spacing w:after="0"/>
              <w:rPr>
                <w:sz w:val="15"/>
                <w:szCs w:val="15"/>
                <w:color w:val="auto"/>
              </w:rPr>
            </w:pPr>
          </w:p>
        </w:tc>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42,509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39,873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39,873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190,810</w:t>
            </w:r>
          </w:p>
        </w:tc>
        <w:tc>
          <w:tcPr>
            <w:tcW w:w="140" w:type="dxa"/>
            <w:vAlign w:val="bottom"/>
            <w:shd w:val="clear" w:color="auto" w:fill="CCEEFF"/>
          </w:tcPr>
          <w:p>
            <w:pPr>
              <w:spacing w:after="0"/>
              <w:rPr>
                <w:sz w:val="15"/>
                <w:szCs w:val="15"/>
                <w:color w:val="auto"/>
              </w:rPr>
            </w:pPr>
          </w:p>
        </w:tc>
      </w:tr>
      <w:tr>
        <w:trPr>
          <w:trHeight w:val="173"/>
        </w:trPr>
        <w:tc>
          <w:tcPr>
            <w:tcW w:w="1140" w:type="dxa"/>
            <w:vAlign w:val="bottom"/>
          </w:tcPr>
          <w:p>
            <w:pPr>
              <w:spacing w:after="0"/>
              <w:rPr>
                <w:sz w:val="15"/>
                <w:szCs w:val="15"/>
                <w:color w:val="auto"/>
              </w:rPr>
            </w:pPr>
          </w:p>
        </w:tc>
        <w:tc>
          <w:tcPr>
            <w:tcW w:w="5620" w:type="dxa"/>
            <w:vAlign w:val="bottom"/>
          </w:tcPr>
          <w:p>
            <w:pPr>
              <w:ind w:left="160"/>
              <w:spacing w:after="0" w:line="173" w:lineRule="exact"/>
              <w:rPr>
                <w:sz w:val="20"/>
                <w:szCs w:val="20"/>
                <w:color w:val="auto"/>
              </w:rPr>
            </w:pPr>
            <w:r>
              <w:rPr>
                <w:rFonts w:ascii="Arial" w:cs="Arial" w:eastAsia="Arial" w:hAnsi="Arial"/>
                <w:sz w:val="16"/>
                <w:szCs w:val="16"/>
                <w:color w:val="auto"/>
              </w:rPr>
              <w:t>Net increase (decrease) in cash and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20,639</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(10,415)</w:t>
            </w:r>
          </w:p>
        </w:tc>
        <w:tc>
          <w:tcPr>
            <w:tcW w:w="20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34,176</w:t>
            </w:r>
          </w:p>
        </w:tc>
        <w:tc>
          <w:tcPr>
            <w:tcW w:w="100" w:type="dxa"/>
            <w:vAlign w:val="bottom"/>
          </w:tcPr>
          <w:p>
            <w:pPr>
              <w:spacing w:after="0"/>
              <w:rPr>
                <w:sz w:val="15"/>
                <w:szCs w:val="15"/>
                <w:color w:val="auto"/>
              </w:rPr>
            </w:pPr>
          </w:p>
        </w:tc>
        <w:tc>
          <w:tcPr>
            <w:tcW w:w="1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175,763</w:t>
            </w:r>
          </w:p>
        </w:tc>
        <w:tc>
          <w:tcPr>
            <w:tcW w:w="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During the three months ended March 31, 2018, operating activities used $15.0 million of cash, primarily resulting from our net loss of $16.0 million, partially offset by non-cash charges of $0.5 million and net cash provided by changes in our operating assets and liabilities of $0.5 million. Net cash provided by changes in our operating assets and liabilities for the three months ended March 31, 2018 consisted of a $1.1 million increase in accounts payable and a $0.2 million decrease in prepaid expenses and other current assets, both partially offset by a $0.8 million decrease in accrued expenses. The increase in accounts payable was due to our increased level of operating activities and the timing of vendor invoicing and payments. The decrease in prepaid expenses and other current assets was primarily due to a decrease in prepaid expenses to CMOs related to manufacturing development related to our product candidates. The decrease in accrued expenses was primarily due to a decrease in accrued employee compensation expense related to the payment of the 2017 annual bonus during the three months ended March 31, 2018.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2017, operating activities used $5.7 million of cash, primarily resulting from our net loss of $4.9 million and</w:t>
      </w:r>
    </w:p>
    <w:p>
      <w:pPr>
        <w:ind w:right="140"/>
        <w:spacing w:after="0" w:line="241" w:lineRule="auto"/>
        <w:rPr>
          <w:sz w:val="20"/>
          <w:szCs w:val="20"/>
          <w:color w:val="auto"/>
        </w:rPr>
      </w:pPr>
      <w:r>
        <w:rPr>
          <w:rFonts w:ascii="Arial" w:cs="Arial" w:eastAsia="Arial" w:hAnsi="Arial"/>
          <w:sz w:val="16"/>
          <w:szCs w:val="16"/>
          <w:color w:val="auto"/>
        </w:rPr>
        <w:t>$0.8 million in net cash used in changes in our operating assets and liabilities, partially offset by non-cash charges of $0.1 million. Net cash used in changes in our operating assets and liabilities for the three months ended March 31, 2017</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consisted of a $1.1 million decrease in accrued expenses, partially offset by a $0.4 million increase in accounts payable. The decrease in accrued expenses was primarily due to the payment of the 2016 annual bonus during the three months ended March 31, 2017. The increase in accounts payable was due to our increased level of operating activities and the timing of vendor invoicing and payments.</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During the year ended December 31, 2017, operating activities used $50.2 million of cash, primarily resulting from our net loss of $64.9 million, partially offset by non-cash charges of $0.7 million and net cash provided by changes in our operating assets and liabilities of $13.9 million. Net cash provided by changes in our operating assets and liabilities for the year ended December 31, 2017 consisted of a $14.1 million increase in accrued expenses and a $1.0 million increase in accounts payable, both partially offset by a $1.2 million increase in prepaid expenses and other current assets. The increase in accrued expenses was primarily due to an accrued milestone of $10.0 million related to our mavrilimumab program, increased clinical trial and manufacturing activities as well as increased accrued legal and professional fees and accrued employee compensation-related expenses. The increase in accounts payable was due to our increased level of operating activities and the timing of vendor invoicing and payments. The increase in prepaid expenses and other current assets was primarily due to prepaid clinical trial and manufacturing costs associated with our research and development programs.</w:t>
      </w:r>
    </w:p>
    <w:p>
      <w:pPr>
        <w:spacing w:after="0" w:line="187" w:lineRule="exact"/>
        <w:rPr>
          <w:sz w:val="20"/>
          <w:szCs w:val="20"/>
          <w:color w:val="auto"/>
        </w:rPr>
      </w:pPr>
    </w:p>
    <w:p>
      <w:pPr>
        <w:ind w:right="60" w:firstLine="436"/>
        <w:spacing w:after="0" w:line="251" w:lineRule="auto"/>
        <w:rPr>
          <w:sz w:val="20"/>
          <w:szCs w:val="20"/>
          <w:color w:val="auto"/>
        </w:rPr>
      </w:pPr>
      <w:r>
        <w:rPr>
          <w:rFonts w:ascii="Arial" w:cs="Arial" w:eastAsia="Arial" w:hAnsi="Arial"/>
          <w:sz w:val="15"/>
          <w:szCs w:val="15"/>
          <w:color w:val="auto"/>
        </w:rPr>
        <w:t>During the year ended December 31, 2016, operating activities used $21.9 million of cash, primarily resulting from our net loss of $24.0 million, partially offset by non-cash charges of $0.3 million and net cash provided by changes in our operating assets and liabilities of $1.8 million. Net cash provided by changes in our operating assets and liabilities for the year ended December 31, 2016 consisted primarily of a $1.9 million increase in accrued expenses, partially offset by a</w:t>
      </w:r>
    </w:p>
    <w:p>
      <w:pPr>
        <w:spacing w:after="0" w:line="2" w:lineRule="exact"/>
        <w:rPr>
          <w:sz w:val="20"/>
          <w:szCs w:val="20"/>
          <w:color w:val="auto"/>
        </w:rPr>
      </w:pPr>
    </w:p>
    <w:p>
      <w:pPr>
        <w:jc w:val="both"/>
        <w:ind w:right="200"/>
        <w:spacing w:after="0" w:line="239" w:lineRule="auto"/>
        <w:rPr>
          <w:sz w:val="20"/>
          <w:szCs w:val="20"/>
          <w:color w:val="auto"/>
        </w:rPr>
      </w:pPr>
      <w:r>
        <w:rPr>
          <w:rFonts w:ascii="Arial" w:cs="Arial" w:eastAsia="Arial" w:hAnsi="Arial"/>
          <w:sz w:val="16"/>
          <w:szCs w:val="16"/>
          <w:color w:val="auto"/>
        </w:rPr>
        <w:t>$0.2 million increase in prepaid expenses and other current assets. The increase in accrued expenses was primarily due to increased research and development costs, an accrued expense related to technology transfer, regulatory consulting costs and accrued compensation expense. The increase in prepaid expenses and other current assets was primarily due to prepaid manufacturing costs and recording an income tax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2018, investing activities used $0.1 million of cash, consisting of purchases of property and equipment.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2017, cash used in investing activities was not significant.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2017, investing activities used $0.1 million of cash, consisting of purchases of property and equipment.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During the year ended December 31, 2016, we used an insignificant amount of cash in investing activities, consisting of purchases of property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06" w:lineRule="exact"/>
        <w:rPr>
          <w:sz w:val="20"/>
          <w:szCs w:val="20"/>
          <w:color w:val="auto"/>
        </w:rPr>
      </w:pPr>
    </w:p>
    <w:p>
      <w:pPr>
        <w:ind w:right="300" w:firstLine="436"/>
        <w:spacing w:after="0" w:line="241" w:lineRule="auto"/>
        <w:rPr>
          <w:sz w:val="20"/>
          <w:szCs w:val="20"/>
          <w:color w:val="auto"/>
        </w:rPr>
      </w:pPr>
      <w:r>
        <w:rPr>
          <w:rFonts w:ascii="Arial" w:cs="Arial" w:eastAsia="Arial" w:hAnsi="Arial"/>
          <w:sz w:val="16"/>
          <w:szCs w:val="16"/>
          <w:color w:val="auto"/>
        </w:rPr>
        <w:t>During the three months ended March 31, 2018, net cash provided by financing activities was $190.8 million, primarily consisting of net proceeds from our issuance and sale of Series C preferred shares.</w:t>
      </w:r>
    </w:p>
    <w:p>
      <w:pPr>
        <w:spacing w:after="0" w:line="185"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three months ended March 31, 2017, net cash provided by financing activities was $39.9 million, consisting of net proceeds from our issuance and sale of Series B preferred shares.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year ended December 31, 2017, net cash provided by financing activities was $39.9 million, consisting of net proceeds from our issuance and sale of Series B preferred shares.</w:t>
      </w:r>
    </w:p>
    <w:p>
      <w:pPr>
        <w:spacing w:after="0" w:line="185"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year ended December 31, 2016, net cash provided by financing activities was $42.5 million, consisting of net proceeds from our issuance and sale of Series A preferred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208"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the pre-clinical activities and clinical trials of our product candidates. In addition, upon the closing of this offering, we expect to incur additional costs associated with operating as a public company. Our expenses will also increase as we:</w:t>
      </w:r>
    </w:p>
    <w:p>
      <w:pPr>
        <w:spacing w:after="0" w:line="186" w:lineRule="exact"/>
        <w:rPr>
          <w:sz w:val="20"/>
          <w:szCs w:val="20"/>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continue to conduct our current clinical trials and initiate our planned clinical trials of rilonacept, mavrilimumab and KPL-716;</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advance pre-clinical development of our early-stage programs, KPL-045 and KPL-404;</w:t>
      </w:r>
    </w:p>
    <w:p>
      <w:pPr>
        <w:spacing w:after="0" w:line="177" w:lineRule="exact"/>
        <w:rPr>
          <w:rFonts w:ascii="Arial" w:cs="Arial" w:eastAsia="Arial" w:hAnsi="Arial"/>
          <w:sz w:val="16"/>
          <w:szCs w:val="16"/>
          <w:color w:val="auto"/>
        </w:rPr>
      </w:pPr>
    </w:p>
    <w:p>
      <w:pPr>
        <w:ind w:left="960" w:right="40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manufacture, or have manufactured on our behalf, our pre-clinical and clinical drug material and develop processes for late state and commercial manufacturing;</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seek regulatory approvals for any product candidates that successfully complete clinical trials;</w:t>
      </w:r>
    </w:p>
    <w:p>
      <w:pPr>
        <w:spacing w:after="0" w:line="189"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establish a sales, marketing, medical affairs and distribution infrastructure to commercialize any product candidates for which we may obtain marketing approval and intend to commercialize on our own;</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hire additional clinical, quality control and scientific personnel;</w:t>
      </w:r>
    </w:p>
    <w:p>
      <w:pPr>
        <w:spacing w:after="0" w:line="177" w:lineRule="exact"/>
        <w:rPr>
          <w:rFonts w:ascii="Arial" w:cs="Arial" w:eastAsia="Arial" w:hAnsi="Arial"/>
          <w:sz w:val="16"/>
          <w:szCs w:val="16"/>
          <w:color w:val="auto"/>
        </w:rPr>
      </w:pPr>
    </w:p>
    <w:p>
      <w:pPr>
        <w:ind w:left="960" w:right="66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acquire or in-license other product candidates and technologies.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for at least the next 12 months. We have based these estimates on assumptions that may prove to be wrong, and we could utilize our available capital resources sooner than we expect. We anticipate that we may require additional capital if we choose to pursue in-licenses or acquisitions of other product candidates. If we receive regulatory approval for rilonacept or our other product candidates, we expect to incur significant commercialization expenses related to product manufacturing, sales, marketing and distribution, depending on where we choose to commercialize.</w:t>
      </w:r>
    </w:p>
    <w:p>
      <w:pPr>
        <w:spacing w:after="0" w:line="189"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86" w:lineRule="exact"/>
        <w:rPr>
          <w:sz w:val="20"/>
          <w:szCs w:val="20"/>
          <w:color w:val="auto"/>
        </w:rPr>
      </w:pPr>
    </w:p>
    <w:p>
      <w:pPr>
        <w:ind w:left="960" w:hanging="481"/>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177" w:lineRule="exact"/>
        <w:rPr>
          <w:rFonts w:ascii="Arial" w:cs="Arial" w:eastAsia="Arial" w:hAnsi="Arial"/>
          <w:sz w:val="16"/>
          <w:szCs w:val="16"/>
          <w:color w:val="auto"/>
        </w:rPr>
      </w:pPr>
    </w:p>
    <w:p>
      <w:pPr>
        <w:ind w:left="5580" w:right="340" w:hanging="5101"/>
        <w:spacing w:after="0" w:line="492" w:lineRule="auto"/>
        <w:tabs>
          <w:tab w:leader="none" w:pos="9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timing and ability to manufacture our product candidates to supply our clinical and pre-clinical development efforts and our clinical trials;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20" w:hanging="481"/>
        <w:spacing w:after="0" w:line="241"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of our product candidates for which we receive marketing approval;</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manufacturing commercial-grade product and necessary inventory to support commercial launch;</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ability to receive additional non-dilutive funding, including grants from organizations and foundations;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89"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governmental funding, collaborations, strategic partnerships or marketing, distribution or licensing arrangements with third parties.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fixed payment obligations.</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If we raise funds through governmental funding,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reduce or eliminate our product development or future commercialization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10"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 following table summarizes our contractual obligations as of December 31, 2017 and the effects that such obligations are expected to have on our liquidity and cash flows in future periods: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7"/>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4"/>
        </w:trPr>
        <w:tc>
          <w:tcPr>
            <w:tcW w:w="9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Less than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line="164" w:lineRule="exact"/>
              <w:rPr>
                <w:sz w:val="20"/>
                <w:szCs w:val="20"/>
                <w:color w:val="auto"/>
              </w:rPr>
            </w:pPr>
            <w:r>
              <w:rPr>
                <w:rFonts w:ascii="Arial" w:cs="Arial" w:eastAsia="Arial" w:hAnsi="Arial"/>
                <w:sz w:val="16"/>
                <w:szCs w:val="16"/>
                <w:b w:val="1"/>
                <w:bCs w:val="1"/>
                <w:color w:val="auto"/>
              </w:rPr>
              <w:t>1 to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line="164" w:lineRule="exact"/>
              <w:rPr>
                <w:sz w:val="20"/>
                <w:szCs w:val="20"/>
                <w:color w:val="auto"/>
              </w:rPr>
            </w:pPr>
            <w:r>
              <w:rPr>
                <w:rFonts w:ascii="Arial" w:cs="Arial" w:eastAsia="Arial" w:hAnsi="Arial"/>
                <w:sz w:val="16"/>
                <w:szCs w:val="16"/>
                <w:b w:val="1"/>
                <w:bCs w:val="1"/>
                <w:color w:val="auto"/>
              </w:rPr>
              <w:t>4 to 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60"/>
              <w:spacing w:after="0" w:line="164" w:lineRule="exact"/>
              <w:rPr>
                <w:sz w:val="20"/>
                <w:szCs w:val="20"/>
                <w:color w:val="auto"/>
              </w:rPr>
            </w:pPr>
            <w:r>
              <w:rPr>
                <w:rFonts w:ascii="Arial" w:cs="Arial" w:eastAsia="Arial" w:hAnsi="Arial"/>
                <w:sz w:val="16"/>
                <w:szCs w:val="16"/>
                <w:b w:val="1"/>
                <w:bCs w:val="1"/>
                <w:color w:val="auto"/>
                <w:w w:val="99"/>
              </w:rPr>
              <w:t>More than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2"/>
        </w:trPr>
        <w:tc>
          <w:tcPr>
            <w:tcW w:w="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 Year</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5 Years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3"/>
        </w:trPr>
        <w:tc>
          <w:tcPr>
            <w:tcW w:w="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442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Accrued milestone</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8"/>
                <w:szCs w:val="18"/>
                <w:color w:val="auto"/>
              </w:rPr>
            </w:pPr>
          </w:p>
        </w:tc>
      </w:tr>
      <w:tr>
        <w:trPr>
          <w:trHeight w:val="217"/>
        </w:trPr>
        <w:tc>
          <w:tcPr>
            <w:tcW w:w="4420" w:type="dxa"/>
            <w:vAlign w:val="bottom"/>
            <w:gridSpan w:val="2"/>
          </w:tcPr>
          <w:p>
            <w:pPr>
              <w:spacing w:after="0" w:line="217" w:lineRule="exact"/>
              <w:rPr>
                <w:sz w:val="20"/>
                <w:szCs w:val="20"/>
                <w:color w:val="auto"/>
              </w:rPr>
            </w:pPr>
            <w:r>
              <w:rPr>
                <w:rFonts w:ascii="Arial" w:cs="Arial" w:eastAsia="Arial" w:hAnsi="Arial"/>
                <w:sz w:val="15"/>
                <w:szCs w:val="15"/>
                <w:color w:val="auto"/>
              </w:rPr>
              <w:t>Manufacturing commitments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7,766</w:t>
            </w:r>
          </w:p>
        </w:tc>
        <w:tc>
          <w:tcPr>
            <w:tcW w:w="140" w:type="dxa"/>
            <w:vAlign w:val="bottom"/>
          </w:tcPr>
          <w:p>
            <w:pPr>
              <w:spacing w:after="0"/>
              <w:rPr>
                <w:sz w:val="18"/>
                <w:szCs w:val="18"/>
                <w:color w:val="auto"/>
              </w:rPr>
            </w:pPr>
          </w:p>
        </w:tc>
      </w:tr>
      <w:tr>
        <w:trPr>
          <w:trHeight w:val="217"/>
        </w:trPr>
        <w:tc>
          <w:tcPr>
            <w:tcW w:w="442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Operating lease commitments</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8"/>
                <w:szCs w:val="18"/>
                <w:color w:val="auto"/>
              </w:rPr>
            </w:pPr>
          </w:p>
        </w:tc>
      </w:tr>
      <w:tr>
        <w:trPr>
          <w:trHeight w:val="173"/>
        </w:trPr>
        <w:tc>
          <w:tcPr>
            <w:tcW w:w="4420" w:type="dxa"/>
            <w:vAlign w:val="bottom"/>
            <w:gridSpan w:val="2"/>
          </w:tcPr>
          <w:p>
            <w:pPr>
              <w:ind w:left="160"/>
              <w:spacing w:after="0" w:line="173"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18,036</w:t>
            </w:r>
          </w:p>
        </w:tc>
        <w:tc>
          <w:tcPr>
            <w:tcW w:w="2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ind w:left="360"/>
              <w:spacing w:after="0" w:line="173" w:lineRule="exact"/>
              <w:rPr>
                <w:sz w:val="20"/>
                <w:szCs w:val="20"/>
                <w:color w:val="auto"/>
              </w:rPr>
            </w:pPr>
            <w:r>
              <w:rPr>
                <w:rFonts w:ascii="Arial" w:cs="Arial" w:eastAsia="Arial" w:hAnsi="Arial"/>
                <w:sz w:val="16"/>
                <w:szCs w:val="16"/>
                <w:color w:val="auto"/>
                <w:w w:val="87"/>
              </w:rPr>
              <w:t>—</w:t>
            </w:r>
          </w:p>
        </w:tc>
        <w:tc>
          <w:tcPr>
            <w:tcW w:w="280" w:type="dxa"/>
            <w:vAlign w:val="bottom"/>
            <w:gridSpan w:val="2"/>
          </w:tcPr>
          <w:p>
            <w:pPr>
              <w:ind w:left="14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ind w:left="360"/>
              <w:spacing w:after="0" w:line="173" w:lineRule="exact"/>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840" w:type="dxa"/>
            <w:vAlign w:val="bottom"/>
          </w:tcPr>
          <w:p>
            <w:pPr>
              <w:ind w:left="680"/>
              <w:spacing w:after="0" w:line="173" w:lineRule="exact"/>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rPr>
              <w:t>18,036</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97" w:lineRule="exact"/>
        <w:rPr>
          <w:sz w:val="20"/>
          <w:szCs w:val="20"/>
          <w:color w:val="auto"/>
        </w:rPr>
      </w:pPr>
    </w:p>
    <w:p>
      <w:pPr>
        <w:ind w:left="1620" w:right="220" w:hanging="480"/>
        <w:spacing w:after="0" w:line="19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a payment of $10.0 million we are obligated to make under our license agreement with MedImmune upon the earlier to occur of (a) the first achievement of a specified regulatory milestone for a product licensed under the agreement and (b) December 31, 2018.</w:t>
      </w:r>
    </w:p>
    <w:p>
      <w:pPr>
        <w:spacing w:after="0" w:line="135" w:lineRule="exact"/>
        <w:rPr>
          <w:rFonts w:ascii="Arial" w:cs="Arial" w:eastAsia="Arial" w:hAnsi="Arial"/>
          <w:sz w:val="19"/>
          <w:szCs w:val="19"/>
          <w:color w:val="auto"/>
          <w:vertAlign w:val="superscript"/>
        </w:rPr>
      </w:pPr>
    </w:p>
    <w:p>
      <w:pPr>
        <w:ind w:left="1620" w:hanging="480"/>
        <w:spacing w:after="0" w:line="21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Amounts in the table reflect commitments for costs associated with our external CMOs, which we have engaged to manufacture pre-clinical and clinical trial materials. Manufacturing commitments include agreements that are enforceable and legally binding on us and that specify all significant terms, including fixed or minimum quantities to be purchased; fixed, minimum or variable price provisions; and the approximate timing of the transaction. For obligations with cancellation provisions, the amounts included in the preceding table are limited to the non-cancelable portion of the agreement terms or the minimum cancellation fee. As of March 31, 2018, non-cancelable commitments associated with our external CMOs were $5.9 million.</w:t>
      </w:r>
    </w:p>
    <w:p>
      <w:pPr>
        <w:spacing w:after="0" w:line="137" w:lineRule="exact"/>
        <w:rPr>
          <w:rFonts w:ascii="Arial" w:cs="Arial" w:eastAsia="Arial" w:hAnsi="Arial"/>
          <w:sz w:val="19"/>
          <w:szCs w:val="19"/>
          <w:color w:val="auto"/>
          <w:vertAlign w:val="superscript"/>
        </w:rPr>
      </w:pPr>
    </w:p>
    <w:p>
      <w:pPr>
        <w:ind w:left="1620" w:right="40" w:hanging="480"/>
        <w:spacing w:after="0" w:line="215" w:lineRule="auto"/>
        <w:tabs>
          <w:tab w:leader="none" w:pos="162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Represents minimum payments due for the lease of office space by our wholly owned U.S. subsidiary, Kiniksa Pharmaceuticals Corp., or Kiniksa US, in Wellesley Hills, Massachusetts under an operating lease agreement that expires in August 2018. In March 2018, Kiniksa US entered into a lease agreement for our new U.S. headquarters, which expires in July 2021. Upon execution of the lease, we made a prepayment of $0.1 million for August 2018 rent. The lease requires monthly rental payments of</w:t>
      </w:r>
    </w:p>
    <w:p>
      <w:pPr>
        <w:spacing w:after="0" w:line="1" w:lineRule="exact"/>
        <w:rPr>
          <w:rFonts w:ascii="Arial" w:cs="Arial" w:eastAsia="Arial" w:hAnsi="Arial"/>
          <w:sz w:val="18"/>
          <w:szCs w:val="18"/>
          <w:color w:val="auto"/>
          <w:vertAlign w:val="superscript"/>
        </w:rPr>
      </w:pPr>
    </w:p>
    <w:p>
      <w:pPr>
        <w:ind w:left="1620" w:right="20"/>
        <w:spacing w:after="0"/>
        <w:rPr>
          <w:rFonts w:ascii="Arial" w:cs="Arial" w:eastAsia="Arial" w:hAnsi="Arial"/>
          <w:sz w:val="18"/>
          <w:szCs w:val="18"/>
          <w:color w:val="auto"/>
          <w:vertAlign w:val="superscript"/>
        </w:rPr>
      </w:pPr>
      <w:r>
        <w:rPr>
          <w:rFonts w:ascii="Arial" w:cs="Arial" w:eastAsia="Arial" w:hAnsi="Arial"/>
          <w:sz w:val="13"/>
          <w:szCs w:val="13"/>
          <w:color w:val="auto"/>
        </w:rPr>
        <w:t>$0.1 million beginning in September 2018. The lease requires future rental payments of $0.3 million during the year ending December 31, 2018, an aggregate of $1.6 million during the years ending December 31, 2019 and 2020 and $0.5 million during the year ending December 31, 2021. Such amounts are not reflected in the table.</w:t>
      </w:r>
    </w:p>
    <w:p>
      <w:pPr>
        <w:spacing w:after="0" w:line="182"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contracts with CMOs, CROs and other third parties for the manufacture of our product candidates and to support clinical trials and pre-clinical research studies and testing are generally cancelable by us upon prior notice. Payments due upon cancellation consisting only of payments for services provided or expenses incurred, including noncancelable obligations of our service providers, up to the date of cancellation are not included in the preceding table as the amount and timing of such payments are not known.</w:t>
      </w:r>
    </w:p>
    <w:p>
      <w:pPr>
        <w:spacing w:after="0" w:line="187" w:lineRule="exact"/>
        <w:rPr>
          <w:sz w:val="20"/>
          <w:szCs w:val="20"/>
          <w:color w:val="auto"/>
        </w:rPr>
      </w:pPr>
    </w:p>
    <w:p>
      <w:pPr>
        <w:jc w:val="both"/>
        <w:ind w:right="60" w:firstLine="436"/>
        <w:spacing w:after="0" w:line="237" w:lineRule="auto"/>
        <w:rPr>
          <w:sz w:val="20"/>
          <w:szCs w:val="20"/>
          <w:color w:val="auto"/>
        </w:rPr>
      </w:pPr>
      <w:r>
        <w:rPr>
          <w:rFonts w:ascii="Arial" w:cs="Arial" w:eastAsia="Arial" w:hAnsi="Arial"/>
          <w:sz w:val="16"/>
          <w:szCs w:val="16"/>
          <w:color w:val="auto"/>
        </w:rPr>
        <w:t>Under various agreements with third parties, we have agreed to make milestone payments, pay royalties, annual maintenance fees and to meet due diligence requirements based upon specified milestones. We generally have not included any contingent payment obligations, such as milestones, royalties or due diligence, in the table above as the amount, timing and likelihood of such payments are not known. We have not included any of the annual maintenance fee payments in the above table, as although the amount and timing are known, we cannot currently determine the final termination dates of the agreements and, as a result, we cannot determine the total amounts of such payments we will be required to make under the agreements.</w:t>
      </w:r>
    </w:p>
    <w:p>
      <w:pPr>
        <w:spacing w:after="0" w:line="189"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Under our license agreement with Regeneron, we are obligated to make future regulatory milestone payments of $27.5 million in the aggregate. Thereafter, we have agreed to evenly split profits on our sales of rilonacept with Regeneron after deducting certain commercialization expenses subject to specified limits.</w:t>
      </w:r>
    </w:p>
    <w:p>
      <w:pPr>
        <w:spacing w:after="0" w:line="185"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Under our license agreement with MedImmune, we are obligated to make future clinical, regulatory and initial sales milestone payments of up to $72.5 million in aggregate for the first two indications we develop, including a milestone payment of $10.0 million upon the earlier to occur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 specified regulatory milestone and December 31, 2018, and clinical and regulatory milestone payments of up to $15.0 million in the aggregate for each subsequent indication. The $10.0 million milestone payment was accrued on our consolidated balance sheet as of December 31, 2017 and recognized as research and development expense during the year ended December 31, 2017. Such payment is included in the table above. We are also obligated to make milestone payments to MedImmune of up to $85.0 million upon the achievement of annual net sales thresholds of up to, but excluding, $1.0 billion in annual net sales as well as additional milestone payments aggregating up to $1.1 billion upon the achievement of additional specified annual net sales thresholds starting at $1.0 billion and higher. Commencing on the first commercial sale of licensed products, we are obligated to pay tiered royalties on escalating tiers of annual net sales of licensed products starting in the low double-digit percentages and ending at twenty percent. We must pay such royalties on a product-by-product and country-by-country basis until the latest to occur of the expiration of licensed patents, the expiration of regulatory exclusivity or the tenth anniversary of first commercial sale of such product in such country.</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Under our asset purchase agreement with Biogen, we are obligated to make future milestone payments of up to $325.0 million upon the achievement of specified clinical and regulatory milestones as well as upon the achievement of annual net sales thresholds. We have also agreed to pay certain obligations under third-party contracts retained by Biogen that relate to KPL-716. Additionally, we are obligated to pay tiered royalties on escalating tiers of annual net sales of licensed products starting in the high single-digit percentages and ending below the teens.</w:t>
      </w:r>
    </w:p>
    <w:p>
      <w:pPr>
        <w:spacing w:after="0" w:line="187"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Under our license agreement with Novo Nordisk, we are obligated to make future milestone payments upon the achievement of specified clinical, regulatory, initial sales milestones as well as upon the achievement of annual net sales thresholds, including a payment of $1.0 million upon the earlier to occur of a specified regulatory milestone and January 2020. We are also obligated to pay royalties on annual net sales of products licensed under the agreement. In addition, we are obligated to make a payment upon the completion of technology transfer.</w:t>
      </w:r>
    </w:p>
    <w:p>
      <w:pPr>
        <w:spacing w:after="0" w:line="187" w:lineRule="exact"/>
        <w:rPr>
          <w:sz w:val="20"/>
          <w:szCs w:val="20"/>
          <w:color w:val="auto"/>
        </w:rPr>
      </w:pPr>
    </w:p>
    <w:p>
      <w:pPr>
        <w:ind w:right="100" w:firstLine="436"/>
        <w:spacing w:after="0" w:line="251" w:lineRule="auto"/>
        <w:rPr>
          <w:sz w:val="20"/>
          <w:szCs w:val="20"/>
          <w:color w:val="auto"/>
        </w:rPr>
      </w:pPr>
      <w:r>
        <w:rPr>
          <w:rFonts w:ascii="Arial" w:cs="Arial" w:eastAsia="Arial" w:hAnsi="Arial"/>
          <w:sz w:val="15"/>
          <w:szCs w:val="15"/>
          <w:color w:val="auto"/>
        </w:rPr>
        <w:t>We have an exclusive option to acquire all outstanding capital stock of Primatope, which, subject to extension and the payment of specified extension fees, is exercisable until January 2019. If the option is exercised, we will acquire all of the outstanding equity of Primatope in exchange for upfront consideration of</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$10.0 million as well as potential milestone payments of up to $10.0 million, in each case payable in a combination of cash and issuance of our Class A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10"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8" w:lineRule="exact"/>
        <w:rPr>
          <w:sz w:val="20"/>
          <w:szCs w:val="20"/>
          <w:color w:val="auto"/>
        </w:rPr>
      </w:pPr>
    </w:p>
    <w:p>
      <w:pPr>
        <w:ind w:right="440" w:firstLine="436"/>
        <w:spacing w:after="0" w:line="239" w:lineRule="auto"/>
        <w:rPr>
          <w:sz w:val="20"/>
          <w:szCs w:val="20"/>
          <w:color w:val="auto"/>
        </w:rPr>
      </w:pPr>
      <w:r>
        <w:rPr>
          <w:rFonts w:ascii="Arial" w:cs="Arial" w:eastAsia="Arial" w:hAnsi="Arial"/>
          <w:sz w:val="16"/>
          <w:szCs w:val="16"/>
          <w:color w:val="auto"/>
        </w:rPr>
        <w:t>While our significant accounting policies are described in more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208"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8" w:lineRule="exact"/>
        <w:rPr>
          <w:sz w:val="20"/>
          <w:szCs w:val="20"/>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vendors, including research laboratories, in connection with pre-clinical development activities;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CROs and investigative sites in connection with pre-clinical studies and clinical trials;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CMOs in connection with drug substance and drug product formulation of pre-clinical studies and clinical trial materials.</w:t>
      </w:r>
    </w:p>
    <w:p>
      <w:pPr>
        <w:spacing w:after="0" w:line="190"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We measure options and other share-based awards granted to employees and directors based on the fair value on the date of the grant and recognize the corresponding compensation expense of those awards over the requisite service period, which is generally the vesting period of the respective award. We have only issued options and restricted share awards with service-based vesting conditions and record the expense for these awards using the straight-line method.</w:t>
      </w:r>
    </w:p>
    <w:p>
      <w:pPr>
        <w:spacing w:after="0" w:line="186"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For share-based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Class A common shares and updated assumption inputs in the Black-Scholes option-pricing model.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60" w:firstLine="436"/>
        <w:spacing w:after="0" w:line="239" w:lineRule="auto"/>
        <w:rPr>
          <w:sz w:val="20"/>
          <w:szCs w:val="20"/>
          <w:color w:val="auto"/>
        </w:rPr>
      </w:pPr>
      <w:r>
        <w:rPr>
          <w:rFonts w:ascii="Arial" w:cs="Arial" w:eastAsia="Arial" w:hAnsi="Arial"/>
          <w:sz w:val="16"/>
          <w:szCs w:val="16"/>
          <w:color w:val="auto"/>
        </w:rPr>
        <w:t>We estimate the fair value of each option grant using the Black-Scholes option-pricing model, which uses as inputs the fair value of our Class A common shares and assumptions we make for the volatility of our Class A common shares, the expected term of our options, the risk-free interest rate for a period that approximates the expected term of our options and our expected dividend yield.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the Fair Value of Common Shares</w:t>
      </w:r>
    </w:p>
    <w:p>
      <w:pPr>
        <w:spacing w:after="0" w:line="206" w:lineRule="exact"/>
        <w:rPr>
          <w:sz w:val="20"/>
          <w:szCs w:val="20"/>
          <w:color w:val="auto"/>
        </w:rPr>
      </w:pPr>
    </w:p>
    <w:p>
      <w:pPr>
        <w:ind w:firstLine="427"/>
        <w:spacing w:after="0" w:line="253" w:lineRule="auto"/>
        <w:rPr>
          <w:sz w:val="20"/>
          <w:szCs w:val="20"/>
          <w:color w:val="auto"/>
        </w:rPr>
      </w:pPr>
      <w:r>
        <w:rPr>
          <w:rFonts w:ascii="Arial" w:cs="Arial" w:eastAsia="Arial" w:hAnsi="Arial"/>
          <w:sz w:val="15"/>
          <w:szCs w:val="15"/>
          <w:color w:val="auto"/>
        </w:rPr>
        <w:t xml:space="preserve">As there has been no public market for our Class A common shares to date, the estimated fair value of our common shares has been determined by our board of directors as of the date of each option grant, with input from management, considering third-party valuations of our Class A common shares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Our common share valuations were prepared using the option-pricing method, or OPM, which used a market approach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These third-party valuations were performed at various dates, which resulted in valuations of our common shares of $1.59 per share as of October 15, 2015, $1.86 per share as of September 16, 2016, $3.80 per share as of March 8, 2017 and June 29, 2017, $4.46 per share as of September 4, 2017, $4.68 as of December 14, 2017 and $10.36 as of March 1, 2018.</w:t>
      </w:r>
    </w:p>
    <w:p>
      <w:pPr>
        <w:spacing w:after="0" w:line="182" w:lineRule="exact"/>
        <w:rPr>
          <w:sz w:val="20"/>
          <w:szCs w:val="20"/>
          <w:color w:val="auto"/>
        </w:rPr>
      </w:pPr>
    </w:p>
    <w:p>
      <w:pPr>
        <w:ind w:right="300" w:firstLine="436"/>
        <w:spacing w:after="0" w:line="241" w:lineRule="auto"/>
        <w:rPr>
          <w:sz w:val="20"/>
          <w:szCs w:val="20"/>
          <w:color w:val="auto"/>
        </w:rPr>
      </w:pPr>
      <w:r>
        <w:rPr>
          <w:rFonts w:ascii="Arial" w:cs="Arial" w:eastAsia="Arial" w:hAnsi="Arial"/>
          <w:sz w:val="16"/>
          <w:szCs w:val="16"/>
          <w:color w:val="auto"/>
        </w:rPr>
        <w:t>Our board of directors considered various objective and subjective factors to determine the fair value of our Class A common shares as of each grant date, including:</w:t>
      </w:r>
    </w:p>
    <w:p>
      <w:pPr>
        <w:spacing w:after="0" w:line="185" w:lineRule="exact"/>
        <w:rPr>
          <w:sz w:val="20"/>
          <w:szCs w:val="20"/>
          <w:color w:val="auto"/>
        </w:rPr>
      </w:pPr>
    </w:p>
    <w:p>
      <w:pPr>
        <w:ind w:left="960" w:right="100" w:hanging="481"/>
        <w:spacing w:after="0" w:line="24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prices at which we sold preferred shares and the superior rights and preferences of the preferred shares relative to our Class A common shares at the time of each grant;</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progress and value of our research and development programs, including the status of pre-clinical studies and planned clinical trials for our product candidates;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stage of development and our business strategy;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financial position, including cash on hand, our historical and forecasted performance and operating results;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lack of an active public market for our Class A common shares and our preferred shares;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IPO, or a sale of our company in light of prevailing market conditions;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analysis of IPOs and the market performance of similar companies in the biopharmaceutical industry;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market value of equity interests in similar corporations and other entities engaged in businesses substantially similar to ours;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most recent transactions involving our preferred shares;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current and potential strategic relationships, licenses and acquisitions;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competitive developments.</w:t>
      </w:r>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w:t>
      </w:r>
    </w:p>
    <w:p>
      <w:pPr>
        <w:spacing w:after="0" w:line="18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Following the closing of this offering, the fair value of our Class A common shares will be determined based on the quoted market price of our Class A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 Granted</w:t>
      </w:r>
    </w:p>
    <w:p>
      <w:pPr>
        <w:spacing w:after="0" w:line="206" w:lineRule="exact"/>
        <w:rPr>
          <w:sz w:val="20"/>
          <w:szCs w:val="20"/>
          <w:color w:val="auto"/>
        </w:rPr>
      </w:pPr>
    </w:p>
    <w:p>
      <w:pPr>
        <w:ind w:right="160" w:firstLine="433"/>
        <w:spacing w:after="0" w:line="239" w:lineRule="auto"/>
        <w:rPr>
          <w:sz w:val="20"/>
          <w:szCs w:val="20"/>
          <w:color w:val="auto"/>
        </w:rPr>
      </w:pPr>
      <w:r>
        <w:rPr>
          <w:rFonts w:ascii="Arial" w:cs="Arial" w:eastAsia="Arial" w:hAnsi="Arial"/>
          <w:sz w:val="16"/>
          <w:szCs w:val="16"/>
          <w:color w:val="auto"/>
        </w:rPr>
        <w:t>The following table sets forth by grant date the number of Class A common shares subject to options granted from January 1, 2016 through the date of this prospectus, the per share exercise price of the options, the fair value of common shares per share on each grant date and the per share estimated fair value of the options: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40" w:type="dxa"/>
            <w:vAlign w:val="bottom"/>
          </w:tcPr>
          <w:p>
            <w:pPr>
              <w:jc w:val="center"/>
              <w:ind w:left="2"/>
              <w:spacing w:after="0"/>
              <w:rPr>
                <w:sz w:val="20"/>
                <w:szCs w:val="20"/>
                <w:color w:val="auto"/>
              </w:rPr>
            </w:pPr>
            <w:r>
              <w:rPr>
                <w:rFonts w:ascii="Arial" w:cs="Arial" w:eastAsia="Arial" w:hAnsi="Arial"/>
                <w:sz w:val="16"/>
                <w:szCs w:val="16"/>
                <w:b w:val="1"/>
                <w:bCs w:val="1"/>
                <w:color w:val="auto"/>
                <w:w w:val="99"/>
              </w:rPr>
              <w:t>Number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Per Share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Per Share</w:t>
            </w:r>
          </w:p>
        </w:tc>
      </w:tr>
      <w:tr>
        <w:trPr>
          <w:trHeight w:val="181"/>
        </w:trPr>
        <w:tc>
          <w:tcPr>
            <w:tcW w:w="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6"/>
              </w:rPr>
              <w:t>Shares Subject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per Common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7"/>
              </w:rPr>
              <w:t>Estimated Fair</w:t>
            </w:r>
          </w:p>
        </w:tc>
      </w:tr>
      <w:tr>
        <w:trPr>
          <w:trHeight w:val="181"/>
        </w:trPr>
        <w:tc>
          <w:tcPr>
            <w:tcW w:w="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9"/>
              </w:rPr>
              <w:t>to Options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Price of</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9"/>
              </w:rPr>
              <w:t>Share on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6"/>
              </w:rPr>
              <w:t>Value of</w:t>
            </w:r>
          </w:p>
        </w:tc>
      </w:tr>
      <w:tr>
        <w:trPr>
          <w:trHeight w:val="174"/>
        </w:trPr>
        <w:tc>
          <w:tcPr>
            <w:tcW w:w="37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Grant Date</w:t>
            </w:r>
          </w:p>
        </w:tc>
        <w:tc>
          <w:tcPr>
            <w:tcW w:w="1240" w:type="dxa"/>
            <w:vAlign w:val="bottom"/>
          </w:tcPr>
          <w:p>
            <w:pPr>
              <w:jc w:val="center"/>
              <w:ind w:left="2"/>
              <w:spacing w:after="0" w:line="174" w:lineRule="exact"/>
              <w:rPr>
                <w:sz w:val="20"/>
                <w:szCs w:val="20"/>
                <w:color w:val="auto"/>
              </w:rPr>
            </w:pPr>
            <w:r>
              <w:rPr>
                <w:rFonts w:ascii="Arial" w:cs="Arial" w:eastAsia="Arial" w:hAnsi="Arial"/>
                <w:sz w:val="16"/>
                <w:szCs w:val="16"/>
                <w:b w:val="1"/>
                <w:bCs w:val="1"/>
                <w:color w:val="auto"/>
                <w:w w:val="97"/>
              </w:rPr>
              <w:t>Granted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5"/>
              </w:rPr>
              <w:t>Options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74" w:lineRule="exact"/>
              <w:rPr>
                <w:sz w:val="20"/>
                <w:szCs w:val="20"/>
                <w:color w:val="auto"/>
              </w:rPr>
            </w:pPr>
            <w:r>
              <w:rPr>
                <w:rFonts w:ascii="Arial" w:cs="Arial" w:eastAsia="Arial" w:hAnsi="Arial"/>
                <w:sz w:val="16"/>
                <w:szCs w:val="16"/>
                <w:b w:val="1"/>
                <w:bCs w:val="1"/>
                <w:color w:val="auto"/>
                <w:w w:val="97"/>
              </w:rPr>
              <w:t>Grant Date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74" w:lineRule="exact"/>
              <w:rPr>
                <w:sz w:val="20"/>
                <w:szCs w:val="20"/>
                <w:color w:val="auto"/>
              </w:rPr>
            </w:pPr>
            <w:r>
              <w:rPr>
                <w:rFonts w:ascii="Arial" w:cs="Arial" w:eastAsia="Arial" w:hAnsi="Arial"/>
                <w:sz w:val="16"/>
                <w:szCs w:val="16"/>
                <w:b w:val="1"/>
                <w:bCs w:val="1"/>
                <w:color w:val="auto"/>
                <w:w w:val="99"/>
              </w:rPr>
              <w:t>Options</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March 16, 2016</w:t>
            </w:r>
          </w:p>
        </w:tc>
        <w:tc>
          <w:tcPr>
            <w:tcW w:w="12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27,445</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4"/>
                <w:szCs w:val="14"/>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June 1, 2016</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22,322</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1.59</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1.59</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0.96</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September 14, 2016</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246,420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December 7, 2016</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33,486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1.22</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March 6,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39,341</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June 7, 2017</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42,815</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2.50</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June 29,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1,275,144</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September 14, 2017</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78,685</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4.46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4.46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2.92</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December 14,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110,889</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4.68</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4.68</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3.07</w:t>
            </w:r>
          </w:p>
        </w:tc>
        <w:tc>
          <w:tcPr>
            <w:tcW w:w="140" w:type="dxa"/>
            <w:vAlign w:val="bottom"/>
            <w:shd w:val="clear" w:color="auto" w:fill="CCEEFF"/>
          </w:tcPr>
          <w:p>
            <w:pPr>
              <w:spacing w:after="0"/>
              <w:rPr>
                <w:sz w:val="15"/>
                <w:szCs w:val="15"/>
                <w:color w:val="auto"/>
              </w:rPr>
            </w:pPr>
          </w:p>
        </w:tc>
      </w:tr>
      <w:tr>
        <w:trPr>
          <w:trHeight w:val="191"/>
        </w:trPr>
        <w:tc>
          <w:tcPr>
            <w:tcW w:w="3780" w:type="dxa"/>
            <w:vAlign w:val="bottom"/>
            <w:gridSpan w:val="2"/>
          </w:tcPr>
          <w:p>
            <w:pPr>
              <w:spacing w:after="0"/>
              <w:rPr>
                <w:sz w:val="20"/>
                <w:szCs w:val="20"/>
                <w:color w:val="auto"/>
              </w:rPr>
            </w:pPr>
            <w:r>
              <w:rPr>
                <w:rFonts w:ascii="Arial" w:cs="Arial" w:eastAsia="Arial" w:hAnsi="Arial"/>
                <w:sz w:val="16"/>
                <w:szCs w:val="16"/>
                <w:color w:val="auto"/>
              </w:rPr>
              <w:t>March 1, 2018</w:t>
            </w:r>
          </w:p>
        </w:tc>
        <w:tc>
          <w:tcPr>
            <w:tcW w:w="1240" w:type="dxa"/>
            <w:vAlign w:val="bottom"/>
          </w:tcPr>
          <w:p>
            <w:pPr>
              <w:jc w:val="right"/>
              <w:spacing w:after="0"/>
              <w:rPr>
                <w:sz w:val="20"/>
                <w:szCs w:val="20"/>
                <w:color w:val="auto"/>
              </w:rPr>
            </w:pPr>
            <w:r>
              <w:rPr>
                <w:rFonts w:ascii="Arial" w:cs="Arial" w:eastAsia="Arial" w:hAnsi="Arial"/>
                <w:sz w:val="16"/>
                <w:szCs w:val="16"/>
                <w:color w:val="auto"/>
              </w:rPr>
              <w:t>1,652,321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w:t>
            </w:r>
          </w:p>
        </w:tc>
        <w:tc>
          <w:tcPr>
            <w:tcW w:w="140" w:type="dxa"/>
            <w:vAlign w:val="bottom"/>
          </w:tcPr>
          <w:p>
            <w:pPr>
              <w:spacing w:after="0"/>
              <w:rPr>
                <w:sz w:val="16"/>
                <w:szCs w:val="16"/>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10"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0"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10" w:lineRule="exact"/>
        <w:rPr>
          <w:sz w:val="20"/>
          <w:szCs w:val="20"/>
          <w:color w:val="auto"/>
        </w:rPr>
      </w:pPr>
    </w:p>
    <w:p>
      <w:pPr>
        <w:ind w:right="160" w:firstLine="427"/>
        <w:spacing w:after="0" w:line="241"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to our consolidated financial statements appearing at the end of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08" w:lineRule="exact"/>
        <w:rPr>
          <w:sz w:val="20"/>
          <w:szCs w:val="20"/>
          <w:color w:val="auto"/>
        </w:rPr>
      </w:pPr>
    </w:p>
    <w:p>
      <w:pPr>
        <w:jc w:val="both"/>
        <w:ind w:right="40" w:firstLine="427"/>
        <w:spacing w:after="0" w:line="239" w:lineRule="auto"/>
        <w:rPr>
          <w:sz w:val="20"/>
          <w:szCs w:val="20"/>
          <w:color w:val="auto"/>
        </w:rPr>
      </w:pPr>
      <w:r>
        <w:rPr>
          <w:rFonts w:ascii="Arial" w:cs="Arial" w:eastAsia="Arial" w:hAnsi="Arial"/>
          <w:sz w:val="16"/>
          <w:szCs w:val="16"/>
          <w:color w:val="auto"/>
        </w:rPr>
        <w:t>As of December 31, 2016, December 31, 2017 and March 31, 2018, we had cash equivalents consisting of money market funds and U.S. Treasury securities. Based on the carrying value of the cash equivalents, an immediate change by 100 basis points in the interest rates would not have a material impact on our financial position or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BUSINESS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89"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Our portfolio of product candidates offers multiple development opportunities. By modulating different parts of the innate and adaptive immune system, these product candidates together have the potential to provide a variety of mechanisms to address multiple devastating diseases.</w:t>
      </w:r>
    </w:p>
    <w:p>
      <w:pPr>
        <w:spacing w:after="0" w:line="165" w:lineRule="exact"/>
        <w:rPr>
          <w:sz w:val="20"/>
          <w:szCs w:val="20"/>
          <w:color w:val="auto"/>
        </w:rPr>
      </w:pPr>
    </w:p>
    <w:p>
      <w:pPr>
        <w:ind w:left="960" w:right="20" w:hanging="481"/>
        <w:spacing w:after="0" w:line="239"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Rilonacept</w:t>
      </w:r>
      <w:r>
        <w:rPr>
          <w:rFonts w:ascii="Arial" w:cs="Arial" w:eastAsia="Arial" w:hAnsi="Arial"/>
          <w:sz w:val="16"/>
          <w:szCs w:val="16"/>
          <w:b w:val="1"/>
          <w:bCs w:val="1"/>
          <w:color w:val="auto"/>
        </w:rPr>
        <w:t xml:space="preserve"> </w:t>
      </w:r>
      <w:r>
        <w:rPr>
          <w:rFonts w:ascii="Arial" w:cs="Arial" w:eastAsia="Arial" w:hAnsi="Arial"/>
          <w:sz w:val="16"/>
          <w:szCs w:val="16"/>
          <w:color w:val="auto"/>
        </w:rPr>
        <w:t>(ARCALYST) is a protein cytokine trap for inhibiting interleukin-1a, or IL-1a, and interleukin-1b, or IL-1b. Cytokines are small proteins that</w:t>
      </w:r>
      <w:r>
        <w:rPr>
          <w:rFonts w:ascii="Arial" w:cs="Arial" w:eastAsia="Arial" w:hAnsi="Arial"/>
          <w:sz w:val="16"/>
          <w:szCs w:val="16"/>
          <w:b w:val="1"/>
          <w:bCs w:val="1"/>
          <w:color w:val="auto"/>
        </w:rPr>
        <w:t xml:space="preserve"> </w:t>
      </w:r>
      <w:r>
        <w:rPr>
          <w:rFonts w:ascii="Arial" w:cs="Arial" w:eastAsia="Arial" w:hAnsi="Arial"/>
          <w:sz w:val="16"/>
          <w:szCs w:val="16"/>
          <w:color w:val="auto"/>
        </w:rPr>
        <w:t>play a key role in cell signaling. Rilonacept is approved by the U.S. Food and Drug Administration, or FDA, for the treatment of cryopyrin-associated periodic syndromes, or CAPS, and has been commercially available from Regeneron Pharmaceuticals, Inc., or Regeneron, for this indication since 2008. We are initially developing rilonacept for the treatment of recurrent pericarditis, a debilitating inflammatory cardiovascular disease. We are not aware of any therapy currently approved by the FDA for the treatment of recurrent pericarditis. We are currently conducting an open-label Phase 2 proof-of-concept clinical trial in this disease and expect to report preliminary data in 2018. The trial is divided into five parts to evaluate rilonacept in various subgroups of patients with pericarditis. As of April 23, 2018, a total of four subjects were enrolled in the clinical trial. Three of the four subjects were experiencing symptomatic recurrent pericarditis at the time of enrollment. All three subjects showed a reduction in C-reactive protein measurements, as well as a reduction in scores of an 11-point Numerical Rating Scale instrument for assessing pericardial-associated chest pain, in the first week of treatment. The fourth subject, in a separate patient cohort, was on corticosteroids at the time of enrollment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w:t>
      </w:r>
    </w:p>
    <w:p>
      <w:pPr>
        <w:spacing w:after="0" w:line="175"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Mavrilimumab</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antagonizes the signaling of granulocyte macrophage colony stimulating factor, or GM-CSF. We are</w:t>
      </w:r>
      <w:r>
        <w:rPr>
          <w:rFonts w:ascii="Arial" w:cs="Arial" w:eastAsia="Arial" w:hAnsi="Arial"/>
          <w:sz w:val="16"/>
          <w:szCs w:val="16"/>
          <w:b w:val="1"/>
          <w:bCs w:val="1"/>
          <w:color w:val="auto"/>
        </w:rPr>
        <w:t xml:space="preserve"> </w:t>
      </w:r>
      <w:r>
        <w:rPr>
          <w:rFonts w:ascii="Arial" w:cs="Arial" w:eastAsia="Arial" w:hAnsi="Arial"/>
          <w:sz w:val="16"/>
          <w:szCs w:val="16"/>
          <w:color w:val="auto"/>
        </w:rPr>
        <w:t>focusing our initial development efforts for mavrilimumab on giant cell arteritis, or GCA, an inflammatory disease of the blood vessels with unmet medical need that can lead to blindness if left untreated. MedImmune Limited, or MedImmune, initially developed mavrilimumab for the treatment of rheumatoid arthritis, or RA. MedImmune's Investigational New Drug application, or IND, for the clinical development of mavrilimumab for the treatment of RA was initially put on clinical hold in 2010 before human data had been generated due to certain effects that were observed in non-clinical studies, which coincides with a theoretical risk of developing pulmonary alveolar proteinosis, or PAP, possibly in the setting of GM-CSF inhibition. Since then, in 2014, the FDA acknowledged that clinical studies in refractory RA may be appropriate based on MedImmune's clinical studies in Europe in which it dosed over 550 RA patients with mavrilimumab with no evidence of PAP. MedImmune has since withdrawn the IND for mavrilimumab for the treatment of RA. We intend to develop mavrilimumab for the treatment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5"/>
          <w:szCs w:val="15"/>
          <w:color w:val="auto"/>
        </w:rPr>
        <w:t>of GCA under a new IND in the United States and new Clinical Trial Application, or CTA, in Europe, and plan to initiate a Phase 2 clinical trial in 2018.</w:t>
      </w:r>
    </w:p>
    <w:p>
      <w:pPr>
        <w:spacing w:after="0" w:line="181" w:lineRule="exact"/>
        <w:rPr>
          <w:sz w:val="20"/>
          <w:szCs w:val="20"/>
          <w:color w:val="auto"/>
        </w:rPr>
      </w:pPr>
    </w:p>
    <w:p>
      <w:pPr>
        <w:ind w:left="960" w:right="20" w:hanging="481"/>
        <w:spacing w:after="0" w:line="258" w:lineRule="auto"/>
        <w:tabs>
          <w:tab w:leader="none" w:pos="960" w:val="left"/>
        </w:tabs>
        <w:numPr>
          <w:ilvl w:val="0"/>
          <w:numId w:val="67"/>
        </w:numPr>
        <w:rPr>
          <w:rFonts w:ascii="Arial" w:cs="Arial" w:eastAsia="Arial" w:hAnsi="Arial"/>
          <w:sz w:val="15"/>
          <w:szCs w:val="15"/>
          <w:color w:val="auto"/>
        </w:rPr>
      </w:pPr>
      <w:r>
        <w:rPr>
          <w:rFonts w:ascii="Arial" w:cs="Arial" w:eastAsia="Arial" w:hAnsi="Arial"/>
          <w:sz w:val="15"/>
          <w:szCs w:val="15"/>
          <w:b w:val="1"/>
          <w:bCs w:val="1"/>
          <w:u w:val="single" w:color="auto"/>
          <w:color w:val="auto"/>
        </w:rPr>
        <w:t>KPL-716</w:t>
      </w:r>
      <w:r>
        <w:rPr>
          <w:rFonts w:ascii="Arial" w:cs="Arial" w:eastAsia="Arial" w:hAnsi="Arial"/>
          <w:sz w:val="15"/>
          <w:szCs w:val="15"/>
          <w:b w:val="1"/>
          <w:bCs w:val="1"/>
          <w:color w:val="auto"/>
        </w:rPr>
        <w:t xml:space="preserve"> </w:t>
      </w:r>
      <w:r>
        <w:rPr>
          <w:rFonts w:ascii="Arial" w:cs="Arial" w:eastAsia="Arial" w:hAnsi="Arial"/>
          <w:sz w:val="15"/>
          <w:szCs w:val="15"/>
          <w:color w:val="auto"/>
        </w:rPr>
        <w:t>is a monoclonal antibody that simultaneously inhibits the signaling of the cytokines interleukin-31, or IL-31, and oncostatin M, or OSM, by</w:t>
      </w:r>
      <w:r>
        <w:rPr>
          <w:rFonts w:ascii="Arial" w:cs="Arial" w:eastAsia="Arial" w:hAnsi="Arial"/>
          <w:sz w:val="15"/>
          <w:szCs w:val="15"/>
          <w:b w:val="1"/>
          <w:bCs w:val="1"/>
          <w:color w:val="auto"/>
        </w:rPr>
        <w:t xml:space="preserve"> </w:t>
      </w:r>
      <w:r>
        <w:rPr>
          <w:rFonts w:ascii="Arial" w:cs="Arial" w:eastAsia="Arial" w:hAnsi="Arial"/>
          <w:sz w:val="15"/>
          <w:szCs w:val="15"/>
          <w:color w:val="auto"/>
        </w:rPr>
        <w:t>targeting their common receptor subunit, oncostatin M receptor beta, or OSMRb. We plan to study KPL-716 in a variety of pruritic and fibrotic indications driven by these cytokines and we believe KPL-716 is the only monoclonal antibody in development that simultaneously targets both pathways. We are currently enrolling subjects in a Phase 1a/1b clinical trial in healthy volunteers and in subjects with atopic dermatitis as a proof-of-concept for pruritic conditions. We have completed dosing in the first portion of the Phase 1a/1b clinical trial utilizing a single ascending dose design. Each dose cohort in the first portion received a single dose of KPL-716 administered either intravenously or subcutaneously. We expect to report preliminary data from the single ascending dose cohorts of this portion of the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 If the data from the Phase 1a/1b clinical trial are favorable, we expect our two initial targeted indications for future development of KPL-716 to be prurigo nodularis and atopic dermatitis, both inflammatory, pruritic skin conditions with unmet medical need.</w:t>
      </w:r>
    </w:p>
    <w:p>
      <w:pPr>
        <w:spacing w:after="0" w:line="155" w:lineRule="exact"/>
        <w:rPr>
          <w:rFonts w:ascii="Arial" w:cs="Arial" w:eastAsia="Arial" w:hAnsi="Arial"/>
          <w:sz w:val="15"/>
          <w:szCs w:val="15"/>
          <w:color w:val="auto"/>
        </w:rPr>
      </w:pPr>
    </w:p>
    <w:p>
      <w:pPr>
        <w:ind w:left="960" w:right="80" w:hanging="481"/>
        <w:spacing w:after="0" w:line="251" w:lineRule="auto"/>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KPL-045</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CD30/CD30L interaction, a T-cell co-stimulatory receptor involved in activated T-memory cell</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 We are planning IND-enabling studies in T-cell dependent, B-cell mediated diseases, and expect to file an IND with the FDA for this program in 2019.</w:t>
      </w:r>
    </w:p>
    <w:p>
      <w:pPr>
        <w:spacing w:after="0" w:line="146" w:lineRule="exact"/>
        <w:rPr>
          <w:rFonts w:ascii="Arial" w:cs="Arial" w:eastAsia="Arial" w:hAnsi="Arial"/>
          <w:sz w:val="16"/>
          <w:szCs w:val="16"/>
          <w:color w:val="auto"/>
        </w:rPr>
      </w:pPr>
    </w:p>
    <w:p>
      <w:pPr>
        <w:ind w:left="960" w:hanging="481"/>
        <w:spacing w:after="0" w:line="251" w:lineRule="auto"/>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KPL-404</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CD40/CD40L interaction, a central control node of T-cell-dependent, B-cell-mediated humoral</w:t>
      </w:r>
      <w:r>
        <w:rPr>
          <w:rFonts w:ascii="Arial" w:cs="Arial" w:eastAsia="Arial" w:hAnsi="Arial"/>
          <w:sz w:val="16"/>
          <w:szCs w:val="16"/>
          <w:b w:val="1"/>
          <w:bCs w:val="1"/>
          <w:color w:val="auto"/>
        </w:rPr>
        <w:t xml:space="preserve"> </w:t>
      </w:r>
      <w:r>
        <w:rPr>
          <w:rFonts w:ascii="Arial" w:cs="Arial" w:eastAsia="Arial" w:hAnsi="Arial"/>
          <w:sz w:val="16"/>
          <w:szCs w:val="16"/>
          <w:color w:val="auto"/>
        </w:rPr>
        <w:t>adaptive immunity. We are planning IND-enabling studies in T-cell dependent, B-cell mediated diseases, and expect to file an IND with the FDA for this program in 2019.</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current pipeline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118745</wp:posOffset>
            </wp:positionV>
            <wp:extent cx="5200650" cy="25279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0650" cy="252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In addition to the indications described above, we plan to evaluate rilonacept, mavrilimumab and KPL-716 in other indications. We plan to be opportunistic in our business development activities to identify and potentially acquire the rights to additional programs that expand our existing portfolio. We have also initiated our own internal research efforts to discover and develop molecules to address areas of unmet medical need.</w:t>
      </w:r>
    </w:p>
    <w:p>
      <w:pPr>
        <w:spacing w:after="0" w:line="186" w:lineRule="exact"/>
        <w:rPr>
          <w:sz w:val="20"/>
          <w:szCs w:val="20"/>
          <w:color w:val="auto"/>
        </w:rPr>
      </w:pPr>
    </w:p>
    <w:p>
      <w:pPr>
        <w:jc w:val="both"/>
        <w:ind w:right="260" w:firstLine="436"/>
        <w:spacing w:after="0" w:line="239" w:lineRule="auto"/>
        <w:rPr>
          <w:sz w:val="20"/>
          <w:szCs w:val="20"/>
          <w:color w:val="auto"/>
        </w:rPr>
      </w:pPr>
      <w:r>
        <w:rPr>
          <w:rFonts w:ascii="Arial" w:cs="Arial" w:eastAsia="Arial" w:hAnsi="Arial"/>
          <w:sz w:val="16"/>
          <w:szCs w:val="16"/>
          <w:color w:val="auto"/>
        </w:rPr>
        <w:t>We intend to directly commercialize our product candidates, if approved, in the United States and select international markets. In parallel with our product development timelines, we plan to build our own commercial and operational organizations around the world. We anticipate building targeted medical affairs and sales teams focused on specialist physicians who treat the patient populations addressed by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Team</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assembled an experienced management team with a successful track record, many of whom have previously worked together. Our team has expertise across the spectrum of global drug discovery, development, manufacturing and commercialization activities in diseases within both large and orphan indications. Our Chairman and Chief Executive Officer, Sanj K. Patel, has more than 25 years of scientific, clinical and commercial experience in the pharmaceutical and biotechnology industries. Our Chief Medical Officer, John F. Paolini, M.D., Ph.D., has more than 15 years of experience planning, operating and executing clinical development programs across a range of disease indications from orphan diseases to large cardiovascular diseases, and ten years as a practicing cardiologist. Other members of our senior management team have held key management positions at other companies that developed and commercialized therapies for underserved, rare and specialty-focused patient populations. These companies include Synageva, Genzyme, Novo Nordisk, Shire, Sanofi, Pfizer, Bayer, Merck, Novartis and Vertex, among others.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Our vision is to build a fully-integrated global biopharmaceutical company by discovering, acquiring, developing and commercializing life-changing therapies for debilitating diseases. We are currently developing a pipeline of novel drug product candidates for the treatment of autoinflammatory and autoimmune diseases, and we aim to be an industry leader in these areas. We are pursuing multiple programs in parallel, with the goal of delivering safe and effective therapies to patients as efficiently as possible.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Critical components of our business strategy include the following:</w:t>
      </w:r>
    </w:p>
    <w:p>
      <w:pPr>
        <w:spacing w:after="0" w:line="170" w:lineRule="exact"/>
        <w:rPr>
          <w:sz w:val="20"/>
          <w:szCs w:val="20"/>
          <w:color w:val="auto"/>
        </w:rPr>
      </w:pPr>
    </w:p>
    <w:p>
      <w:pPr>
        <w:ind w:left="960" w:right="80" w:hanging="481"/>
        <w:spacing w:after="0" w:line="242"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Efficiently and rapidly advance our product candidates through the development process. </w:t>
      </w:r>
      <w:r>
        <w:rPr>
          <w:rFonts w:ascii="Arial" w:cs="Arial" w:eastAsia="Arial" w:hAnsi="Arial"/>
          <w:sz w:val="16"/>
          <w:szCs w:val="16"/>
          <w:color w:val="auto"/>
        </w:rPr>
        <w:t>We believe that our product candidates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to address significant unmet medical needs and intend to develop them as efficiently and rapidly as possible. In 2018, we expect to report preliminary Phase 2 data for rilonacept and, if the Phase 2 data are favorable, we plan to initiate a Phase 3 clinical trial for rilonacept in recurrent pericarditis. For KPL-716, we anticipate reporting preliminary data from the single dose cohorts in our Phase 1a/1b clinical trial in normal healthy volunteers and subjects with atopic dermatitis in the second half of 2018. We also expect to initiate a Phase 2 clinical trial of mavrilimumab in GCA in 2018.</w:t>
      </w:r>
    </w:p>
    <w:p>
      <w:pPr>
        <w:spacing w:after="0" w:line="165" w:lineRule="exact"/>
        <w:rPr>
          <w:rFonts w:ascii="Arial" w:cs="Arial" w:eastAsia="Arial" w:hAnsi="Arial"/>
          <w:sz w:val="16"/>
          <w:szCs w:val="16"/>
          <w:color w:val="auto"/>
        </w:rPr>
      </w:pPr>
    </w:p>
    <w:p>
      <w:pPr>
        <w:ind w:left="960" w:right="60" w:hanging="481"/>
        <w:spacing w:after="0" w:line="246"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product candidates to bring new or improved therapies to patients in need. </w:t>
      </w:r>
      <w:r>
        <w:rPr>
          <w:rFonts w:ascii="Arial" w:cs="Arial" w:eastAsia="Arial" w:hAnsi="Arial"/>
          <w:sz w:val="16"/>
          <w:szCs w:val="16"/>
          <w:color w:val="auto"/>
        </w:rPr>
        <w:t>We intend to market and commercialize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if approved, in the United States and select international markets by developing our own sales, marketing, medical affairs and reimbursement organizations. We anticipate creating a targeted sales organization that supports specialist physicians who treat these specific patient populations and plan to build out this organization as our product candidates approach potential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line="241" w:lineRule="auto"/>
        <w:rPr>
          <w:sz w:val="20"/>
          <w:szCs w:val="20"/>
          <w:color w:val="auto"/>
        </w:rPr>
      </w:pPr>
      <w:r>
        <w:rPr>
          <w:rFonts w:ascii="Arial" w:cs="Arial" w:eastAsia="Arial" w:hAnsi="Arial"/>
          <w:sz w:val="16"/>
          <w:szCs w:val="16"/>
          <w:color w:val="auto"/>
        </w:rPr>
        <w:t>regulatory approval. We believe this approach will allow us to effectively reach patients and prescribers that our product candidates target and leverage the commercial potential of our product candidates.</w:t>
      </w:r>
    </w:p>
    <w:p>
      <w:pPr>
        <w:spacing w:after="0" w:line="165" w:lineRule="exact"/>
        <w:rPr>
          <w:sz w:val="20"/>
          <w:szCs w:val="20"/>
          <w:color w:val="auto"/>
        </w:rPr>
      </w:pPr>
    </w:p>
    <w:p>
      <w:pPr>
        <w:ind w:left="960" w:right="40" w:hanging="481"/>
        <w:spacing w:after="0" w:line="245"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Maximize our existing portfolio opportunity by expanding use across multiple indications. </w:t>
      </w:r>
      <w:r>
        <w:rPr>
          <w:rFonts w:ascii="Arial" w:cs="Arial" w:eastAsia="Arial" w:hAnsi="Arial"/>
          <w:sz w:val="16"/>
          <w:szCs w:val="16"/>
          <w:color w:val="auto"/>
        </w:rPr>
        <w:t>A core component of our approach to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is identifying assets that each have the potential to treat multiple diseases. We aim to develop and commercialize our product candidates to produce meaningful impact for patients across all relevant indications. Our assets are designed to modulate signaling pathways that are implicated across a spectrum of autoimmune and autoinflammatory conditions. For example, our lead product candidate, rilonacept, is being studied in recurrent pericarditis, and we believe it may be effective in other IL-1a-mediated diseases characterized by painful serosal inflammation. We also believe that both mavrilimumab and KPL-716 have potential in additional indications.</w:t>
      </w:r>
    </w:p>
    <w:p>
      <w:pPr>
        <w:spacing w:after="0" w:line="163" w:lineRule="exact"/>
        <w:rPr>
          <w:rFonts w:ascii="Arial" w:cs="Arial" w:eastAsia="Arial" w:hAnsi="Arial"/>
          <w:sz w:val="16"/>
          <w:szCs w:val="16"/>
          <w:color w:val="auto"/>
        </w:rPr>
      </w:pPr>
    </w:p>
    <w:p>
      <w:pPr>
        <w:ind w:left="960" w:hanging="481"/>
        <w:spacing w:after="0" w:line="259" w:lineRule="auto"/>
        <w:tabs>
          <w:tab w:leader="none" w:pos="96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 xml:space="preserve">Leverage our value-driven approach to identify, acquire, discover and develop new therapies. </w:t>
      </w:r>
      <w:r>
        <w:rPr>
          <w:rFonts w:ascii="Arial" w:cs="Arial" w:eastAsia="Arial" w:hAnsi="Arial"/>
          <w:sz w:val="15"/>
          <w:szCs w:val="15"/>
          <w:color w:val="auto"/>
        </w:rPr>
        <w:t>We follow a disciplined and methodical approach</w:t>
      </w:r>
      <w:r>
        <w:rPr>
          <w:rFonts w:ascii="Arial" w:cs="Arial" w:eastAsia="Arial" w:hAnsi="Arial"/>
          <w:sz w:val="15"/>
          <w:szCs w:val="15"/>
          <w:b w:val="1"/>
          <w:bCs w:val="1"/>
          <w:color w:val="auto"/>
        </w:rPr>
        <w:t xml:space="preserve"> </w:t>
      </w:r>
      <w:r>
        <w:rPr>
          <w:rFonts w:ascii="Arial" w:cs="Arial" w:eastAsia="Arial" w:hAnsi="Arial"/>
          <w:sz w:val="15"/>
          <w:szCs w:val="15"/>
          <w:color w:val="auto"/>
        </w:rPr>
        <w:t>to our review of new opportunities. We focus on research-based and comprehensive indication mapping exercises to categorize and prioritize indications of interest. We evaluate a variety of factors for potential product candidates and discovery targets, including biologic rationale for addressing the disease, potential for regulatory approval, commercial viability, intellectual property position, prospects for favorable pricing and reimbursement and the impact of competition. We also look at assets that could potentially address multiple indications. In building our current pipeline, we evaluated a large number of opportunities and negotiated agreements with parties for the assets that met our criteria and have acquired the rights to develop and commercialize five separate biologics. Going forward, we intend to be opportunistic in our business development activities.</w:t>
      </w:r>
    </w:p>
    <w:p>
      <w:pPr>
        <w:spacing w:after="0" w:line="144" w:lineRule="exact"/>
        <w:rPr>
          <w:rFonts w:ascii="Arial" w:cs="Arial" w:eastAsia="Arial" w:hAnsi="Arial"/>
          <w:sz w:val="15"/>
          <w:szCs w:val="15"/>
          <w:color w:val="auto"/>
        </w:rPr>
      </w:pPr>
    </w:p>
    <w:p>
      <w:pPr>
        <w:ind w:left="960" w:right="260" w:hanging="481"/>
        <w:spacing w:after="0" w:line="243"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Build our core capability in autoimmune and autoinflammatory diseases to establish a leadership position in the field. </w:t>
      </w:r>
      <w:r>
        <w:rPr>
          <w:rFonts w:ascii="Arial" w:cs="Arial" w:eastAsia="Arial" w:hAnsi="Arial"/>
          <w:sz w:val="16"/>
          <w:szCs w:val="16"/>
          <w:color w:val="auto"/>
        </w:rPr>
        <w:t>Our current pipeline</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protein therapeutics across various stages of drug development, including a cytokine trap, rilonacept, and four monoclonal antibodies— mavrilimumab, KPL-716, KPL-045 and KPL-404. Both categories of therapeutics functionally inhibit signaling pathways that are implicated in autoinflammatory- or autoimmune-driven pathologies. We intend to leverage our internal discovery efforts and business development capabilities to complement our existing portfolio to build our core capability and establish a leadership position in the field.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Rilonacept (ARCALYST)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8"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Rilonacept was approved by the FDA for the treatment of cryopyrin-associated periodic syndrome, or CAPS, which includes cold auto-inflammatory syndrome and Muckle-Wells syndrome, and has been commercially available in the United States by Regeneron for this indication since 2008. We licensed rilonacept in 2017 from Regeneron. We believe that rilonacept has potential to treat certain diseases mediated by both IL-1a and IL-1b. Our lead indication for rilonacept is recurrent pericarditis, which is a recurring painful inflammation of the pericardium. We have initiated an open-label Phase 2 proof-of-concept clinical trial in patients with recurrent pericarditis who are not well controlled by, or who cannot be weaned off of, current standard of care. We expect to report preliminary data from this trial in 2018. If the results from this trial are favorable, we plan to initiate a Phase 3 clinical trial in the United States for rilonacept in 2018. We also plan to evaluate rilonacept in additional diseases mediated by IL-1a.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right="80" w:firstLine="433"/>
        <w:spacing w:after="0" w:line="253" w:lineRule="auto"/>
        <w:rPr>
          <w:sz w:val="20"/>
          <w:szCs w:val="20"/>
          <w:color w:val="auto"/>
        </w:rPr>
      </w:pPr>
      <w:r>
        <w:rPr>
          <w:rFonts w:ascii="Arial" w:cs="Arial" w:eastAsia="Arial" w:hAnsi="Arial"/>
          <w:sz w:val="16"/>
          <w:szCs w:val="16"/>
          <w:color w:val="auto"/>
        </w:rPr>
        <w:t>There is currently one other FDA-approved agent that blocks both IL-1a and IL-1b signaling, anakinra, and one that blocks only IL-1b, canakinumab. We believe both therapies have limitations, and neither is approved by the FDA for treatment of pericarditis. Anakinra requires once-daily injections, and canakinumab only blocks IL-1b, making it less effective or ineffective in diseases driven by IL-1a pathology. We believe that rilonacept with its more moderate, once-weekly dosing schedule and its ability to inhibit both IL-1a and IL-1b could provide an improved therapeutic option for a variety of IL-1a-mediated diseases.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196" w:lineRule="exact"/>
        <w:rPr>
          <w:sz w:val="20"/>
          <w:szCs w:val="20"/>
          <w:color w:val="auto"/>
        </w:rPr>
      </w:pPr>
    </w:p>
    <w:p>
      <w:pPr>
        <w:ind w:right="40" w:firstLine="436"/>
        <w:spacing w:after="0" w:line="278" w:lineRule="auto"/>
        <w:rPr>
          <w:sz w:val="20"/>
          <w:szCs w:val="20"/>
          <w:color w:val="auto"/>
        </w:rPr>
      </w:pPr>
      <w:r>
        <w:rPr>
          <w:rFonts w:ascii="Arial" w:cs="Arial" w:eastAsia="Arial" w:hAnsi="Arial"/>
          <w:sz w:val="15"/>
          <w:szCs w:val="15"/>
          <w:color w:val="auto"/>
        </w:rPr>
        <w:t>Rilonacept is an inhibitor of IL-1a and IL-1b. IL-1a and IL-1b have been demonstrated to play a key role in inflammatory diseases. IL-1a and IL-1b provoke potent, pro-inflammatory events by engaging the IL-1a and IL-1b receptor. Following tissue insult, the release of IL-1a acts as the primary initiating signal to coordinate the mobilization of immune cells to the damaged area, while IL-1b is secreted mostly by macrophages and is a prototypical cytokine of the canonical inflammasome. IL-1a and IL-1b signaling results in a dramatic increase in the production of cytokines that orchestrate the proliferation and recruitment of phagocytes to the site of damage, resulting in inflammation. Moreover, IL-1a and IL-1b signaling also affect other immune-system cells, such as T-cells and B-cells.</w:t>
      </w:r>
    </w:p>
    <w:p>
      <w:pPr>
        <w:spacing w:after="0" w:line="159" w:lineRule="exact"/>
        <w:rPr>
          <w:sz w:val="20"/>
          <w:szCs w:val="20"/>
          <w:color w:val="auto"/>
        </w:rPr>
      </w:pPr>
    </w:p>
    <w:p>
      <w:pPr>
        <w:ind w:right="20" w:firstLine="436"/>
        <w:spacing w:after="0" w:line="256" w:lineRule="auto"/>
        <w:rPr>
          <w:sz w:val="20"/>
          <w:szCs w:val="20"/>
          <w:color w:val="auto"/>
        </w:rPr>
      </w:pPr>
      <w:r>
        <w:rPr>
          <w:rFonts w:ascii="Arial" w:cs="Arial" w:eastAsia="Arial" w:hAnsi="Arial"/>
          <w:sz w:val="16"/>
          <w:szCs w:val="16"/>
          <w:color w:val="auto"/>
        </w:rPr>
        <w:t>IL-1b's role in the inflammation process has been extensively studied, while in comparison, much is still unknown about the independent function of IL-1a in disease pathology. Despite driving similar immunological outcomes, IL-1a and IL-1b differ substantially in their expression and regulation, and non-redundant roles for IL-1a or IL-1b have been demonstrated in multiple inflammatory diseases. There are disease states in which IL-1b inhibition alone does not appear to be sufficient for disease remission in the absence of IL-1a inhibition. Published studies suggest certain autoinflammatory diseases may, in fact, be pathologically driven primarily by IL-1a.</w:t>
      </w:r>
    </w:p>
    <w:p>
      <w:pPr>
        <w:spacing w:after="0" w:line="177" w:lineRule="exact"/>
        <w:rPr>
          <w:sz w:val="20"/>
          <w:szCs w:val="20"/>
          <w:color w:val="auto"/>
        </w:rPr>
      </w:pPr>
    </w:p>
    <w:p>
      <w:pPr>
        <w:ind w:right="20" w:firstLine="427"/>
        <w:spacing w:after="0" w:line="252" w:lineRule="auto"/>
        <w:rPr>
          <w:sz w:val="20"/>
          <w:szCs w:val="20"/>
          <w:color w:val="auto"/>
        </w:rPr>
      </w:pPr>
      <w:r>
        <w:rPr>
          <w:rFonts w:ascii="Arial" w:cs="Arial" w:eastAsia="Arial" w:hAnsi="Arial"/>
          <w:sz w:val="16"/>
          <w:szCs w:val="16"/>
          <w:color w:val="auto"/>
        </w:rPr>
        <w:t>An investigator-initiated study of anakinra successfully demonstrated mechanistic proof-of-concept for inhibiting both IL-1a and IL-1b in the treatment of recurrent pericarditis. In a published case study, a patient with a refractory form of recurrent pericarditis, who was well-controlled on anakinra, was switched from anakinra to canakinumab, which inhibits only IL-1b, for tolerability reasons. The patient's disease returned despite further dose escalation of canakinumab. When the patient was switched back to anakinra, which inhibits IL-a and IL-b, the disease promptly went back into remission. These data, along with confirmatory market research, may indicate that IL-1a and IL-1b play unique roles in recurrent pericarditis and other autoinflammatory diseases in which the pathology may be driven primarily by IL-1a.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Recurrent Pericarditis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Pericarditis is the most common disorder involving the pericardium, the two-layered sac that surrounds the heart. Pericarditis is an inflammation of this sac and is typically characterized by significant chest pain, shortness of breath, coughing and fatigue and is often misconstrued by patients as a heart attack. In addition, typical signs of pericarditis include pericardial friction rub, electrocardiogram changes or pericardial effusion, which is a build-up of fluid around the heart. Pericarditis is described as recurrent if, following an initial occurrence of pericarditis, it recurs after a symptom-free period of about four to six weeks. Pericarditis is considered chronic if symptoms of any one episode last longer than three months, typically causing significant pain and frustration. If pericarditis is left untreated, patients can develop thickening and scarring of the pericardium, potentially requiring invasive surgical stripping. Pericardial effusion, if large enough, can compress the heart externally, requiring emergent drainage.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54" w:lineRule="auto"/>
        <w:rPr>
          <w:sz w:val="20"/>
          <w:szCs w:val="20"/>
          <w:color w:val="auto"/>
        </w:rPr>
      </w:pPr>
      <w:r>
        <w:rPr>
          <w:rFonts w:ascii="Arial" w:cs="Arial" w:eastAsia="Arial" w:hAnsi="Arial"/>
          <w:sz w:val="15"/>
          <w:szCs w:val="15"/>
          <w:color w:val="auto"/>
        </w:rPr>
        <w:t>We intend to focus our development of rilonacept for the treatment of recurrent pericarditis initially in the United States. Based on claims data from 2012 and literature sources, we estimate that there are approximately 90,000 newly incident patients with episodes of pericarditis in the United States per year. Approximately 20% to 30% of these patients experienced additional recurrent flares, and required additional treatment with non-steroidal anti-inflammatory drugs, or NSAIDs, the immunosuppressive drug colchicine or steroids, either alone or in combination. This results in an annual incidence of approximately 20,000 patients with recurrent pericarditis. Based on an average three year course of recurrent disease, we estimate there may be up to 60,000 patients with recurrent pericarditis in the United States and 5% of these recurrent patients are refractory to their currently available pharmacotherapy (approximately 3,000 patients in the United States). Additionally, we estimate that roughly an additional 9,000 recurrent patients are considered by their physicians not well-controlled on their current therapy, meaning that they are unable to wean off existing therapy, have multiple recurrences despite repeated pharmacotherapy or cannot tolerate their existing therapy.</w:t>
      </w:r>
    </w:p>
    <w:p>
      <w:pPr>
        <w:spacing w:after="0" w:line="180"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There may be other thoracic inflammatory syndromes where rilonacept may prove beneficial, such as pericarditis associated with postpericardiotomy syndrome, an inflammatory reaction of the pericardium in patients who have undergone surgery that involves opening the pericardium. Postpericardiotomy syndrome occurs in up to 30% of the 300,000 patients in the United States undergoing open heart surgery, and we believe rilonacept may be a therapeutic option for a subset of these patients.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Recurrent Pericarditis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are not aware of any current therapies approved by the FDA for the treatment of recurrent pericarditis. A patient's initial acute episode of pericarditis is typically treated with over-the-counter or prescription NSAIDs or colchicine, both of which are used off-label. Recurrent episodes are treated in a similar manner or by adding systemic corticosteroids which are also used off-label. Both colchicine and corticosteroids often have deleterious effects when used at high doses or for long periods of time, including, for colchicine, gastrointestinal distress and neutropenia and, for corticosteroids, glaucoma, fluid retention, hypertension, mood changes, memory changes, other psychological effects, weight gain and diabetes. Fourth-line treatment for these patients may include other immunosuppressants such as methotrexate and azothiaprine, as well as anakinra.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Solution</w:t>
      </w:r>
    </w:p>
    <w:p>
      <w:pPr>
        <w:spacing w:after="0" w:line="196" w:lineRule="exact"/>
        <w:rPr>
          <w:sz w:val="20"/>
          <w:szCs w:val="20"/>
          <w:color w:val="auto"/>
        </w:rPr>
      </w:pPr>
    </w:p>
    <w:p>
      <w:pPr>
        <w:ind w:right="80" w:firstLine="436"/>
        <w:spacing w:after="0" w:line="253" w:lineRule="auto"/>
        <w:rPr>
          <w:sz w:val="20"/>
          <w:szCs w:val="20"/>
          <w:color w:val="auto"/>
        </w:rPr>
      </w:pPr>
      <w:r>
        <w:rPr>
          <w:rFonts w:ascii="Arial" w:cs="Arial" w:eastAsia="Arial" w:hAnsi="Arial"/>
          <w:sz w:val="16"/>
          <w:szCs w:val="16"/>
          <w:color w:val="auto"/>
        </w:rPr>
        <w:t>Rilonacept is a weekly, subcutaneously-injected, recombinant fusion protein that blocks IL-1a and IL-1b signaling. Beyond recurrent pericarditis, we believe there is significant potential for rilonacept to address additional indications, including other pericarditis populations. More broadly, we believe diseases characterized by painful serosal inflammation may be driven by IL-1a, and we intend to consider development of rilonacept in these indications and in others where we believe IL-1a or IL-1b play a key role in disease pathophysiology.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Development Plan for Recurrent Pericarditis</w:t>
      </w:r>
    </w:p>
    <w:p>
      <w:pPr>
        <w:spacing w:after="0" w:line="206" w:lineRule="exact"/>
        <w:rPr>
          <w:sz w:val="20"/>
          <w:szCs w:val="20"/>
          <w:color w:val="auto"/>
        </w:rPr>
      </w:pPr>
    </w:p>
    <w:p>
      <w:pPr>
        <w:ind w:right="220" w:firstLine="436"/>
        <w:spacing w:after="0" w:line="257" w:lineRule="auto"/>
        <w:rPr>
          <w:sz w:val="20"/>
          <w:szCs w:val="20"/>
          <w:color w:val="auto"/>
        </w:rPr>
      </w:pPr>
      <w:r>
        <w:rPr>
          <w:rFonts w:ascii="Arial" w:cs="Arial" w:eastAsia="Arial" w:hAnsi="Arial"/>
          <w:sz w:val="15"/>
          <w:szCs w:val="15"/>
          <w:color w:val="auto"/>
        </w:rPr>
        <w:t>We have initiated an open-label Phase 2 proof-of-concept clinical trial to explore clinical and biochemical endpoints of pericarditis symptomatology and to collect inter- and intra-subject variability data on both at-baseline and on-treatment parameters. The trial is divided into five parts, each enrolling up to 10 subjects who are currently on any combination of co-administered NSAIDs, colchicine or corticosteroids. The subjects are dosed using the approved rilonacept dose for CAPS, which is a loading dose of two 160 mg subcutaneous doses (320 mg total), followed by single, self-administered 160 mg subcutaneous doses every seven days for a total of six weeks. This is followed by an 18-week extension period. During the extension period, the investigator may choose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wean concomitant NSAIDs, colchicine or corticosteroids according to standard-of-care paradigms.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five parts of the trial with different patient populations are:</w:t>
      </w:r>
    </w:p>
    <w:p>
      <w:pPr>
        <w:spacing w:after="0" w:line="190" w:lineRule="exact"/>
        <w:rPr>
          <w:sz w:val="20"/>
          <w:szCs w:val="20"/>
          <w:color w:val="auto"/>
        </w:rPr>
      </w:pPr>
    </w:p>
    <w:p>
      <w:pPr>
        <w:ind w:left="960" w:right="600" w:hanging="481"/>
        <w:spacing w:after="0" w:line="241" w:lineRule="auto"/>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1: Symptomatic subjects with recurrent pericarditis receiving NSAIDS +/– colchicine +/– steroids with high CRP, a marker of inflammation, measurements;</w:t>
      </w:r>
    </w:p>
    <w:p>
      <w:pPr>
        <w:spacing w:after="0" w:line="185"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2: Symptomatic subjects with recurrent pericarditis receiving NSAIDS +/– colchicine +/– steroids without elevated CRP measurements but with evidence of pericardial inflammation by MRI;</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3: Subjects with recurrent pericarditis who are dependent upon or unable to wean off of corticosteroids;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4: Symptomatic subjects with postpericardiotomy syndrome receiving NSAIDS +/– colchicine +/– steroids with high CRP measurements;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5: Subjects with postpericardiotomy syndrome who are dependent upon or unable to wean off of corticosteroids.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intend to use the information gathered in this trial to confirm the results seen to date with anakinra and to inform an end-of-Phase 2 meeting with the FDA. The primary endpoint for Parts 1, 2 and 4 of the trial is to collect inter- and intra-subject variability data on CRP measurements and the NRS in subjects with symptomatic recurrent idiopathic pericarditis both at baseline and on treatment with rilonacept in order to inform power calculations for future trials in pericarditis. The primary endpoint for Parts 3 and 5 is to evaluate feasibility of weaning patients from corticosteroids while receiving rilonacept. This trial has been designed with the potential to examine the response of patients with pericarditis caused by a variety of underlying etiologies.</w:t>
      </w:r>
    </w:p>
    <w:p>
      <w:pPr>
        <w:spacing w:after="0" w:line="189"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of April 23, 2018, a total of four subjects have been enrolled in the clinical trial. Three of the four subjects have been enrolled in Part 1, and were experiencing symptomatic recurrent pericarditis at the time of enrollment. All three subjects showed a reduction in CRP measurements, as well as a reduction in NRS, in the first week of treatment, which was sustained as of April 23, 2018. The fourth subject, in a separate patient cohort, was on corticosteroids at the time of enrollment in Part 3 of the study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 We have not enrolled any subjects in Parts 2, 4 or 5 as of April 23, 2018.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History of Rilonacept</w:t>
      </w:r>
    </w:p>
    <w:p>
      <w:pPr>
        <w:spacing w:after="0" w:line="206" w:lineRule="exact"/>
        <w:rPr>
          <w:sz w:val="20"/>
          <w:szCs w:val="20"/>
          <w:color w:val="auto"/>
        </w:rPr>
      </w:pPr>
    </w:p>
    <w:p>
      <w:pPr>
        <w:ind w:right="320" w:firstLine="436"/>
        <w:spacing w:after="0" w:line="241" w:lineRule="auto"/>
        <w:rPr>
          <w:sz w:val="20"/>
          <w:szCs w:val="20"/>
          <w:color w:val="auto"/>
        </w:rPr>
      </w:pPr>
      <w:r>
        <w:rPr>
          <w:rFonts w:ascii="Arial" w:cs="Arial" w:eastAsia="Arial" w:hAnsi="Arial"/>
          <w:sz w:val="16"/>
          <w:szCs w:val="16"/>
          <w:color w:val="auto"/>
        </w:rPr>
        <w:t>Regeneron evaluated rilonacept in a total of 21 clinical trials, including two trials in over 100 patients for the treatment of CAPS, and six trials in over 1,800 patients for the treatment of gout flares.</w:t>
      </w:r>
    </w:p>
    <w:p>
      <w:pPr>
        <w:spacing w:after="0" w:line="185" w:lineRule="exact"/>
        <w:rPr>
          <w:sz w:val="20"/>
          <w:szCs w:val="20"/>
          <w:color w:val="auto"/>
        </w:rPr>
      </w:pPr>
    </w:p>
    <w:p>
      <w:pPr>
        <w:ind w:left="960" w:right="40" w:hanging="481"/>
        <w:spacing w:after="0" w:line="239"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CAPS</w:t>
      </w:r>
      <w:r>
        <w:rPr>
          <w:rFonts w:ascii="Arial" w:cs="Arial" w:eastAsia="Arial" w:hAnsi="Arial"/>
          <w:sz w:val="16"/>
          <w:szCs w:val="16"/>
          <w:color w:val="auto"/>
        </w:rPr>
        <w:t>: Regeneron evaluated rilonacept for the treatment of CAPS in two trials. In these trials, 109 patients with CAPS, including eight pediatric patients, were treated with at least one dose of rilonacept. In the pivotal efficacy trial, which evaluated the long-term efficacy and safety of once-weekly dosing, 160 mg of rilonacept markedly decreased the clinical signs and symptoms of CAPS.</w:t>
      </w:r>
    </w:p>
    <w:p>
      <w:pPr>
        <w:spacing w:after="0" w:line="174"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Gout</w:t>
      </w:r>
      <w:r>
        <w:rPr>
          <w:rFonts w:ascii="Arial" w:cs="Arial" w:eastAsia="Arial" w:hAnsi="Arial"/>
          <w:sz w:val="16"/>
          <w:szCs w:val="16"/>
          <w:color w:val="auto"/>
        </w:rPr>
        <w:t>: Regeneron evaluated rilonacept for the treatment of gout flares in six trials. In the two pivotal efficacy trials in patients with gout, which evaluated the efficacy of once-weekly dosing for the prevention of gout flares during initiation of uric acid-lowering therapy,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320"/>
        <w:spacing w:after="0" w:line="238" w:lineRule="auto"/>
        <w:rPr>
          <w:sz w:val="20"/>
          <w:szCs w:val="20"/>
          <w:color w:val="auto"/>
        </w:rPr>
      </w:pPr>
      <w:r>
        <w:rPr>
          <w:rFonts w:ascii="Arial" w:cs="Arial" w:eastAsia="Arial" w:hAnsi="Arial"/>
          <w:sz w:val="16"/>
          <w:szCs w:val="16"/>
          <w:color w:val="auto"/>
        </w:rPr>
        <w:t>rilonacept at doses of 80 mg and 160 mg significantly decreased the number of gout flares. Regeneron abandoned active development for the treatment of gout flares after receiving a complete response letter from the FDA requesting additional clinical data, as well as additional CMC information related to a proposed new dosage form Regeneron was evaluating for gout, which was different than the dosage form approved in the CAPS indication and now being used for pericarditis.</w:t>
      </w:r>
    </w:p>
    <w:p>
      <w:pPr>
        <w:spacing w:after="0" w:line="187" w:lineRule="exact"/>
        <w:rPr>
          <w:sz w:val="20"/>
          <w:szCs w:val="20"/>
          <w:color w:val="auto"/>
        </w:rPr>
      </w:pPr>
    </w:p>
    <w:p>
      <w:pPr>
        <w:ind w:left="960" w:right="760" w:hanging="481"/>
        <w:spacing w:after="0" w:line="241" w:lineRule="auto"/>
        <w:tabs>
          <w:tab w:leader="none" w:pos="9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 Indications</w:t>
      </w:r>
      <w:r>
        <w:rPr>
          <w:rFonts w:ascii="Arial" w:cs="Arial" w:eastAsia="Arial" w:hAnsi="Arial"/>
          <w:sz w:val="16"/>
          <w:szCs w:val="16"/>
          <w:color w:val="auto"/>
        </w:rPr>
        <w:t>: Regeneron conducted a total of 13 clinical trials of rilonacept for the treatment of rheumatoid arthritis, or RA, polymyalgia rheumatica, osteoarthritis, coronary artery disease, systemic juvenile idiopathic arthritis and end-stage renal disease.</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21 clinical studies conducted by Regeneron with rilonacept to date, the most common adverse events reported were injection site reactions and upper respiratory tract infections. Across these studies, there were a total of five serious adverse events, or SAEs, that were assessed by investigators as drug related. Among patients treated with rilonacept there were three SAEs, colitis, gastrointestinal haemorrhage, and drug eruption. One patient treated with placebo experienced cellulitis and another placebo-treated patient died. The largest clinical programs conducted by Regeneron with rilonacept were its Phase 2 and Phase 3 programs for gout flare prevention, which treated a total of 1,886 patients. The most common adverse events reported for the 160 mg dose, the dosage used for the treatment of CAPS, were injection site reactions (15.5% for rilonacept versus 2.6% for placebo) and upper respiratory tract infections (10.3% for rilonacept versus 10.1% for placebo).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Mavrilimumab</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8"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Mavrilimumab is a fully-human monoclonal antibody that antagonizes GM-CSF signaling by binding to the alpha subunit of the GM-CSF receptor. Our lead indication for mavrilimumab is GCA, an inflammatory disease of blood vessels, for which we plan to initiate a Phase 2 trial in 2018. We also plan to evaluate mavrilimumab in additional diseases for patients with high unmet medical need, where we believe there is a strong mechanistic rationale.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Before we licensed mavrilimumab in 2017, MedImmune, Limited, or MedImmune, was developing mavrilimumab for the treatment of RA.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208"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Mavrilimumab is designed to inhibit the signaling of GM-CSF, a growth factor that stimulates the production of certain types of white blood cells. Studies have demonstrated that with GM-CSF overexpression, pathological changes almost always follow. Reported data suggest GM-CSF is a key player in autoinflammation and autoimmunity, as follows:</w:t>
      </w:r>
    </w:p>
    <w:p>
      <w:pPr>
        <w:spacing w:after="0" w:line="198" w:lineRule="exact"/>
        <w:rPr>
          <w:sz w:val="20"/>
          <w:szCs w:val="20"/>
          <w:color w:val="auto"/>
        </w:rPr>
      </w:pPr>
    </w:p>
    <w:p>
      <w:pPr>
        <w:ind w:left="960" w:right="68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enhanced trafficking of myeloid cells through activated endothelium of blood vessels and contributed to monocyte and macrophage accumulation in blood vessels during inflammation;</w:t>
      </w:r>
    </w:p>
    <w:p>
      <w:pPr>
        <w:spacing w:after="0" w:line="173" w:lineRule="exact"/>
        <w:rPr>
          <w:rFonts w:ascii="Arial" w:cs="Arial" w:eastAsia="Arial" w:hAnsi="Arial"/>
          <w:sz w:val="16"/>
          <w:szCs w:val="16"/>
          <w:color w:val="auto"/>
        </w:rPr>
      </w:pPr>
    </w:p>
    <w:p>
      <w:pPr>
        <w:ind w:left="960" w:right="32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promoted activation, differentiation, survival and proliferation of monocytes and macrophages, as well as resident tissue macrophages in inflamed tissues;</w:t>
      </w:r>
    </w:p>
    <w:p>
      <w:pPr>
        <w:spacing w:after="0" w:line="173"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production led to activation of the vasculature and bone marrow and also promoted the differentiation of effector T cells at inflamed sites and draining lymph nodes; and</w:t>
      </w:r>
    </w:p>
    <w:p>
      <w:pPr>
        <w:spacing w:after="0" w:line="185" w:lineRule="exact"/>
        <w:rPr>
          <w:rFonts w:ascii="Arial" w:cs="Arial" w:eastAsia="Arial" w:hAnsi="Arial"/>
          <w:sz w:val="16"/>
          <w:szCs w:val="16"/>
          <w:color w:val="auto"/>
        </w:rPr>
      </w:pPr>
    </w:p>
    <w:p>
      <w:pPr>
        <w:ind w:left="960" w:right="42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regulated the phenotype of antigen-presenting cells in inflamed tissues by promoting the differentiation of infiltrating monocytes into M1 macrophages and monocyte-derived dendritic cells, or MoDCs.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27"/>
        <w:spacing w:after="0" w:line="258" w:lineRule="auto"/>
        <w:rPr>
          <w:sz w:val="20"/>
          <w:szCs w:val="20"/>
          <w:color w:val="auto"/>
        </w:rPr>
      </w:pPr>
      <w:r>
        <w:rPr>
          <w:rFonts w:ascii="Arial" w:cs="Arial" w:eastAsia="Arial" w:hAnsi="Arial"/>
          <w:sz w:val="15"/>
          <w:szCs w:val="15"/>
          <w:color w:val="auto"/>
        </w:rPr>
        <w:t>Additionally, GM-CSF has been shown to be a confirmed mediator in RA based on the results from the Phase 2b clinical trial in RA conducted by MedImmune. In this trial, mavrilimumab achieved the co-primary endpoints of change from baseline in disease activity score, or DAS, at week 12 and a response of 20% or greater improvement in the American College of Rheumatology criteria, at week 24. Patients with mavrilimumab showed a statistically significant reduction in DAS scores at all dosages compared to placebo, and significantly more mavrilimumab-treated patients achieved ACR20 at all dosages compared to placebo.</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Giant Cell Arteritis</w:t>
      </w:r>
    </w:p>
    <w:p>
      <w:pPr>
        <w:spacing w:after="0" w:line="20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GCA is an inflammatory disease of the blood vessels that strikes older adults and causes headaches, jaw and other muscle claudication, and possible ischemic visual loss. Many of the symptoms and signs of GCA result from involvement of the cranial branches of arteries that originate from the aortic arch, but the disease is systemic, and vascular involvement can be widespread. GCA is characterized by infiltration of monocytes, macrophages and the formation of giant cells (i.e., multinucleated fusions of macrophages). GCA generally occurs in adults over 50 years old with a 3:1 imbalance of women to men. We estimate there to be approximately 75,000 to 150,000 prevalent patients with GCA in the United States with similar prevalence rates for other major markets and believe that the incidence of GCA will increase over time as the population ages.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Giant Cell Arteritis</w:t>
      </w:r>
    </w:p>
    <w:p>
      <w:pPr>
        <w:spacing w:after="0" w:line="208"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Glucocorticoids, a type of corticosteroid, are the mainstay for the treatment of GCA because they normalize inflammatory markers and resolve patient symptoms. Many patients receive long courses of this therapy to prevent disease flare-up, which are associated with significant and serious side effects, including glaucoma, fluid retention, hypertension, mood changes, memory changes, other psychological effects, weight gain and diabetes. Up to 80% of patients suffer from glucocorticoid toxicity as a result of GCA treatment.</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Despite being effective for some patients, many are unable to wean off of corticosteroids because they continue to experience disease flares as the dose is reduced. In one study cohort published in the literature that followed 106 patients with GCA for 4.5 to 10.1 years, 68 patients (64%) experienced at least one relapse during or after weaning, and 38 patients (36%) experienced two or more. Experimental evidence in mice suggests that corticosteroid treatment does not adequately suppress tissue-infiltrating macrophage function, a key cell type generated and maintained by GM-CSF signaling, and may explain why many patients require long-term chronic treatment and are unable to wean off corticosteroids. We believe by blocking GM-CSF signaling, mavrilimumab may provide additional benefit to these patients by reducing long-term sequelae that results from chronic vessel inflammation.</w:t>
      </w:r>
    </w:p>
    <w:p>
      <w:pPr>
        <w:spacing w:after="0" w:line="18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addition, tocilizumab, an inhibitor of interleukin-6, or IL-6, is approved in the United States in GCA for use on top of a concomitant corticosteroid taper. However, nearly half of the patients studied in the Phase 3 clinical trial for tocilizumab experienced disease flares during the 52 weeks treatment period that included a 26-week corticosteroid taper. We believe this indicates a persistent unmet medical need.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Solution</w:t>
      </w:r>
    </w:p>
    <w:p>
      <w:pPr>
        <w:spacing w:after="0" w:line="208" w:lineRule="exact"/>
        <w:rPr>
          <w:sz w:val="20"/>
          <w:szCs w:val="20"/>
          <w:color w:val="auto"/>
        </w:rPr>
      </w:pPr>
    </w:p>
    <w:p>
      <w:pPr>
        <w:jc w:val="both"/>
        <w:ind w:right="320" w:firstLine="436"/>
        <w:spacing w:after="0" w:line="239" w:lineRule="auto"/>
        <w:rPr>
          <w:sz w:val="20"/>
          <w:szCs w:val="20"/>
          <w:color w:val="auto"/>
        </w:rPr>
      </w:pPr>
      <w:r>
        <w:rPr>
          <w:rFonts w:ascii="Arial" w:cs="Arial" w:eastAsia="Arial" w:hAnsi="Arial"/>
          <w:sz w:val="16"/>
          <w:szCs w:val="16"/>
          <w:color w:val="auto"/>
        </w:rPr>
        <w:t>We chose GCA as our first indication for mavrilimumab due to the mechanistic rationale of inhibiting GM-CSF. GM-CSF is a key growth factor for many of these key inflammatory cell types and is found in high concentrations at the site of damage in the vessel wall. We believe these data provide a solid rationale for antagonizing this signaling with mavrilimumab.</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Phase 2 Clinical Trial for GCA</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plan to initiate a Phase 2 clinical trial of mavrilimumab for the treatment of GCA in 2018 in Europe after we submit an investigational medicinal product dossier, or IMPD, and a clinical trial application, or CTA, to and receive clearance from the competent authorities in Europe. We also intend to file an IND for studying mavrilimumab to treat GCA in the United States, which will first need to be cleared by the FDA. Our current plans include enrolling 30 to 60 newly diagnosed and refractory GCA patients who will be randomized to mavrilimumab versus placebo on top of a corticosteroid taper. The primary endpoint will quantify maintenance of complete remission without clinical signs or symptoms of GCA in subjects treated with mavrilimumab versus placebo.</w:t>
      </w:r>
    </w:p>
    <w:p>
      <w:pPr>
        <w:spacing w:after="0" w:line="189" w:lineRule="exact"/>
        <w:rPr>
          <w:sz w:val="20"/>
          <w:szCs w:val="20"/>
          <w:color w:val="auto"/>
        </w:rPr>
      </w:pPr>
    </w:p>
    <w:p>
      <w:pPr>
        <w:ind w:right="20" w:firstLine="427"/>
        <w:spacing w:after="0" w:line="239" w:lineRule="auto"/>
        <w:rPr>
          <w:sz w:val="20"/>
          <w:szCs w:val="20"/>
          <w:color w:val="auto"/>
        </w:rPr>
      </w:pPr>
      <w:r>
        <w:rPr>
          <w:rFonts w:ascii="Arial" w:cs="Arial" w:eastAsia="Arial" w:hAnsi="Arial"/>
          <w:sz w:val="16"/>
          <w:szCs w:val="16"/>
          <w:color w:val="auto"/>
        </w:rPr>
        <w:t>After initiating the planned Phase 2 trial in GCA, we anticipate initiating research and development activities of mavrilimumab's potential across other various disease states where cells of myeloid phenotype have been implicated by the literature, such as other vasculitides and cardiomyopathies, diseases characterized by barrier dysfunction, other arthropathies or oncologic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History in Rheumatoid Arthritis</w:t>
      </w:r>
    </w:p>
    <w:p>
      <w:pPr>
        <w:spacing w:after="0" w:line="206" w:lineRule="exact"/>
        <w:rPr>
          <w:sz w:val="20"/>
          <w:szCs w:val="20"/>
          <w:color w:val="auto"/>
        </w:rPr>
      </w:pPr>
    </w:p>
    <w:p>
      <w:pPr>
        <w:jc w:val="both"/>
        <w:ind w:right="240" w:firstLine="436"/>
        <w:spacing w:after="0" w:line="239" w:lineRule="auto"/>
        <w:rPr>
          <w:sz w:val="20"/>
          <w:szCs w:val="20"/>
          <w:color w:val="auto"/>
        </w:rPr>
      </w:pPr>
      <w:r>
        <w:rPr>
          <w:rFonts w:ascii="Arial" w:cs="Arial" w:eastAsia="Arial" w:hAnsi="Arial"/>
          <w:sz w:val="16"/>
          <w:szCs w:val="16"/>
          <w:color w:val="auto"/>
        </w:rPr>
        <w:t>MedImmune had received authorization to conduct clinical trials for rheumatoid arthritis, or RA, in Europe and executed an extensive Phase 1 and Phase 2 clinical program where the company studied mavrilimumab in over 550 patients with RA through Phase 2b. All of these clinical trials achieved their prospectively defined primary endpoints of safety or efficacy.</w:t>
      </w:r>
    </w:p>
    <w:p>
      <w:pPr>
        <w:spacing w:after="0" w:line="186"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In the United States, MedImmune did not finish its IND process with the FDA after the IND was initially put on clinical hold in 2010 before any human data had been generated. Certain effects had been observed in the lungs of non-human primates, which coincides with the theoretical risk of pulmonary alveolar proteinosis, or PAP, possibly developing in the setting of GM-CSF inhibition. Subsequently, MedImmune discussed its Phase 1 and initial Phase 2b clinical findings with the FDA, and the FDA acknowledged in November 2014 that a clinical trial of mavrilimumab in the United States may be appropriate in patient populations with high morbidity and limited treatment options, including refractory RA. MedImmune did not engage in further dialogue with the FDA and has since withdrawn the IND for mavrilimumab for the treatment of RA, and we plan to file a new IND for our planned Phase 2 clinical trial in GCA. MedImmune opted to out-license the program due to reasons related to its overall portfolio strategy and focus on its three main therapeutic areas, which will allow us as the licensee to continue the dialogue directly with the FDA in the context of our proposed clinical development program. MedImmune's European clinical trials in RA, which included an extensive pulmonary safety adjudication program, revealed no signals of altered pulmonary function (including PAP) attributable to mavrilimumab following long-term administration. We believe that these long-term data, which have not yet been presented to the FDA, support that PAP is a theoretical risk and confirm our belief that mavrilimumab is appropriate to study in patients with diseases like GCA with high morbidity and limited treatment options. Also, several other molecules that inhibit the GM-CSF pathway (or inhibitors of its signaling pathway such as janus kinase 2), have commenced clinical studies in other indications in the United States since 2010 which may provide additional support for our discussions with FDA.</w:t>
      </w:r>
    </w:p>
    <w:p>
      <w:pPr>
        <w:spacing w:after="0" w:line="19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believe that the trials conducted by MedImmune provide substantial support for the potential of mavrilimumab in autoimmune diseases. In these trials, mavrilimumab was observed to be well-tolerated. The most common adverse event was infection, with all dose groups (30 mg, 100 mg, 150 mg) in a Phase 2b clinical trial reporting similar rates of infection compared to the placebo group. We believe that these safety results provide an accurate early representation of the safety profile of mavrilimumab, which we believe to be at least competitive with and potentially better than existing systemically administered agents for autoimmune diseases.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Mavrilimumab's results from Phase 2b clinical trials in RA have provided important information about its safety and efficacy profile and helped solidify our choice for focusing our development efforts in GCA as a lead indication. In addition to the reductions to the primary endpoint demonstrated in the Phase 2b trials, other markers of inflammation, such as CRP, erythrocyte sedimentation rate, or ESR, and IL-6, were similarly reduced, as shown in the graphs below. CRP, ESR and IL-6 are key markers of disease activity for GCA. We believe that these results may also provide evidence for mavrilimumab's utility across a broad range of indications with a similar biomarker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118110</wp:posOffset>
            </wp:positionV>
            <wp:extent cx="5239385" cy="2052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39385"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KPL-716 Overview</w:t>
      </w:r>
    </w:p>
    <w:p>
      <w:pPr>
        <w:spacing w:after="0" w:line="198" w:lineRule="exact"/>
        <w:rPr>
          <w:sz w:val="20"/>
          <w:szCs w:val="20"/>
          <w:color w:val="auto"/>
        </w:rPr>
      </w:pPr>
    </w:p>
    <w:p>
      <w:pPr>
        <w:ind w:firstLine="436"/>
        <w:spacing w:after="0" w:line="242" w:lineRule="auto"/>
        <w:rPr>
          <w:sz w:val="20"/>
          <w:szCs w:val="20"/>
          <w:color w:val="auto"/>
        </w:rPr>
      </w:pPr>
      <w:r>
        <w:rPr>
          <w:rFonts w:ascii="Arial" w:cs="Arial" w:eastAsia="Arial" w:hAnsi="Arial"/>
          <w:sz w:val="16"/>
          <w:szCs w:val="16"/>
          <w:color w:val="auto"/>
        </w:rPr>
        <w:t>KPL-716 is a fully-human monoclonal antibody that targets OSMRb, which mediates signaling of IL-31 and OSM, two key cytokines implicated in inflammation, pruritus and fibrosis. We believe KPL-716 to be the only monoclonal antibody in development that targets both pathways simultaneously. We are initially developing KPL-716 for the treatment of prurigo nodularis and atopic dermatitis, both diseases where OSMRb signaling has been implicated. A significant portion of individuals in the United States experience at least one atopic pruritic disease during their lifetime, and it is well understood that most patients with one type of atopic condition tend to present with other allergic conditions. While we believe KPL-716 may be effective across many pruritic and fibrotic diseases, we have prioritized our development efforts based on unmet medical need and potential market opportunity. We are currently conducting a Phase 1a/1b clinical trial of KPL-716 in healthy volunteers and in subjects with atopic dermatitis as a surrogate for a range of pruritic diseases. If the results of this Phase 1a/1b clinical trial are favorable, we plan to initiate further trials in prurigo nodularis and atopic dermatitis. We expect to report preliminary data from the single dose cohorts in our Phase 1a/1b clinical trial in the second half of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acquired the assets relating to KPL-716 from Biogen MA, Inc., or Biogen, in 2016.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196" w:lineRule="exact"/>
        <w:rPr>
          <w:sz w:val="20"/>
          <w:szCs w:val="20"/>
          <w:color w:val="auto"/>
        </w:rPr>
      </w:pPr>
    </w:p>
    <w:p>
      <w:pPr>
        <w:ind w:firstLine="433"/>
        <w:spacing w:after="0" w:line="269" w:lineRule="auto"/>
        <w:rPr>
          <w:sz w:val="20"/>
          <w:szCs w:val="20"/>
          <w:color w:val="auto"/>
        </w:rPr>
      </w:pPr>
      <w:r>
        <w:rPr>
          <w:rFonts w:ascii="Arial" w:cs="Arial" w:eastAsia="Arial" w:hAnsi="Arial"/>
          <w:sz w:val="15"/>
          <w:szCs w:val="15"/>
          <w:color w:val="auto"/>
        </w:rPr>
        <w:t>The OSMRb subunit is an IL-6 type receptor which combines with one of two other subunits to form two distinct cytokine receptors used for the signaling of two different cytokines: IL-31, and OSM. IL-31 produced in the setting of an inflammatory response binds to the IL-31 receptor on keratinocytes, epidermal cells, leading to a sensation of pruritus and further inflammatory responses in the skin. In addition to interacting with IL-31 receptors on keratinocytes, IL-31 also stimulates pruritus directly through IL-31 receptors expressed on unmyelinated C-fibers in the skin responsible for the sensation and transmission of pruritic signaling.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61" w:lineRule="auto"/>
        <w:rPr>
          <w:sz w:val="20"/>
          <w:szCs w:val="20"/>
          <w:color w:val="auto"/>
        </w:rPr>
      </w:pPr>
      <w:r>
        <w:rPr>
          <w:rFonts w:ascii="Arial" w:cs="Arial" w:eastAsia="Arial" w:hAnsi="Arial"/>
          <w:sz w:val="15"/>
          <w:szCs w:val="15"/>
          <w:color w:val="auto"/>
        </w:rPr>
        <w:t>OSM is produced primarily under inflammatory conditions and stimulates dermal fibroblast proliferation and migration as well as synthesis of collagen and glycosaminoglycan in the skin, leading to fibrosis. In addition to these functions, OSM signaling through the type II OSM receptor upregulates interleukin-4, or IL-4, interleukin-13 receptor, or IL-13Ra1, and interleukin-4 receptor, or IL-4Ra, in human skin equivalent cultures, upregulates IL-4Ra in primary human keratinocytes and also impairs expression of fillagrin, loricrin and involucrin (classical "differentiation" markers of the epidermal differentiation complex cluster) in human skin equivalent cultures. These data implicate OSM signaling as important in many autoimmune diseases characterized by barrier dysfunction, fibrosis and inflammation.</w:t>
      </w:r>
    </w:p>
    <w:p>
      <w:pPr>
        <w:spacing w:after="0" w:line="172"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KPL-716 inhibits both IL-31 and OSM activities at their respective receptors, potentially disrupting the pruritus, inflammation and fibrosis mediated by these cytokine pathways.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Prurigo Nodularis and Atopic Dermatitis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Prurigo Nodularis</w:t>
      </w:r>
    </w:p>
    <w:p>
      <w:pPr>
        <w:spacing w:after="0" w:line="206" w:lineRule="exact"/>
        <w:rPr>
          <w:sz w:val="20"/>
          <w:szCs w:val="20"/>
          <w:color w:val="auto"/>
        </w:rPr>
      </w:pPr>
    </w:p>
    <w:p>
      <w:pPr>
        <w:ind w:right="40" w:firstLine="436"/>
        <w:spacing w:after="0" w:line="258" w:lineRule="auto"/>
        <w:rPr>
          <w:sz w:val="20"/>
          <w:szCs w:val="20"/>
          <w:color w:val="auto"/>
        </w:rPr>
      </w:pPr>
      <w:r>
        <w:rPr>
          <w:rFonts w:ascii="Arial" w:cs="Arial" w:eastAsia="Arial" w:hAnsi="Arial"/>
          <w:sz w:val="15"/>
          <w:szCs w:val="15"/>
          <w:color w:val="auto"/>
        </w:rPr>
        <w:t>Prurigo nodularis is a chronic inflammatory skin condition that affects primarily older adults and is characterized by multiple firm and extremely pruritic nodules typically located on the arms and legs. The etiology of prurigo nodularis is largely unknown, however, human biopsy studies have shown that IL-31, its receptor IL-31Ra, OSM and OSMRb are highly expressed in prurigo nodularis lesions. The pruritus is severe and distressing and can be sudden, sporadic or continuous, worsening with heat, sweating or irritation from clothing. The itching sensation in prurigo nodularis is extreme and often leads to scratching to the point of bleeding, infection or pain. Our market research to-date with physicians and patients highlights the severe and debilitating nature of this disease and the significant levels of unmet need. Multiple physicians have reported suicidal tendencies among their prurigo nodularis patients due to an overwhelming inability to control the unrelenting itch. The exact prevalence of prurigo nodularis is unknown, however, we estimate there to be approximately 300,000 prevalent cases in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Atopic Dermatitis</w:t>
      </w:r>
    </w:p>
    <w:p>
      <w:pPr>
        <w:spacing w:after="0" w:line="206" w:lineRule="exact"/>
        <w:rPr>
          <w:sz w:val="20"/>
          <w:szCs w:val="20"/>
          <w:color w:val="auto"/>
        </w:rPr>
      </w:pPr>
    </w:p>
    <w:p>
      <w:pPr>
        <w:ind w:right="220" w:firstLine="427"/>
        <w:spacing w:after="0" w:line="242" w:lineRule="auto"/>
        <w:rPr>
          <w:sz w:val="20"/>
          <w:szCs w:val="20"/>
          <w:color w:val="auto"/>
        </w:rPr>
      </w:pPr>
      <w:r>
        <w:rPr>
          <w:rFonts w:ascii="Arial" w:cs="Arial" w:eastAsia="Arial" w:hAnsi="Arial"/>
          <w:sz w:val="16"/>
          <w:szCs w:val="16"/>
          <w:color w:val="auto"/>
        </w:rPr>
        <w:t>Atopic dermatitis is a chronic inflammatory skin disease that affects approximately 18 million adults in the United States. Human biopsy studies have shown that IL-31, its receptor IL-31Ra, OSM and OSMRb are highly expressed in atopic dermatitis lesions. Based upon public data analyses and discussions with physicians and key opinion leaders in the field, we estimate that approximately 300,000 atopic dermatitis patients in the United States are diagnosed with a moderate-to-severe form of this disease that significantly impairs their professional and social life on a daily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Prurigo Nodularis and Atopic Dermatitis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Prurigo Nodularis</w:t>
      </w:r>
    </w:p>
    <w:p>
      <w:pPr>
        <w:spacing w:after="0" w:line="206" w:lineRule="exact"/>
        <w:rPr>
          <w:sz w:val="20"/>
          <w:szCs w:val="20"/>
          <w:color w:val="auto"/>
        </w:rPr>
      </w:pPr>
    </w:p>
    <w:p>
      <w:pPr>
        <w:ind w:right="60" w:firstLine="436"/>
        <w:spacing w:after="0" w:line="238" w:lineRule="auto"/>
        <w:rPr>
          <w:sz w:val="20"/>
          <w:szCs w:val="20"/>
          <w:color w:val="auto"/>
        </w:rPr>
      </w:pPr>
      <w:r>
        <w:rPr>
          <w:rFonts w:ascii="Arial" w:cs="Arial" w:eastAsia="Arial" w:hAnsi="Arial"/>
          <w:sz w:val="16"/>
          <w:szCs w:val="16"/>
          <w:color w:val="auto"/>
        </w:rPr>
        <w:t>We are not aware of any current FDA-approved therapies for treating prurigo nodularis, and the treatment approach ranges from topical corticosteroids and occlusive steroid containing bandages for more mild patients to systemic corticosteroid, ultraviolet phototherapy and systemic therapies such as thalidomide, methotrexate and cyclosporine for those patients who fail initial treatments. Patients have reported using opioid pain medications to attempt to control the disease in its most severe form.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Atopic Dermatitis</w:t>
      </w:r>
    </w:p>
    <w:p>
      <w:pPr>
        <w:spacing w:after="0" w:line="206"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Current therapies for atopic dermatitis are generally focused on the topical use of non-biologic small molecules, however, dupilumab (subcutaneously injected antibody directed to inhibiting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5" w:name="page126"/>
    <w:bookmarkEnd w:id="125"/>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signaling through IL-4Ra) has recently been approved by the FDA for the treatment of atopic dermatitis.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Our Solution</w:t>
      </w:r>
    </w:p>
    <w:p>
      <w:pPr>
        <w:spacing w:after="0" w:line="208" w:lineRule="exact"/>
        <w:rPr>
          <w:sz w:val="20"/>
          <w:szCs w:val="20"/>
          <w:color w:val="auto"/>
        </w:rPr>
      </w:pPr>
    </w:p>
    <w:p>
      <w:pPr>
        <w:ind w:left="4" w:right="140" w:firstLine="436"/>
        <w:spacing w:after="0" w:line="261" w:lineRule="auto"/>
        <w:rPr>
          <w:sz w:val="20"/>
          <w:szCs w:val="20"/>
          <w:color w:val="auto"/>
        </w:rPr>
      </w:pPr>
      <w:r>
        <w:rPr>
          <w:rFonts w:ascii="Arial" w:cs="Arial" w:eastAsia="Arial" w:hAnsi="Arial"/>
          <w:sz w:val="15"/>
          <w:szCs w:val="15"/>
          <w:color w:val="auto"/>
        </w:rPr>
        <w:t>KPL-716 is a fully-human monoclonal antibody that targets two key pathways for the development of pruritus, inflammation and fibrosis through inhibition of OSMRb. Chronic pruritic diseases are often characterized by a complex interplay among pruritus, inflammation and fibrosis. The pathogenesis of chronic pruritic diseases involves interlocking positive feedback loops in which pruritus causes scratch, and scratch causes reactive inflammation through mechanical disruption of the skin architecture. The decline in skin barrier function and resulting bacterial colonization or infection ultimately increase extracellular matrix formation and collagen deposition, leading to fibrosis. Fibrosis then begets more pruritus through disruption and dysregulation of sensory nerve fiber expression.</w:t>
      </w:r>
    </w:p>
    <w:p>
      <w:pPr>
        <w:spacing w:after="0" w:line="172" w:lineRule="exact"/>
        <w:rPr>
          <w:sz w:val="20"/>
          <w:szCs w:val="20"/>
          <w:color w:val="auto"/>
        </w:rPr>
      </w:pPr>
    </w:p>
    <w:p>
      <w:pPr>
        <w:ind w:left="4" w:right="140" w:firstLine="436"/>
        <w:spacing w:after="0" w:line="237" w:lineRule="auto"/>
        <w:rPr>
          <w:sz w:val="20"/>
          <w:szCs w:val="20"/>
          <w:color w:val="auto"/>
        </w:rPr>
      </w:pPr>
      <w:r>
        <w:rPr>
          <w:rFonts w:ascii="Arial" w:cs="Arial" w:eastAsia="Arial" w:hAnsi="Arial"/>
          <w:sz w:val="16"/>
          <w:szCs w:val="16"/>
          <w:color w:val="auto"/>
        </w:rPr>
        <w:t>Current therapies target only one or two aspects of this complex pathophysiology and are inevitably limited in their effectiveness. Targeting only one pathway may address a single aspect of the symptomatology, e.g., pruritus, but not the full spectrum of the pathophysiologic components of the disease. This point is particularly relevant since OSM is upregulated in many chronic inflammatory skin diseases and synergistically interacts with pruritic and inflammatory pathways. Of particular relevance is the central role of OSM in inflammation and barrier function and its autocrine effects on type II OSM receptor in IL-31-dependent epidermal proliferation and remodeling as well as inflammation.</w:t>
      </w:r>
    </w:p>
    <w:p>
      <w:pPr>
        <w:spacing w:after="0" w:line="177" w:lineRule="exact"/>
        <w:rPr>
          <w:sz w:val="20"/>
          <w:szCs w:val="20"/>
          <w:color w:val="auto"/>
        </w:rPr>
      </w:pPr>
    </w:p>
    <w:p>
      <w:pPr>
        <w:ind w:left="4" w:right="80" w:firstLine="433"/>
        <w:spacing w:after="0" w:line="254" w:lineRule="auto"/>
        <w:rPr>
          <w:sz w:val="20"/>
          <w:szCs w:val="20"/>
          <w:color w:val="auto"/>
        </w:rPr>
      </w:pPr>
      <w:r>
        <w:rPr>
          <w:rFonts w:ascii="Arial" w:cs="Arial" w:eastAsia="Arial" w:hAnsi="Arial"/>
          <w:sz w:val="16"/>
          <w:szCs w:val="16"/>
          <w:color w:val="auto"/>
        </w:rPr>
        <w:t>There is a relatively large body of literature linking inflammatory pruritic and inflammatory diseases to both IL-31 and OSM via signaling though OSMRb. KPL-716 has been specifically designed to target both pathways simultaneously and thus KPL-716 may disrupt this pathologic cycle in patients afflicted by prurigo nodularis and atopic dermatitis.</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Pre-clinical Development</w:t>
      </w:r>
    </w:p>
    <w:p>
      <w:pPr>
        <w:spacing w:after="0" w:line="206" w:lineRule="exact"/>
        <w:rPr>
          <w:sz w:val="20"/>
          <w:szCs w:val="20"/>
          <w:color w:val="auto"/>
        </w:rPr>
      </w:pPr>
    </w:p>
    <w:p>
      <w:pPr>
        <w:ind w:left="444"/>
        <w:spacing w:after="0"/>
        <w:rPr>
          <w:sz w:val="20"/>
          <w:szCs w:val="20"/>
          <w:color w:val="auto"/>
        </w:rPr>
      </w:pPr>
      <w:r>
        <w:rPr>
          <w:rFonts w:ascii="Arial" w:cs="Arial" w:eastAsia="Arial" w:hAnsi="Arial"/>
          <w:sz w:val="15"/>
          <w:szCs w:val="15"/>
          <w:color w:val="auto"/>
        </w:rPr>
        <w:t>In our pre-clinical development program we have observed favorable pharmacokinetics and toxicology characteristics to support clinical development of KPL-</w:t>
      </w:r>
    </w:p>
    <w:p>
      <w:pPr>
        <w:spacing w:after="0" w:line="8" w:lineRule="exact"/>
        <w:rPr>
          <w:sz w:val="20"/>
          <w:szCs w:val="20"/>
          <w:color w:val="auto"/>
        </w:rPr>
      </w:pPr>
    </w:p>
    <w:p>
      <w:pPr>
        <w:ind w:left="4" w:right="140" w:hanging="4"/>
        <w:spacing w:after="0" w:line="237" w:lineRule="auto"/>
        <w:tabs>
          <w:tab w:leader="none" w:pos="3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KPL-716 has shown signs of efficacy in two non-human primate models. In the first, KPL-716 abrogated the pharmacodynamic marker of pruritus in an IL-31 challenge model. A single three milligram per kilogram dose of KPL-716 substantially reduced scratch counts despite multiple repeated injections of IL-31 over several weeks at concentrations we believe to be supraphysiologic in a disease context. In the second non-human primate model, KPL-716 again abrogated the painful response to an injection to an inflammatory agent called carrageenan through the time period measured after a single infusion of KPL-716, implicating OSM in the inflammatory response. We have conducted pre-clinical toxicology studies for KPL-716 with a no adverse event level of 500 milligrams per kilogram with intravenous dosing.</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Phase 1a/1b Clinical Trial</w:t>
      </w:r>
    </w:p>
    <w:p>
      <w:pPr>
        <w:spacing w:after="0" w:line="206"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In early 2017, we filed an IND application and began clinical development with KPL-716 in a Phase 1a/1b clinical trial in healthy volunteers and in subjects with moderate-to-severe atopic dermatitis experiencing moderate-to-severe pruritus, respectively. The trial uses a double-blind, randomized, placebo-controlled, sequential-group design to evaluate the safety, tolerability, pharmacokinetics and immunogenicity of KPL-716 in male and female subjects. In addition, in the single-dose Phase 1b portion of the trial, the cohorts of subjects with moderate-to-severe atopic dermatitis received dose levels of KPL-716 that could show an early signal of efficacy in reducing pruritus as an exploratory endpoint using a validated Numerical Rating Score which measures pruritus intensity. We have completed dosing in the first portion of the Phase 1a/1b clinical trial,</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which is a single ascending dose design. Each dosing cohort received a single dose of KPL-716 administered intravenously or subcutaneously. In the second portion of the Phase 1b clinical trial, each subject will receive repeated single doses of KPL-716 administered subcutaneously. We expect to report preliminary data from the single ascending dose cohorts of this portion of this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w:t>
      </w:r>
    </w:p>
    <w:p>
      <w:pPr>
        <w:spacing w:after="0" w:line="189"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We are also conducting an observational study in prurigo nodularis patients called LOTUS-PN. Our LOTUS-PN study will explore the extent to which clinical endpoints correlate with mechanistic biomarkers. In consideration of the importance of humanistic parameters, the LOTUS-PN study will also examine the impact of prurigo nodularis and various treatment options on quality of life. Ultimately, the LOTUS-PN study will seek to provide a better understanding of the clinical presentation and course of prurigo nodularis: its pathogenesis, treatment regimens, outcomes and inter- and intra-patient variability.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Pre-clinical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KPL-045</w:t>
      </w:r>
    </w:p>
    <w:p>
      <w:pPr>
        <w:spacing w:after="0" w:line="208"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KPL-045 is a fully-human monoclonal antibody that is designed to inhibit the CD30-CD30 ligand interaction, a co-stimulatory signal helpful in activating and sustaining memory T-cells. The majority of the therapeutics in development modulating the CD30-CD30 ligand interaction are depleting or conjugated to a toxin for the use in hematological malignancies. To our knowledge, KPL-045 is the only non-depleting antibody targeting primarily autoimmune disease in active clinical development. In August 2017, we licensed this antibody from Novo Nordisk.</w:t>
      </w:r>
    </w:p>
    <w:p>
      <w:pPr>
        <w:spacing w:after="0" w:line="187" w:lineRule="exact"/>
        <w:rPr>
          <w:sz w:val="20"/>
          <w:szCs w:val="20"/>
          <w:color w:val="auto"/>
        </w:rPr>
      </w:pPr>
    </w:p>
    <w:p>
      <w:pPr>
        <w:ind w:right="440" w:firstLine="436"/>
        <w:spacing w:after="0" w:line="239" w:lineRule="auto"/>
        <w:rPr>
          <w:sz w:val="20"/>
          <w:szCs w:val="20"/>
          <w:color w:val="auto"/>
        </w:rPr>
      </w:pPr>
      <w:r>
        <w:rPr>
          <w:rFonts w:ascii="Arial" w:cs="Arial" w:eastAsia="Arial" w:hAnsi="Arial"/>
          <w:sz w:val="16"/>
          <w:szCs w:val="16"/>
          <w:color w:val="auto"/>
        </w:rPr>
        <w:t>In pre-clinical development, of KPL-045 has been observed to have a favorable pharmacokinetic profile to support further development. KPL-045 has demonstrated single-digit nanomolar potency against both human and cynomolgus non-human primate CD30L. We are planning IND-enabling studies in T-cell dependent, B-cell mediated diseases, and expect to file an IND with the FDA for this program in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KPL-404</w:t>
      </w:r>
    </w:p>
    <w:p>
      <w:pPr>
        <w:spacing w:after="0" w:line="208"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KPL-404 is a humanized monoclonal antibody that is designed to inhibit the CD40-CD40 ligand interaction, a key T-cell co-stimulatory signal critical for B-cell maturation and immunoglobulin class switching. We have a license to conduct research and development on KPL-404 from Primatope Therapeutics, Inc., or Primatope, the company that owns or controls the intellectual property related to KPL-404. We also have an exclusive option to acquire all outstanding capital stock of Primatope, which, subject to extension, is exercisable until January 2019.</w:t>
      </w:r>
    </w:p>
    <w:p>
      <w:pPr>
        <w:spacing w:after="0" w:line="187"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In pre-clinical development, KPL-404 has been observed to have a favorable pharmacokinetic and toxicology profile to support further development. KPL-404 has been effective in multiple non-human primate models of organ transplant rejection, as well as in multiple T-cell dependent antibody response models. We are planning IND-enabling studies in T-cell dependent, B-cell mediated diseases, and expect to file an IND with the FDA for this program in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Discovery Activities</w:t>
      </w:r>
    </w:p>
    <w:p>
      <w:pPr>
        <w:spacing w:after="0" w:line="210"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We have initiated internal discovery activities directed toward wholly owned molecules for the treatment of autoinflammatory and autoimmune disease targets where we believe there to be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strong mechanistic rationale and clear differentiation from existing approved agents or those in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License and Acquisition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Regeneron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September 2017, we entered into a license agreement with Regeneron, or the Regeneron Agreement. Pursuant to the Regeneron Agreement, Regeneron granted us an exclusive license under certain intellectual property rights controlled by Regeneron to develop and commercialize rilonacept worldwide, aside from Israel, Egypt, Turkey and select countries in the Middle East and northern Africa, which we refer to collectively as the Excluded Territory. In the United States and Japan, our license is initially for all indications other than those involving local administration to the eye or ear, oncology, deficiency of the interleukin-1 receptor antagonist, or DIRA, and CAPS. If we are successful in receiving marketing approval for rilonacept in the United States for a new indication, the scope of the license granted to us will automatically expand to include DIRA and CAPS in the United States and Japan, and we will assume the sales and distribution of rilonacept in these additional indications. Outside the U.S. and Japan, our license is for all indications other than local application to the eye or ear, oncology, CAPS, DIRA and certain periodic fever syndromes set forth in the Regeneron Agreement, collectively the Excluded Indications. Under the Regeneron Agreement, we are obligated to use commercially reasonable efforts to develop and commercialize rilonacept outside of the Excluded Indications in our territory. Upon receiving positive data in a Phase 3 clinical trial, Regeneron will transfer the BLA for rilonacept to us.</w:t>
      </w:r>
    </w:p>
    <w:p>
      <w:pPr>
        <w:spacing w:after="0" w:line="193"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We made an upfront payment of $5.0 million to Regeneron and are obligated to make regulatory milestone payments of up to $27.5 million in the aggregate. Thereafter, we have agreed to evenly split profits on our sales of rilonacept with Regeneron after deducting certain commercialization expenses subject to specified limits.</w:t>
      </w:r>
    </w:p>
    <w:p>
      <w:pPr>
        <w:spacing w:after="0" w:line="186"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Regeneron has a right of first negotiation over our engagement of third parties to support our promotional activities in excess of a specified level and over the assignment or sale of our rights to any product we develop under the Regeneron Agreement to a third-party. Furthermore under certain circumstances, we will need Regeneron's prior consent to assign our rights under the Regeneron Agreement.</w:t>
      </w:r>
    </w:p>
    <w:p>
      <w:pPr>
        <w:spacing w:after="0" w:line="18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Regeneron Agreement will expire on the date on which we, our affiliates or sublicensees are no longer developing or commercializing any product containing rilonacept. We may terminate the agreement for convenience at any time after the date that is 18 months after the effective date of the agreement with 180 days' written notice or one year's written notice if we terminate the agreement following U.S. marketing approval of a rilonacept product developed by us. We may also terminate with three months' written notice if we reasonably determine that rilonacept is unsafe in the indications we are pursuing. Regeneron may terminate the agreement if there is a consecutive twelve (12) month period during which we do not conduct any material development or commercialization activities or we do not grant a sublicense to a third-party to do so, or if we challenge Regeneron's patent rights in any country in our territory. Either party may terminate the agreement in the event of a material breach by the other party that remains uncured for 90 days (or 30 days for payment-related breaches), or by either party due to the insolvency or bankruptcy of the other party.</w:t>
      </w:r>
    </w:p>
    <w:p>
      <w:pPr>
        <w:spacing w:after="0" w:line="187" w:lineRule="exact"/>
        <w:rPr>
          <w:sz w:val="20"/>
          <w:szCs w:val="20"/>
          <w:color w:val="auto"/>
        </w:rPr>
      </w:pPr>
    </w:p>
    <w:p>
      <w:pPr>
        <w:ind w:right="60" w:firstLine="436"/>
        <w:spacing w:after="0" w:line="262" w:lineRule="auto"/>
        <w:rPr>
          <w:sz w:val="20"/>
          <w:szCs w:val="20"/>
          <w:color w:val="auto"/>
        </w:rPr>
      </w:pPr>
      <w:r>
        <w:rPr>
          <w:rFonts w:ascii="Arial" w:cs="Arial" w:eastAsia="Arial" w:hAnsi="Arial"/>
          <w:sz w:val="15"/>
          <w:szCs w:val="15"/>
          <w:color w:val="auto"/>
        </w:rPr>
        <w:t>We have also entered into a clinical supply agreement with Regeneron, or the Supply Agreement. Pursuant to the Supply Agreement, Regeneron has the exclusive right to manufacture and supply all of our requirements of rilonacept for clinical development. If Regeneron determines to discontinue the supply of rilonacept to us, it must use its reasonable efforts to transfer all relevant documentation, materials and technology necessary for the manufacture of rilonacept to 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or our designee. The Supply Agreement terminates upon the termination of the Regeneron Agreement or the transfer of technology related to the bulk manufacture of rilonacept.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MedImmune</w:t>
      </w:r>
    </w:p>
    <w:p>
      <w:pPr>
        <w:spacing w:after="0" w:line="20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December 2017, we entered into a license agreement with MedImmune, or the MedImmune Agreement. Pursuant to the MedImmune Agreement, MedImmune granted us an exclusive, worldwide license under certain intellectual property rights controlled by MedImmune to make, use, develop and commercialize mavrilimumab and any other product containing an antibody to the GM-CSF receptor alpha that is covered by certain MedImmune patent rights for all indications. We also acquired non-exclusive licenses to other MedImmune technology for use in exploiting licensed products. We may sublicense these rights subject to consent of MedImmune and any applicable licensors of rights under which we are licensed. We also acquired reference rights to relevant manufacturing and regulatory documents, and existing inventory of mavrilimumab drug substance. We must use commercially reasonable efforts to develop and commercialize the licensed products.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made an upfront payment of $8.0 million to MedImmune and are obligated to make future clinical, regulatory and initial sales milestone payments of up to $72.5 million in the aggregate for the first two indications, including a milestone payment of $10.0 million upon the earlier to occur of a specified regulatory milestone and December 31, 2018, and clinical and regulatory milestone payments of up to $15.0 million in the aggregate for each subsequent indication. We are also obligated to make milestone payments to MedImmune of up to $85.0 million upon the achievement of annual net sales thresholds up to, but excluding, $1.0 billion in annual net sales as well as additional milestone payments aggregating up to $1.1 billion upon the achievement of additional annual net sales thresholds starting at $1.0 billion and higher. Commencing on the first commercial sale of licensed products, we are obligated to pay tiered royalties on escalating tiers of annual net sales of licensed products starting in the low double-digit percentages and ending at twenty percent. We must pay such royalties on a product-by-product and country-by-country basis until the latest to occur of the expiration of licensed patents, the expiration of regulatory exclusivity or the tenth anniversary of first commercial sale of such product in such country.</w:t>
      </w:r>
    </w:p>
    <w:p>
      <w:pPr>
        <w:spacing w:after="0" w:line="186"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countries where licensed patents have issued, the statutory expiration date is 2027, not including any patent term extensions or adjustments. While the current expected 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patent applications related to mavrilimumab, the granting of pending applications or future patent applications could extend the relevant statutory expiration dates beyond 2027. The expiration date of regulatory exclusivity is determined on a country-by country-basis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country-by-country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 12 years from the date on which the reference product was first licensed. In the European Union, new products authorized for marketing may qualify for eight years of data exclusivity and an additional two years of market exclusivity upon marketing authorization. The two-year period may be extended to three years if during the first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six-month period of pediatric exclusivity may be available as an extension to any existing non-patent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193" w:lineRule="exact"/>
        <w:rPr>
          <w:sz w:val="20"/>
          <w:szCs w:val="20"/>
          <w:color w:val="auto"/>
        </w:rPr>
      </w:pPr>
    </w:p>
    <w:p>
      <w:pPr>
        <w:ind w:right="80" w:firstLine="433"/>
        <w:spacing w:after="0" w:line="239" w:lineRule="auto"/>
        <w:rPr>
          <w:sz w:val="20"/>
          <w:szCs w:val="20"/>
          <w:color w:val="auto"/>
        </w:rPr>
      </w:pPr>
      <w:r>
        <w:rPr>
          <w:rFonts w:ascii="Arial" w:cs="Arial" w:eastAsia="Arial" w:hAnsi="Arial"/>
          <w:sz w:val="16"/>
          <w:szCs w:val="16"/>
          <w:color w:val="auto"/>
        </w:rPr>
        <w:t>The MedImmune Agreement will remain in effect until the expiration of the royalty term in all countries for all licensed products. The MedImmune Agreement may be terminated earlier at any time by us with at least 90 days' prior notice, by either party in the event of material breach by the other party that remains uncured for 90 days, by either party for insolvency or bankruptcy of the other party, or immediately by MedImmune if we challenge the licensed patents.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Biogen Asset Purchase Agreement</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September 2016, we completed the acquisition of certain assets of Biogen pursuant to an asset purchase agreement, or the Biogen Agreement. Pursuant to the Biogen Agreement, we acquired all of Biogen's right, title and interest in and to certain assets used in or relating to KPL-716 and other antibodies covered by certain patent rights, together the Acquired Assets, including patents and other intellectual property rights, clinical data, certain contracts, know-how and inventory. In addition, Biogen granted us a non-exclusive, sublicensable, worldwide license to certain background patent rights related the KPL-716 program. Under the Biogen Agreement, we are obligated to use commercially reasonable efforts to develop and commercialize the Acquired Assets.</w:t>
      </w:r>
    </w:p>
    <w:p>
      <w:pPr>
        <w:spacing w:after="0" w:line="189"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Biogen Agreement, we made an upfront payment of $11.5 million and a technology transfer payment of $0.5 million to Biogen. In addition, we made a milestone payment of $4.0 million during the year ended December 31, 2017 associated with the achievement of a specified clinical milestone event. We are also obligated to make future milestone payments for each antibody product that includes the Acquired Assets, or an Antibody Product, of up to $325.0 million in the aggregate upon the achievement of specified milestones. These milestone payments relate to multiple indications for an Antibody Product, and are comprised of up to $175.0 million in the aggregate upon achievement of specified clinical and regulatory milestone events and $150.0 million in the aggregate upon the achievement of specified annual net sales thresholds. Commencing on the first commercial sale of an Antibody Product, we are obligated to pay tiered royalties on escalating tiers of annual net sales of licensed products starting in the high single-digit percentages and ending below the teens. We must pay such royalties on a product-by-product and country-by-country basis until the latest to occur of the expiration of patents that cover an Antibody Product, the expiration of regulatory exclusivity or the tenth anniversary of first commercial sale of such product in such country. We have also agreed to pay certain obligations under third-party contracts retained by Biogen that relate to KPL-716.</w:t>
      </w:r>
    </w:p>
    <w:p>
      <w:pPr>
        <w:spacing w:after="0" w:line="193" w:lineRule="exact"/>
        <w:rPr>
          <w:sz w:val="20"/>
          <w:szCs w:val="20"/>
          <w:color w:val="auto"/>
        </w:rPr>
      </w:pPr>
    </w:p>
    <w:p>
      <w:pPr>
        <w:ind w:right="660" w:firstLine="436"/>
        <w:spacing w:after="0" w:line="241" w:lineRule="auto"/>
        <w:rPr>
          <w:sz w:val="20"/>
          <w:szCs w:val="20"/>
          <w:color w:val="auto"/>
        </w:rPr>
      </w:pPr>
      <w:r>
        <w:rPr>
          <w:rFonts w:ascii="Arial" w:cs="Arial" w:eastAsia="Arial" w:hAnsi="Arial"/>
          <w:sz w:val="16"/>
          <w:szCs w:val="16"/>
          <w:color w:val="auto"/>
        </w:rPr>
        <w:t>In countries where patents covering Antibody Products have issued, the statutory expiration date is 2034, not including any patent term extensions or adjustments. While the current expected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patent applications related to Antibody Products, the granting of pending applications or future patent applications could extend the relevant statutory expiration dates beyond 2034. The expiration date of regulatory exclusivity is determined on a country-by country-basis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country-by-country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 12 years from the date on which the reference product was first licensed. In the European Union, new products authorized for marketing may qualify for eight years of data exclusivity and an additional two years of market exclusivity upon marketing authorization. The two-year period may be extended to three years if during the first 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six-month period of pediatric exclusivity may be available as an extension to any existing non-patent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193"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Under the Biogen Agreement, Biogen has a time-limited right of first negotiation to purchase the assets we acquired from Biogen or obtain a license to exploit Antibody Products, in each case, in the event we decide to sell the acquired assets, including through the sale of our company, or out-license the rights to the Antibody Products.</w:t>
      </w:r>
    </w:p>
    <w:p>
      <w:pPr>
        <w:spacing w:after="0" w:line="186" w:lineRule="exact"/>
        <w:rPr>
          <w:sz w:val="20"/>
          <w:szCs w:val="20"/>
          <w:color w:val="auto"/>
        </w:rPr>
      </w:pPr>
    </w:p>
    <w:p>
      <w:pPr>
        <w:ind w:right="120" w:firstLine="433"/>
        <w:spacing w:after="0" w:line="257" w:lineRule="auto"/>
        <w:rPr>
          <w:sz w:val="20"/>
          <w:szCs w:val="20"/>
          <w:color w:val="auto"/>
        </w:rPr>
      </w:pPr>
      <w:r>
        <w:rPr>
          <w:rFonts w:ascii="Arial" w:cs="Arial" w:eastAsia="Arial" w:hAnsi="Arial"/>
          <w:sz w:val="15"/>
          <w:szCs w:val="15"/>
          <w:color w:val="auto"/>
        </w:rPr>
        <w:t>The Biogen Agreement will remain in effect until expiration of all payment obligations in all countries related to the last antibody product subject to the Biogen Agreement. The Biogen Agreement may be terminated by us with 90 days' prior notice, by either party in the event of a material breach by the other party that remains uncured for 90 days (or 30 days for payment-related breaches) or by both parties upon mutual consent. In the event of a termination, the Acquired Assets, including certain licenses and rights related thereto, will revert to Biogen, and, upon written request by Biogen, we are required to grant to Biogen an exclusive, worldwide, sub-licensable license to certain of our intellectual property related to the Acquired Assets, including know-how and patent 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10"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We rely on third parties to manufacture all of our product candidates. We have entered into a clinical supply agreement with Regeneron to manufacture and supply rilonacept for our clinical trials. Regeneron has also agreed to provide commercial drug material until at least the later of four years after U.S. marketing approval or seven years after the effective date of the agreement.</w:t>
      </w:r>
    </w:p>
    <w:p>
      <w:pPr>
        <w:spacing w:after="0" w:line="186"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We believe that we have sufficient quantities of drug substance to supply our planned Phase 2 clinical trial of mavrilimumab for the treatment of GCA. We also acquired a certain amount of finished mavrilimumab drug product that we plan to use in this clinical trial, and we intend to enter into a fill/finish supply agreement with a contract manufacturing organization, or CMO, to produce additional finished mavrilimumab drug product from our current inventory of drug substance. We plan to identify and enter into an agreement with a CMO to produce mavrilimumab drug substance beyond our existing inventory for any further clinical trials and eventual commercialization of mavrilimumab, if approved. There are certain components, for example, media and feed, used to produce our current mavrilimumab inventory that we will not use in our future manufacturing process. We and any CMO that we enter into agreement with to manufacture mavrilimumab will need to find alternative components to replace the media and feed that had been used by MedImmune to date in the manufacture of mavrilimumab.</w:t>
      </w:r>
    </w:p>
    <w:p>
      <w:pPr>
        <w:spacing w:after="0" w:line="177" w:lineRule="exact"/>
        <w:rPr>
          <w:sz w:val="20"/>
          <w:szCs w:val="20"/>
          <w:color w:val="auto"/>
        </w:rPr>
      </w:pPr>
    </w:p>
    <w:p>
      <w:pPr>
        <w:jc w:val="both"/>
        <w:ind w:right="220" w:firstLine="436"/>
        <w:spacing w:after="0" w:line="239" w:lineRule="auto"/>
        <w:rPr>
          <w:sz w:val="20"/>
          <w:szCs w:val="20"/>
          <w:color w:val="auto"/>
        </w:rPr>
      </w:pPr>
      <w:r>
        <w:rPr>
          <w:rFonts w:ascii="Arial" w:cs="Arial" w:eastAsia="Arial" w:hAnsi="Arial"/>
          <w:sz w:val="16"/>
          <w:szCs w:val="16"/>
          <w:color w:val="auto"/>
        </w:rPr>
        <w:t>We acquired a certain amount of KPL-716 drug substance from Biogen from which we produced KPL-716 drug product using a CMO. In addition, we have engaged CMOs to manufacture KPL-716 drug substance and product for further clinical development activities. We intend to continue using CMOs to develop our manufacturing process and scale-up for any future clinical trials and eventual commercialization of KPL-716, if approved.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using CMOs to produce our pre-clinical product candidates, KPL-045 and KPL-404, for our planned IND-enabling studies.</w:t>
      </w:r>
    </w:p>
    <w:p>
      <w:pPr>
        <w:spacing w:after="0" w:line="19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of our CMOs. We currently rely solely on these third-party manufacturers for scale-up and process development work and to produce sufficient quantities of product candidate for use in pre-clinical studies and clinical trials. Although we have plans to establish our own manufacturing capabilities to support certain pre-clinical and early clinical-stage production of product candidates, we intend to continue to rely on third-party manufacturers for clinical and commercial supply of our product candidates. We anticipate that these CMOs will have the capacity to support both clinical supply and commercial-scale production, but we do not have any formal agreements at this time with any of these CMOs to cover commercial production. We also may elect to pursue additional CMOs for manufacturing supplies of drug substance and finished drug product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Operations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team is experienced in commercial leadership and we intend to expand our capabilities in parallel with the development path of our product candidates. If the FDA approves rilonacept for recurrent pericarditis, we intend to market and commercialize rilonacept in the United States by developing our own sales, marketing and medical affairs organizations targeting a subset of cardiologists and rheumatologists currently treating pericarditis. For our other product candidates, we intend to establish commercialization strategies for each as we approach potential marketing approval and, due to the specialization among physicians treating the indications we are targeting, we expect to be able leverage our then-existing sales, marketing and medical affairs organizations.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0"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Any product candidates that we successfully develop and commercialize, including rilonacept, mavrilimumab and KPL-716, may compete with existing products and new products that may become available in the future.</w:t>
      </w:r>
    </w:p>
    <w:p>
      <w:pPr>
        <w:spacing w:after="0" w:line="187"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key competitive factors affecting the success of rilonacept, mavrilimumab and KPL-716, and any other product candidates that we develop, if approved, are likely to be their efficacy, safety, convenience, price, the level of generic competition and the availability of reimbursement from government and other third-party payors. 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products.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aware of the following products currently marketed or in clinical development for the treatment of the diseases that we are initially targeting: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Rilonacept</w:t>
      </w:r>
    </w:p>
    <w:p>
      <w:pPr>
        <w:spacing w:after="0" w:line="206" w:lineRule="exact"/>
        <w:rPr>
          <w:sz w:val="20"/>
          <w:szCs w:val="20"/>
          <w:color w:val="auto"/>
        </w:rPr>
      </w:pPr>
    </w:p>
    <w:p>
      <w:pPr>
        <w:ind w:firstLine="436"/>
        <w:spacing w:after="0" w:line="246" w:lineRule="auto"/>
        <w:rPr>
          <w:sz w:val="20"/>
          <w:szCs w:val="20"/>
          <w:color w:val="auto"/>
        </w:rPr>
      </w:pPr>
      <w:r>
        <w:rPr>
          <w:rFonts w:ascii="Arial" w:cs="Arial" w:eastAsia="Arial" w:hAnsi="Arial"/>
          <w:sz w:val="16"/>
          <w:szCs w:val="16"/>
          <w:color w:val="auto"/>
        </w:rPr>
        <w:t>We are not aware of any therapies currently approved by the FDA for the treatment of recurrent pericarditis, our lead indication for rilonacept. Anakina (KINERET), produced by Sobi, Inc., is an FDA-approved agent that inhibits IL-1a and IL-1b signaling and is approved for RA and CAPS. Canakinumab (ILARIS), produced by Novartis Pharmaceuticals Corporation, is a monoclonal antibody which inhibits IL-1b signaling and is approved for use in CAPS, tumor necrosis factor receptor associated period syndrome, hyperimmunoglobulin D syndrome, familiar Mediterranean fever and active systemic juvenile idiopathic arthritis. There are also other therapies modulating IL-1a and/or IL-1b which are in various stages of clinical development for diseases other than recurrent pericarditis from AbbVie, Inc., or AbbVie, XBiotech Inc. and Handok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Mavrilimumab</w:t>
      </w:r>
    </w:p>
    <w:p>
      <w:pPr>
        <w:spacing w:after="0" w:line="206" w:lineRule="exact"/>
        <w:rPr>
          <w:sz w:val="20"/>
          <w:szCs w:val="20"/>
          <w:color w:val="auto"/>
        </w:rPr>
      </w:pPr>
    </w:p>
    <w:p>
      <w:pPr>
        <w:ind w:right="20" w:firstLine="433"/>
        <w:spacing w:after="0" w:line="238" w:lineRule="auto"/>
        <w:rPr>
          <w:sz w:val="20"/>
          <w:szCs w:val="20"/>
          <w:color w:val="auto"/>
        </w:rPr>
      </w:pPr>
      <w:r>
        <w:rPr>
          <w:rFonts w:ascii="Arial" w:cs="Arial" w:eastAsia="Arial" w:hAnsi="Arial"/>
          <w:sz w:val="16"/>
          <w:szCs w:val="16"/>
          <w:color w:val="auto"/>
        </w:rPr>
        <w:t>Tocilizumab (ACTEMRA), produced by Hoffmann — La Roche AG, or Roche, and Chugai Pharmaceutical Co., Ltd., is an IL-6 inhibitor that is approved by the FDA for the treatment of GCA on top of a concomitant corticosteroid taper. There are also four other programs in clinical development that modulate GM-CSF signaling from GlaxoSmithKline plc, or GSK, Izana Bioscience Ltd., Morphotek, Inc. and Humanigen, Inc. In addition, Eli Lilly and AbbVie are conducting clinical trials for oral janus kinase inhibitors, and Sanofi S.A. and Regeneron intend to initiate a Phase 3 clinical trial with their anti-IL-6 program in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KPL-716</w:t>
      </w:r>
    </w:p>
    <w:p>
      <w:pPr>
        <w:spacing w:after="0" w:line="20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We are not aware of any therapies currently approved by the FDA for the treatment of prurigo nodularis. Menlo Therapeutics Inc., Vanda Pharmaceuticals Inc., Trevi Therapeutics, Inc. and Galderma SA, or Galderma, have programs in various stages of clinical development for the treatment of prurigo nodularis.</w:t>
      </w:r>
    </w:p>
    <w:p>
      <w:pPr>
        <w:spacing w:after="0" w:line="185" w:lineRule="exact"/>
        <w:rPr>
          <w:sz w:val="20"/>
          <w:szCs w:val="20"/>
          <w:color w:val="auto"/>
        </w:rPr>
      </w:pPr>
    </w:p>
    <w:p>
      <w:pPr>
        <w:ind w:right="380" w:firstLine="433"/>
        <w:spacing w:after="0" w:line="239" w:lineRule="auto"/>
        <w:rPr>
          <w:sz w:val="20"/>
          <w:szCs w:val="20"/>
          <w:color w:val="auto"/>
        </w:rPr>
      </w:pPr>
      <w:r>
        <w:rPr>
          <w:rFonts w:ascii="Arial" w:cs="Arial" w:eastAsia="Arial" w:hAnsi="Arial"/>
          <w:sz w:val="16"/>
          <w:szCs w:val="16"/>
          <w:color w:val="auto"/>
        </w:rPr>
        <w:t>The FDA recently approved Regeneron's dupilumab, an antibody that inhibits signaling through the interleukin 4 receptor, to treat atopic dermatitis. Other companies currently developing systemic therapies for atopic dermatitis include Roche, Dermira, Inc., Galderma, Asana BioSciences, LLC, Eli Lilly and Co., Pfizer Inc., AbbVie, Glenmark Pharmaceuticals Ltd., GSK, LEO Pharma Inc., Incyte Corporation, Dermavant Sciences, Inc. and AnaptsysBio, Inc.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Our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We plan to protect our proprietary position using a variety of methods, which include pursuing U.S. and foreign patent applications related to our proprietary technology, inventions and improvements, including compositions of matter and methods-of-use, that are important to the development and implementation of our business. For example, we or our licensors have or are pursuing patents covering the composition of matter for each of our product candidates and we generally pursue patent protection covering methods-of-use for each clinical program. We also rely on trade secrets, know-how, continuing technological innovation and potential in-licensing opportunities to develop and maintain our proprietary position.</w:t>
      </w:r>
    </w:p>
    <w:p>
      <w:pPr>
        <w:spacing w:after="0" w:line="18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We have a field-specific exclusive license under the Regeneron Agreement to granted patents and pending applications in the United States and numerous foreign jurisdictions relating to rilonacept. As of March 31, 2018, the patent rights in-licensed under the Regeneron Agreement relating to our program include one granted patent in the United States and 53 patents granted in foreign jurisdictions, including Canada, Australia, Brazil and selected countries in Europe and Asia. In addition, the patent rights in-licensed under the Regeneron Agreement relating to our program include patent applications that are pending in the United States. A U.S. patent covering rilonacept as a composition of matter has a statutory expiration date in 2019, not including patent term adjustment, and relevant foreign counterparts are expected to expire between 2019 and 2023, in each case, not including any patent term extensions. If we are successful in obtaining regulatory approval of rilonacept for the treatment of recurrent pericarditis, we expect to rely on orphan exclusivity, which generally grants seven years of marketing exclusivity in the United States and 10 years of marketing exclusivity in Europe. See "—License Agreement with Regeneron" above for additional information on our rights under the Regeneron Agreement.</w:t>
      </w:r>
    </w:p>
    <w:p>
      <w:pPr>
        <w:spacing w:after="0" w:line="186"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an exclusive license under the MedImmune Agreement to granted patents and pending patent applications in the United States and numerous foreign jurisdictions relating to mavrilimumab. These patents and patent applications cover mavrilimumab as a composition of matter and its use. As of March 31, 2018, the patent rights in-licensed under the MedImmune Agreement relating to our program include three granted patents in the United States and 105 patents granted in foreign jurisdictions, including Canada, Australia and selected countries in Europe and Asia. In addition, the patent rights in-licensed under the MedImmune Agreement relating to our program include patent applications that are pending in the United States and selected countries in Asia and Latin America. The composition of matter patents for mavrilimumab generally have statutory expiration dates in 2027, although the term of some U.S. patents may be longer due to patent term adjustment to compensate for delays during the patent prosecution process. Patent term extension could extend the expiration date of one patent in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41" w:lineRule="auto"/>
        <w:rPr>
          <w:sz w:val="20"/>
          <w:szCs w:val="20"/>
          <w:color w:val="auto"/>
        </w:rPr>
      </w:pPr>
      <w:r>
        <w:rPr>
          <w:rFonts w:ascii="Arial" w:cs="Arial" w:eastAsia="Arial" w:hAnsi="Arial"/>
          <w:sz w:val="16"/>
          <w:szCs w:val="16"/>
          <w:color w:val="auto"/>
        </w:rPr>
        <w:t>and patents in certain other jurisdictions, each in accordance with applicable law. There can be no assurances that patents will issue from any pending patent applications. See "—License Agreement with MedImmune" above for additional information on our rights under the MedImmune Agreement.</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own, via our acquisition of certain assets from Biogen, granted patents and pending patent applications in the United States and numerous foreign jurisdictions relating to KPL-716. These patents and patent applications cover KPL-716 as a composition of matter and its use. As of March 31, 2018, the patent rights acquired from Biogen include three patents granted in the United States and four foreign patents granted in Australia, Japan, Mexico and Singapore. In addition, the patent rights acquired from Biogen include patent applications pending in the United States, Europe, Canada, and selected countries in Asia. The issued composition of matter patents for KPL-716 have statutory expiration dates in 2034. Patent term extension could extend the expiration date of one patent in the United States and patents in certain other jurisdictions, each in accordance with applicable law. There can be no assurance that patents will issue from any of our pending patent applications. See "—Biogen Asset Purchase Agreement" above for additional information on our rights under the Biogen Agreement.</w:t>
      </w:r>
    </w:p>
    <w:p>
      <w:pPr>
        <w:spacing w:after="0" w:line="188"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In certain countries, the term of a patent that covers a drug product may also be eligible for patent term extension when regulatory approval is granted, provided the legal requirements are met.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rilonacept, mavrilimumab and our other product candidates. Generally, before a new drug can be marketed, considerable data demonstrating its quality, safety and efficacy must be obtained, organized into a format specific for each regulatory authority, submitted for review and approved by the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Government Regulation of Biological Products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FDA regulates biologics under the Federal Food, Drug, and Cosmetic Act, or FDCA, and the Public Health Service Act, or PHSA, and their implementing regulations. Products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biologic license applications, or BLAs, withdrawal of an approval, imposition of a clinical hold, issuance of warning letters, product recalls, product seizures, total or partial suspension of production or distribution,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injunctions, fines, refusals of government contracts, restitution, disgorgement of profits or civil or criminal penalties.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process required by the FDA before a biologic may be marketed in the United States generally involves the following:</w:t>
      </w:r>
    </w:p>
    <w:p>
      <w:pPr>
        <w:spacing w:after="0" w:line="190" w:lineRule="exact"/>
        <w:rPr>
          <w:sz w:val="20"/>
          <w:szCs w:val="20"/>
          <w:color w:val="auto"/>
        </w:rPr>
      </w:pPr>
    </w:p>
    <w:p>
      <w:pPr>
        <w:ind w:left="960" w:right="68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Completion of extensive pre-clinical studies and tests in accordance with applicable regulations, including Good Laboratory Practice, or GLP, regulations and applicable requirements for the humane use of laboratory animals or other applicable regulations;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Submission to FDA of an IND which must become effective before human clinical trials may begin;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177" w:lineRule="exact"/>
        <w:rPr>
          <w:rFonts w:ascii="Arial" w:cs="Arial" w:eastAsia="Arial" w:hAnsi="Arial"/>
          <w:sz w:val="16"/>
          <w:szCs w:val="16"/>
          <w:color w:val="auto"/>
        </w:rPr>
      </w:pPr>
    </w:p>
    <w:p>
      <w:pPr>
        <w:ind w:left="960" w:right="2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regulations, good clinical practices, or GCPs, and other clinical-trial related regulations to evaluate the safety and efficacy of the investigational product for each proposed indication;</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Submission to FDA of a BLA for marketing approval that includes substantive evidence of safety, purity, and potency from results of pre-clinical testing and clinical trials;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determination by FDA within 60 days of its receipt of a BLA to accept the filing for review;</w:t>
      </w:r>
    </w:p>
    <w:p>
      <w:pPr>
        <w:spacing w:after="0" w:line="177"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Satisfactory completion of one or more FDA pre-approval inspections of the manufacturing facility or facilities where the biologic will be produced to assess compliance with cGMPs to assure that the facilities, methods and controls used in product manufacture are adequate to preserve the biologic's identity, strength, quality and purity;</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Potential FDA audit of the pre-clinical and/or clinical trial sites that generated the data in support of the BLA;</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Payment of user fees for FDA review of the BLA; and</w:t>
      </w:r>
    </w:p>
    <w:p>
      <w:pPr>
        <w:spacing w:after="0" w:line="177" w:lineRule="exact"/>
        <w:rPr>
          <w:rFonts w:ascii="Arial" w:cs="Arial" w:eastAsia="Arial" w:hAnsi="Arial"/>
          <w:sz w:val="16"/>
          <w:szCs w:val="16"/>
          <w:color w:val="auto"/>
        </w:rPr>
      </w:pPr>
    </w:p>
    <w:p>
      <w:pPr>
        <w:ind w:left="960" w:right="28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FDA review and approval of the BLA, including satisfactory completion of an FDA advisory committee review, if applicable, prior to any commercial marketing or sale of the product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Studies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must undergo rigorous pre-clinical testing. The pre-clinical development stage generally involves laboratory evaluations of the chemistry, formulation and stability of the product candidate, as well as trials to evaluate toxicity in animals, which support subsequent clinical testing. The conduct of the pre-clinical tests must comply with federal regulations and requirements, including GLP regulations.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w:t>
      </w:r>
    </w:p>
    <w:p>
      <w:pPr>
        <w:spacing w:after="0" w:line="208"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 xml:space="preserve">The clinical stage of development involves the administration of the investigational product to healthy volunteers or patients under the supervision of qualified investigators, generally physicians not employed by, or under control of, the trial sponsor,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most clinical trials must be submitted within specific timeframes for publication on the </w:t>
      </w:r>
      <w:r>
        <w:rPr>
          <w:rFonts w:ascii="Arial" w:cs="Arial" w:eastAsia="Arial" w:hAnsi="Arial"/>
          <w:sz w:val="16"/>
          <w:szCs w:val="16"/>
          <w:i w:val="1"/>
          <w:iCs w:val="1"/>
          <w:color w:val="auto"/>
        </w:rPr>
        <w:t xml:space="preserve">www.clinicaltrials.gov </w:t>
      </w:r>
      <w:r>
        <w:rPr>
          <w:rFonts w:ascii="Arial" w:cs="Arial" w:eastAsia="Arial" w:hAnsi="Arial"/>
          <w:sz w:val="16"/>
          <w:szCs w:val="16"/>
          <w:color w:val="auto"/>
        </w:rPr>
        <w:t>website. Information related to the product, patient population, phase of investigation, study sites and investigators and other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 is made public as part of the registration of the clinical trial. Sponsors are also obligated to discuss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Human clinical trials are typically conducted in three sequential phases, which may overlap or be combined:</w:t>
      </w:r>
    </w:p>
    <w:p>
      <w:pPr>
        <w:spacing w:after="0" w:line="190" w:lineRule="exact"/>
        <w:rPr>
          <w:sz w:val="20"/>
          <w:szCs w:val="20"/>
          <w:color w:val="auto"/>
        </w:rPr>
      </w:pPr>
    </w:p>
    <w:p>
      <w:pPr>
        <w:jc w:val="both"/>
        <w:ind w:left="960" w:hanging="481"/>
        <w:spacing w:after="0" w:line="239"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186" w:lineRule="exact"/>
        <w:rPr>
          <w:rFonts w:ascii="Arial" w:cs="Arial" w:eastAsia="Arial" w:hAnsi="Arial"/>
          <w:sz w:val="16"/>
          <w:szCs w:val="16"/>
          <w:color w:val="auto"/>
        </w:rPr>
      </w:pPr>
    </w:p>
    <w:p>
      <w:pPr>
        <w:ind w:left="960" w:right="260" w:hanging="481"/>
        <w:spacing w:after="0" w:line="239"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74" w:lineRule="exact"/>
        <w:rPr>
          <w:rFonts w:ascii="Arial" w:cs="Arial" w:eastAsia="Arial" w:hAnsi="Arial"/>
          <w:sz w:val="16"/>
          <w:szCs w:val="16"/>
          <w:color w:val="auto"/>
        </w:rPr>
      </w:pPr>
    </w:p>
    <w:p>
      <w:pPr>
        <w:ind w:left="960" w:right="20" w:hanging="481"/>
        <w:spacing w:after="0" w:line="238"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3 clinical trials generally involve a larger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7"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particularly for long-term safety follow up. In certain instances, the FDA may mandate the performance of Phase 4 clinical trials as a condition of approval of a BLA.</w:t>
      </w:r>
    </w:p>
    <w:p>
      <w:pPr>
        <w:spacing w:after="0" w:line="186" w:lineRule="exact"/>
        <w:rPr>
          <w:sz w:val="20"/>
          <w:szCs w:val="20"/>
          <w:color w:val="auto"/>
        </w:rPr>
      </w:pPr>
    </w:p>
    <w:p>
      <w:pPr>
        <w:ind w:right="120" w:firstLine="436"/>
        <w:spacing w:after="0" w:line="241"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The FDA or the sponsor may suspend or terminate a clinical trial at any time or the FDA may impose other sanctions on various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20"/>
        <w:spacing w:after="0" w:line="239" w:lineRule="auto"/>
        <w:rPr>
          <w:sz w:val="20"/>
          <w:szCs w:val="20"/>
          <w:color w:val="auto"/>
        </w:rPr>
      </w:pPr>
      <w:r>
        <w:rPr>
          <w:rFonts w:ascii="Arial" w:cs="Arial" w:eastAsia="Arial" w:hAnsi="Arial"/>
          <w:sz w:val="16"/>
          <w:szCs w:val="16"/>
          <w:color w:val="auto"/>
        </w:rPr>
        <w:t>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Concurrently with clinical trials, companies usually complete additional pre-clinical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BLA Review and Approval</w:t>
      </w:r>
    </w:p>
    <w:p>
      <w:pPr>
        <w:spacing w:after="0" w:line="208" w:lineRule="exact"/>
        <w:rPr>
          <w:sz w:val="20"/>
          <w:szCs w:val="20"/>
          <w:color w:val="auto"/>
        </w:rPr>
      </w:pPr>
    </w:p>
    <w:p>
      <w:pPr>
        <w:ind w:right="20" w:firstLine="427"/>
        <w:spacing w:after="0" w:line="237"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The BLA must contain proof of safety, purity, potency and efficacy and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spacing w:after="0" w:line="188" w:lineRule="exact"/>
        <w:rPr>
          <w:sz w:val="20"/>
          <w:szCs w:val="20"/>
          <w:color w:val="auto"/>
        </w:rPr>
      </w:pPr>
    </w:p>
    <w:p>
      <w:pPr>
        <w:ind w:right="220" w:firstLine="436"/>
        <w:spacing w:after="0" w:line="237" w:lineRule="auto"/>
        <w:rPr>
          <w:sz w:val="20"/>
          <w:szCs w:val="20"/>
          <w:color w:val="auto"/>
        </w:rPr>
      </w:pPr>
      <w:r>
        <w:rPr>
          <w:rFonts w:ascii="Arial" w:cs="Arial" w:eastAsia="Arial" w:hAnsi="Arial"/>
          <w:sz w:val="16"/>
          <w:szCs w:val="16"/>
          <w:color w:val="auto"/>
        </w:rPr>
        <w:t>In most cases, the submission of a BLA is subject to a substantial application user fee.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w:t>
      </w:r>
    </w:p>
    <w:p>
      <w:pPr>
        <w:spacing w:after="0" w:line="189" w:lineRule="exact"/>
        <w:rPr>
          <w:sz w:val="20"/>
          <w:szCs w:val="20"/>
          <w:color w:val="auto"/>
        </w:rPr>
      </w:pPr>
    </w:p>
    <w:p>
      <w:pPr>
        <w:ind w:right="140" w:firstLine="436"/>
        <w:spacing w:after="0" w:line="258" w:lineRule="auto"/>
        <w:rPr>
          <w:sz w:val="20"/>
          <w:szCs w:val="20"/>
          <w:color w:val="auto"/>
        </w:rPr>
      </w:pPr>
      <w:r>
        <w:rPr>
          <w:rFonts w:ascii="Arial" w:cs="Arial" w:eastAsia="Arial" w:hAnsi="Arial"/>
          <w:sz w:val="15"/>
          <w:szCs w:val="15"/>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 FDA also may inspect the sponsor and one or more clinical trial sites to assure compliance with GCP requirements and the integrity of the clinical data submitted to the FDA.</w:t>
      </w:r>
    </w:p>
    <w:p>
      <w:pPr>
        <w:spacing w:after="0" w:line="175"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Additionally, the FDA may refer applications for novel biologic candidates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decisions on approval. The FDA likely will re-analyze the clinical trial data, which could result in extensive discussions between the FDA and the applicant during the review process. The FDA also may require submission of a REMS plan if it determines that a REMS is necessary to ensure that the benefits of the drug outweigh its risks and to assure the safe use of the biological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Pediatric Research Equity Act, or PREA, a BLA or supplement to a BLA must contain data that are adequate to assess the safety and efficacy of the product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193" w:lineRule="exact"/>
        <w:rPr>
          <w:sz w:val="20"/>
          <w:szCs w:val="20"/>
          <w:color w:val="auto"/>
        </w:rPr>
      </w:pPr>
    </w:p>
    <w:p>
      <w:pPr>
        <w:ind w:right="20" w:firstLine="427"/>
        <w:spacing w:after="0" w:line="237" w:lineRule="auto"/>
        <w:rPr>
          <w:sz w:val="20"/>
          <w:szCs w:val="20"/>
          <w:color w:val="auto"/>
        </w:rPr>
      </w:pPr>
      <w:r>
        <w:rPr>
          <w:rFonts w:ascii="Arial" w:cs="Arial" w:eastAsia="Arial" w:hAnsi="Arial"/>
          <w:sz w:val="16"/>
          <w:szCs w:val="16"/>
          <w:color w:val="auto"/>
        </w:rPr>
        <w:t>After the FDA evaluates a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identified by the FDA. The Complete Response Letter may require additional clinical or other data, additional pivotal Phase 3 clinical trial(s) and/or other significant and time-consuming requirements related to clinical trials, pre-clinical studies or manufacturing. If a Complete Response Letter is issued, the applicant may either resubmit the BLA, addressing all of the deficiencies identified in the letter, or withdraw the application. Even if such data and information are submitted, the FDA may decide that the re-submitted BLA does not satisfy the criteria for approval.</w:t>
      </w:r>
    </w:p>
    <w:p>
      <w:pPr>
        <w:spacing w:after="0" w:line="188" w:lineRule="exact"/>
        <w:rPr>
          <w:sz w:val="20"/>
          <w:szCs w:val="20"/>
          <w:color w:val="auto"/>
        </w:rPr>
      </w:pPr>
    </w:p>
    <w:p>
      <w:pPr>
        <w:ind w:right="120" w:firstLine="436"/>
        <w:spacing w:after="0" w:line="256" w:lineRule="auto"/>
        <w:rPr>
          <w:sz w:val="20"/>
          <w:szCs w:val="20"/>
          <w:color w:val="auto"/>
        </w:rPr>
      </w:pPr>
      <w:r>
        <w:rPr>
          <w:rFonts w:ascii="Arial" w:cs="Arial" w:eastAsia="Arial" w:hAnsi="Arial"/>
          <w:sz w:val="15"/>
          <w:szCs w:val="15"/>
          <w:color w:val="auto"/>
        </w:rPr>
        <w:t>If a product receives regulatory approval,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indications, manufacturing changes and additional labeling claims, are subject to further testing requirements and FDA review and approval.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Orphan Drug Designation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Orphan Drug Act, the FDA may grant orphan designation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by providing a major contribution to patient care or in instances of drug supply issues. Competitors, however, may receive approval of either a different product for the same indication or the same product for a different indication that could be used "off-label" by physicians in the orphan indication, even though the competitor's product is not approved in the orphan indication. Orphan drug exclusivity also could block the approval of one of our products for seven years if a competitor obtains approval before we do of the same product, as defined by the FDA, for the same indication we are seeking, or if our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Expedited Review and Approval</w:t>
      </w:r>
    </w:p>
    <w:p>
      <w:pPr>
        <w:spacing w:after="0" w:line="208" w:lineRule="exact"/>
        <w:rPr>
          <w:sz w:val="20"/>
          <w:szCs w:val="20"/>
          <w:color w:val="auto"/>
        </w:rPr>
      </w:pPr>
    </w:p>
    <w:p>
      <w:pPr>
        <w:ind w:right="400" w:firstLine="433"/>
        <w:spacing w:after="0" w:line="238" w:lineRule="auto"/>
        <w:rPr>
          <w:sz w:val="20"/>
          <w:szCs w:val="20"/>
          <w:color w:val="auto"/>
        </w:rPr>
      </w:pPr>
      <w:r>
        <w:rPr>
          <w:rFonts w:ascii="Arial" w:cs="Arial" w:eastAsia="Arial" w:hAnsi="Arial"/>
          <w:sz w:val="16"/>
          <w:szCs w:val="16"/>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87"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BLA for a fast track product on a rolling basis before the complete application is submitted, if the sponsor and the FDA agree on a schedule for the submission of the application sections, and the sponsor pays any required user fees upon submission of the first section of the BLA.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under the provisions of the or FDASIA,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188"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trials to verify and describe the predicted effect on IMM or other clinical endpoint, and the product may be subject to expedited withdrawal procedures.</w:t>
      </w:r>
    </w:p>
    <w:p>
      <w:pPr>
        <w:spacing w:after="0" w:line="175" w:lineRule="exact"/>
        <w:rPr>
          <w:sz w:val="20"/>
          <w:szCs w:val="20"/>
          <w:color w:val="auto"/>
        </w:rPr>
      </w:pPr>
    </w:p>
    <w:p>
      <w:pPr>
        <w:ind w:right="200" w:firstLine="436"/>
        <w:spacing w:after="0" w:line="238" w:lineRule="auto"/>
        <w:rPr>
          <w:sz w:val="20"/>
          <w:szCs w:val="20"/>
          <w:color w:val="auto"/>
        </w:rPr>
      </w:pPr>
      <w:r>
        <w:rPr>
          <w:rFonts w:ascii="Arial" w:cs="Arial" w:eastAsia="Arial" w:hAnsi="Arial"/>
          <w:sz w:val="16"/>
          <w:szCs w:val="16"/>
          <w:color w:val="auto"/>
        </w:rPr>
        <w:t>Once a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Most products that are eligible for fast track or breakthrough therapy designation are also likely to be considered appropriate to receive a priority review.</w:t>
      </w:r>
    </w:p>
    <w:p>
      <w:pPr>
        <w:spacing w:after="0" w:line="187" w:lineRule="exact"/>
        <w:rPr>
          <w:sz w:val="20"/>
          <w:szCs w:val="20"/>
          <w:color w:val="auto"/>
        </w:rPr>
      </w:pPr>
    </w:p>
    <w:p>
      <w:pPr>
        <w:jc w:val="both"/>
        <w:ind w:right="320" w:firstLine="436"/>
        <w:spacing w:after="0" w:line="262"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accelerated approval and priority review do not change the standards for approval and may not ultimately expedite the development or approval process.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208"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w:t>
      </w:r>
    </w:p>
    <w:p>
      <w:pPr>
        <w:spacing w:after="0" w:line="186" w:lineRule="exact"/>
        <w:rPr>
          <w:sz w:val="20"/>
          <w:szCs w:val="20"/>
          <w:color w:val="auto"/>
        </w:rPr>
      </w:pPr>
    </w:p>
    <w:p>
      <w:pPr>
        <w:ind w:right="220" w:firstLine="436"/>
        <w:spacing w:after="0" w:line="237" w:lineRule="auto"/>
        <w:rPr>
          <w:sz w:val="20"/>
          <w:szCs w:val="20"/>
          <w:color w:val="auto"/>
        </w:rPr>
      </w:pPr>
      <w:r>
        <w:rPr>
          <w:rFonts w:ascii="Arial" w:cs="Arial" w:eastAsia="Arial" w:hAnsi="Arial"/>
          <w:sz w:val="16"/>
          <w:szCs w:val="16"/>
          <w:color w:val="auto"/>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189" w:lineRule="exact"/>
        <w:rPr>
          <w:sz w:val="20"/>
          <w:szCs w:val="20"/>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fines, warning letters or other enforcement-related letters or clinical holds on post-approval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approvals;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and</w:t>
      </w:r>
    </w:p>
    <w:p>
      <w:pPr>
        <w:spacing w:after="0" w:line="177" w:lineRule="exact"/>
        <w:rPr>
          <w:rFonts w:ascii="Arial" w:cs="Arial" w:eastAsia="Arial" w:hAnsi="Arial"/>
          <w:sz w:val="16"/>
          <w:szCs w:val="16"/>
          <w:color w:val="auto"/>
        </w:rPr>
      </w:pPr>
    </w:p>
    <w:p>
      <w:pPr>
        <w:ind w:left="960" w:right="80" w:hanging="481"/>
        <w:spacing w:after="0" w:line="241" w:lineRule="auto"/>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consent decrees, corporate integrity agreements, debarment, or exclusion from federal healthcare programs; or mandated modification of promotional materials and labeling and the issuance of corrective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Biosimilars and Exclusivity</w:t>
      </w:r>
    </w:p>
    <w:p>
      <w:pPr>
        <w:spacing w:after="0" w:line="208" w:lineRule="exact"/>
        <w:rPr>
          <w:sz w:val="20"/>
          <w:szCs w:val="20"/>
          <w:color w:val="auto"/>
        </w:rPr>
      </w:pPr>
    </w:p>
    <w:p>
      <w:pPr>
        <w:ind w:right="200" w:firstLine="427"/>
        <w:spacing w:after="0" w:line="238" w:lineRule="auto"/>
        <w:rPr>
          <w:sz w:val="20"/>
          <w:szCs w:val="20"/>
          <w:color w:val="auto"/>
        </w:rPr>
      </w:pPr>
      <w:r>
        <w:rPr>
          <w:rFonts w:ascii="Arial" w:cs="Arial" w:eastAsia="Arial" w:hAnsi="Arial"/>
          <w:sz w:val="16"/>
          <w:szCs w:val="16"/>
          <w:color w:val="auto"/>
        </w:rPr>
        <w:t>An abbreviated approval pathway for biological products that are biosimilar to or interchangeable with an FDA-licensed reference biological product was created by the Biologics Price Competition and Innovation Act of 2009, or BPCIA, as part of the Patient Protection and Affordable Care Act, as amended by the Health Care and Education Reconciliation Act, or the Affordable Care Act. This amendment to the PHSA, in part, attempts to minimize duplicative testing. To date, the FDA has approved a number of biosimilars, and numerous biosimilars have been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approved in Europe. The FDA has issued several guidance documents outlining its approach to reviewing and approving biosimilars.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must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87" w:lineRule="exact"/>
        <w:rPr>
          <w:sz w:val="20"/>
          <w:szCs w:val="20"/>
          <w:color w:val="auto"/>
        </w:rPr>
      </w:pPr>
    </w:p>
    <w:p>
      <w:pPr>
        <w:ind w:firstLine="427"/>
        <w:spacing w:after="0" w:line="236" w:lineRule="auto"/>
        <w:rPr>
          <w:sz w:val="20"/>
          <w:szCs w:val="20"/>
          <w:color w:val="auto"/>
        </w:rPr>
      </w:pPr>
      <w:r>
        <w:rPr>
          <w:rFonts w:ascii="Arial" w:cs="Arial" w:eastAsia="Arial" w:hAnsi="Arial"/>
          <w:sz w:val="16"/>
          <w:szCs w:val="16"/>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93" w:lineRule="exact"/>
        <w:rPr>
          <w:sz w:val="20"/>
          <w:szCs w:val="20"/>
          <w:color w:val="auto"/>
        </w:rPr>
      </w:pPr>
    </w:p>
    <w:p>
      <w:pPr>
        <w:jc w:val="both"/>
        <w:ind w:right="20" w:firstLine="433"/>
        <w:spacing w:after="0" w:line="239" w:lineRule="auto"/>
        <w:rPr>
          <w:sz w:val="20"/>
          <w:szCs w:val="20"/>
          <w:color w:val="auto"/>
        </w:rPr>
      </w:pPr>
      <w:r>
        <w:rPr>
          <w:rFonts w:ascii="Arial" w:cs="Arial" w:eastAsia="Arial" w:hAnsi="Arial"/>
          <w:sz w:val="16"/>
          <w:szCs w:val="16"/>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Patent Term Restoration</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must be based on the first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approval for the product, and the extension cannot extend the total patent term beyond fourteen years from approval. If we are unable to obtain patent term extension or the term of any such extension is less than we request, the period during which we can enforce our patent rights for that product will be shortened and our competitors may obtain approval to market competing products sooner.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 Drug Development, Review and Approval</w:t>
      </w:r>
    </w:p>
    <w:p>
      <w:pPr>
        <w:spacing w:after="0" w:line="208" w:lineRule="exact"/>
        <w:rPr>
          <w:sz w:val="20"/>
          <w:szCs w:val="20"/>
          <w:color w:val="auto"/>
        </w:rPr>
      </w:pPr>
    </w:p>
    <w:p>
      <w:pPr>
        <w:ind w:right="120" w:firstLine="436"/>
        <w:spacing w:after="0" w:line="241" w:lineRule="auto"/>
        <w:rPr>
          <w:sz w:val="20"/>
          <w:szCs w:val="20"/>
          <w:color w:val="auto"/>
        </w:rPr>
      </w:pPr>
      <w:r>
        <w:rPr>
          <w:rFonts w:ascii="Arial" w:cs="Arial" w:eastAsia="Arial" w:hAnsi="Arial"/>
          <w:sz w:val="16"/>
          <w:szCs w:val="16"/>
          <w:color w:val="auto"/>
        </w:rPr>
        <w:t>In the European Union, our product candidates also may be subject to extensive regulatory requirements. As in the United States, medicinal products can be marketed only if a marketing authorization from the competent regulatory agencies has been obtained.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w:t>
      </w:r>
    </w:p>
    <w:p>
      <w:pPr>
        <w:spacing w:after="0" w:line="19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IMPD (the Common Technical Document) with supporting information prescribed by Directive 2001/20/EC, Directive 2005/28/EC, where relevant the implementing national provisions of the individual EU Member States and further detailed in applicable guidance documents. All suspected unexpected serious adverse reactions to the investigated drug that occur during the clinical trial have to be reported to the competent national authority and the Ethics Committee of the Member State where they occurred.</w:t>
      </w:r>
    </w:p>
    <w:p>
      <w:pPr>
        <w:spacing w:after="0" w:line="187"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The Regulation is anticipated to come into application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88" w:lineRule="exact"/>
        <w:rPr>
          <w:sz w:val="20"/>
          <w:szCs w:val="20"/>
          <w:color w:val="auto"/>
        </w:rPr>
      </w:pPr>
    </w:p>
    <w:p>
      <w:pPr>
        <w:ind w:right="160" w:firstLine="433"/>
        <w:spacing w:after="0" w:line="237"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firstLine="433"/>
        <w:spacing w:after="0" w:line="241" w:lineRule="auto"/>
        <w:rPr>
          <w:sz w:val="20"/>
          <w:szCs w:val="20"/>
          <w:color w:val="auto"/>
        </w:rPr>
      </w:pPr>
      <w:r>
        <w:rPr>
          <w:rFonts w:ascii="Arial" w:cs="Arial" w:eastAsia="Arial" w:hAnsi="Arial"/>
          <w:sz w:val="16"/>
          <w:szCs w:val="16"/>
          <w:color w:val="auto"/>
        </w:rPr>
        <w:t>To obtain a marketing authorization of a drug in the European Union, we may submit marketing authorization applications, or MAA, either under the so-called centralized or national authorization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Centralized Procedure</w:t>
      </w:r>
    </w:p>
    <w:p>
      <w:pPr>
        <w:spacing w:after="0" w:line="206" w:lineRule="exact"/>
        <w:rPr>
          <w:sz w:val="20"/>
          <w:szCs w:val="20"/>
          <w:color w:val="auto"/>
        </w:rPr>
      </w:pPr>
    </w:p>
    <w:p>
      <w:pPr>
        <w:ind w:firstLine="433"/>
        <w:spacing w:after="0" w:line="254" w:lineRule="auto"/>
        <w:rPr>
          <w:sz w:val="20"/>
          <w:szCs w:val="20"/>
          <w:color w:val="auto"/>
        </w:rPr>
      </w:pPr>
      <w:r>
        <w:rPr>
          <w:rFonts w:ascii="Arial" w:cs="Arial" w:eastAsia="Arial" w:hAnsi="Arial"/>
          <w:sz w:val="15"/>
          <w:szCs w:val="15"/>
          <w:color w:val="auto"/>
        </w:rPr>
        <w:t>The centralized procedure provides for the grant of a single marketing authorization following a favorable opinion by the European Medicines Agency, or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National Authorization Procedures</w:t>
      </w:r>
    </w:p>
    <w:p>
      <w:pPr>
        <w:spacing w:after="0" w:line="206" w:lineRule="exact"/>
        <w:rPr>
          <w:sz w:val="20"/>
          <w:szCs w:val="20"/>
          <w:color w:val="auto"/>
        </w:rPr>
      </w:pPr>
    </w:p>
    <w:p>
      <w:pPr>
        <w:ind w:right="240" w:firstLine="433"/>
        <w:spacing w:after="0" w:line="241" w:lineRule="auto"/>
        <w:rPr>
          <w:sz w:val="20"/>
          <w:szCs w:val="20"/>
          <w:color w:val="auto"/>
        </w:rPr>
      </w:pPr>
      <w:r>
        <w:rPr>
          <w:rFonts w:ascii="Arial" w:cs="Arial" w:eastAsia="Arial" w:hAnsi="Arial"/>
          <w:sz w:val="16"/>
          <w:szCs w:val="16"/>
          <w:color w:val="auto"/>
        </w:rPr>
        <w:t>There are also two other possible routes to authorize medicinal products in several EU countries, which are available for investigational medicinal products that fall outside the scope of the centralized procedure:</w:t>
      </w:r>
    </w:p>
    <w:p>
      <w:pPr>
        <w:spacing w:after="0" w:line="185" w:lineRule="exact"/>
        <w:rPr>
          <w:sz w:val="20"/>
          <w:szCs w:val="20"/>
          <w:color w:val="auto"/>
        </w:rPr>
      </w:pPr>
    </w:p>
    <w:p>
      <w:pPr>
        <w:jc w:val="both"/>
        <w:ind w:left="960" w:right="140" w:hanging="481"/>
        <w:spacing w:after="0" w:line="273" w:lineRule="auto"/>
        <w:tabs>
          <w:tab w:leader="none" w:pos="9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62" w:lineRule="exact"/>
        <w:rPr>
          <w:rFonts w:ascii="Arial" w:cs="Arial" w:eastAsia="Arial" w:hAnsi="Arial"/>
          <w:sz w:val="15"/>
          <w:szCs w:val="15"/>
          <w:color w:val="auto"/>
        </w:rPr>
      </w:pPr>
    </w:p>
    <w:p>
      <w:pPr>
        <w:ind w:left="960" w:right="20" w:hanging="481"/>
        <w:spacing w:after="0" w:line="239" w:lineRule="auto"/>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8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 Regulatory Exclusivity</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5" w:name="page146"/>
    <w:bookmarkEnd w:id="145"/>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4" w:right="320"/>
        <w:spacing w:after="0" w:line="238" w:lineRule="auto"/>
        <w:rPr>
          <w:sz w:val="20"/>
          <w:szCs w:val="20"/>
          <w:color w:val="auto"/>
        </w:rPr>
      </w:pPr>
      <w:r>
        <w:rPr>
          <w:rFonts w:ascii="Arial" w:cs="Arial" w:eastAsia="Arial" w:hAnsi="Arial"/>
          <w:sz w:val="16"/>
          <w:szCs w:val="16"/>
          <w:color w:val="auto"/>
        </w:rPr>
        <w:t>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European Union Orphan Designation and Exclusivity</w:t>
      </w:r>
    </w:p>
    <w:p>
      <w:pPr>
        <w:spacing w:after="0" w:line="208" w:lineRule="exact"/>
        <w:rPr>
          <w:sz w:val="20"/>
          <w:szCs w:val="20"/>
          <w:color w:val="auto"/>
        </w:rPr>
      </w:pPr>
    </w:p>
    <w:p>
      <w:pPr>
        <w:ind w:left="4" w:right="220" w:firstLine="433"/>
        <w:spacing w:after="0" w:line="251"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w:t>
      </w:r>
    </w:p>
    <w:p>
      <w:pPr>
        <w:spacing w:after="0" w:line="2" w:lineRule="exact"/>
        <w:rPr>
          <w:sz w:val="20"/>
          <w:szCs w:val="20"/>
          <w:color w:val="auto"/>
        </w:rPr>
      </w:pPr>
    </w:p>
    <w:p>
      <w:pPr>
        <w:ind w:left="4" w:hanging="4"/>
        <w:spacing w:after="0" w:line="255" w:lineRule="auto"/>
        <w:tabs>
          <w:tab w:leader="none" w:pos="239"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77" w:lineRule="exact"/>
        <w:rPr>
          <w:sz w:val="20"/>
          <w:szCs w:val="20"/>
          <w:color w:val="auto"/>
        </w:rPr>
      </w:pPr>
    </w:p>
    <w:p>
      <w:pPr>
        <w:jc w:val="both"/>
        <w:ind w:left="4" w:right="120" w:firstLine="433"/>
        <w:spacing w:after="0" w:line="239" w:lineRule="auto"/>
        <w:rPr>
          <w:sz w:val="20"/>
          <w:szCs w:val="20"/>
          <w:color w:val="auto"/>
        </w:rPr>
      </w:pPr>
      <w:r>
        <w:rPr>
          <w:rFonts w:ascii="Arial" w:cs="Arial" w:eastAsia="Arial" w:hAnsi="Arial"/>
          <w:sz w:val="16"/>
          <w:szCs w:val="16"/>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186" w:lineRule="exact"/>
        <w:rPr>
          <w:sz w:val="20"/>
          <w:szCs w:val="20"/>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applicant can establish that its product, although similar, is safer, more effective or otherwise clinically superior;</w:t>
      </w:r>
    </w:p>
    <w:p>
      <w:pPr>
        <w:spacing w:after="0" w:line="189" w:lineRule="exact"/>
        <w:rPr>
          <w:rFonts w:ascii="Arial" w:cs="Arial" w:eastAsia="Arial" w:hAnsi="Arial"/>
          <w:sz w:val="16"/>
          <w:szCs w:val="16"/>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applicant consents to a second orphan medicinal product application; or</w:t>
      </w:r>
    </w:p>
    <w:p>
      <w:pPr>
        <w:spacing w:after="0" w:line="177" w:lineRule="exact"/>
        <w:rPr>
          <w:rFonts w:ascii="Arial" w:cs="Arial" w:eastAsia="Arial" w:hAnsi="Arial"/>
          <w:sz w:val="16"/>
          <w:szCs w:val="16"/>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applicant cannot supply enough orphan medicinal product.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Rest of the World Regulation</w:t>
      </w:r>
    </w:p>
    <w:p>
      <w:pPr>
        <w:spacing w:after="0" w:line="208" w:lineRule="exact"/>
        <w:rPr>
          <w:sz w:val="20"/>
          <w:szCs w:val="20"/>
          <w:color w:val="auto"/>
        </w:rPr>
      </w:pPr>
    </w:p>
    <w:p>
      <w:pPr>
        <w:ind w:left="4" w:right="200" w:firstLine="436"/>
        <w:spacing w:after="0" w:line="238"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187" w:lineRule="exact"/>
        <w:rPr>
          <w:sz w:val="20"/>
          <w:szCs w:val="20"/>
          <w:color w:val="auto"/>
        </w:rPr>
      </w:pPr>
    </w:p>
    <w:p>
      <w:pPr>
        <w:ind w:left="4" w:right="180" w:firstLine="436"/>
        <w:spacing w:after="0" w:line="241"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5"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4"/>
          </w:cols>
          <w:pgMar w:left="236" w:top="142" w:right="29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Healthcare Laws</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addition to FDA restrictions on the marketing of pharmaceutical products, other U.S., federal and state healthcare regulatory laws restrict business practices in the pharmaceutical industry. These laws include, but are not limited to, federal and state anti-kickback, false claims, data privacy and security and physician payment and drug pricing transparency laws.</w:t>
      </w:r>
    </w:p>
    <w:p>
      <w:pPr>
        <w:spacing w:after="0" w:line="186" w:lineRule="exact"/>
        <w:rPr>
          <w:sz w:val="20"/>
          <w:szCs w:val="20"/>
          <w:color w:val="auto"/>
        </w:rPr>
      </w:pPr>
    </w:p>
    <w:p>
      <w:pPr>
        <w:ind w:right="40" w:firstLine="433"/>
        <w:spacing w:after="0" w:line="253" w:lineRule="auto"/>
        <w:rPr>
          <w:sz w:val="20"/>
          <w:szCs w:val="20"/>
          <w:color w:val="auto"/>
        </w:rPr>
      </w:pPr>
      <w:r>
        <w:rPr>
          <w:rFonts w:ascii="Arial" w:cs="Arial" w:eastAsia="Arial" w:hAnsi="Arial"/>
          <w:sz w:val="15"/>
          <w:szCs w:val="15"/>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and medical device manufacturers on the one hand and prescribers, purchasers, formulary managers and beneficiaries on the other hand.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in order to have committed a violation. Moreover,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18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 xml:space="preserve">The federal false claims and civil monetary penalties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Violations of the civil False Claims Act can result in very significant monetary penalties and treble damages. Several biopharmaceutical, medical device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or off-label), and thus non-covered,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services reimbursed under Medicaid and other state programs, or, in several states, apply regardless of the payor.</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of profits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8" w:lineRule="exact"/>
        <w:rPr>
          <w:sz w:val="20"/>
          <w:szCs w:val="20"/>
          <w:color w:val="auto"/>
        </w:rPr>
      </w:pPr>
    </w:p>
    <w:p>
      <w:pPr>
        <w:ind w:right="140" w:firstLine="433"/>
        <w:spacing w:after="0" w:line="237"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ind w:right="40" w:firstLine="436"/>
        <w:spacing w:after="0" w:line="25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Affordable Care Act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w:t>
      </w:r>
    </w:p>
    <w:p>
      <w:pPr>
        <w:spacing w:after="0" w:line="2" w:lineRule="exact"/>
        <w:rPr>
          <w:sz w:val="20"/>
          <w:szCs w:val="20"/>
          <w:color w:val="auto"/>
        </w:rPr>
      </w:pPr>
    </w:p>
    <w:p>
      <w:pPr>
        <w:ind w:right="140"/>
        <w:spacing w:after="0" w:line="219" w:lineRule="auto"/>
        <w:rPr>
          <w:sz w:val="20"/>
          <w:szCs w:val="20"/>
          <w:color w:val="auto"/>
        </w:rPr>
      </w:pPr>
      <w:r>
        <w:rPr>
          <w:rFonts w:ascii="Arial" w:cs="Arial" w:eastAsia="Arial" w:hAnsi="Arial"/>
          <w:sz w:val="16"/>
          <w:szCs w:val="16"/>
          <w:color w:val="auto"/>
        </w:rPr>
        <w:t>investment interests may result in civil monetary penalties. Covered manufacturers must submit reports by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subsequent calendar year and the reported information is publicly made available on a searchable website. In addition, certain states require implementation of compliance programs and compliance with the pharmaceutical industry's voluntary compliance guidelines and the relevant compliance guidance promulgated by the federal government, impose restrictions on marketing practices and/or require the tracking and reporting of marketing expenditures and pricing information as well as gifts, compensation and other remuneration or items of value provided to physicians and other healthcare professionals and entities.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although it is unclear that we would be considered a "business associate" in the normal course of our business. HITECH also increased the civil and criminal penalties that may be imposed against covered entities, business associates and possibly other persons, and gave state attorneys general new authority to file civil actions for damages or injunctions in federal courts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40"/>
        <w:spacing w:after="0" w:line="239" w:lineRule="auto"/>
        <w:rPr>
          <w:sz w:val="20"/>
          <w:szCs w:val="20"/>
          <w:color w:val="auto"/>
        </w:rPr>
      </w:pPr>
      <w:r>
        <w:rPr>
          <w:rFonts w:ascii="Arial" w:cs="Arial" w:eastAsia="Arial" w:hAnsi="Arial"/>
          <w:sz w:val="16"/>
          <w:szCs w:val="16"/>
          <w:color w:val="auto"/>
        </w:rPr>
        <w:t>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86"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Similar foreign laws and regulations, which may include, for instance, applicable post-marketing requirements, anti-fraud and abuse laws and implementation of corporate compliance programs and reporting of payments or other transfers of value to healthcare professionals, may apply to us to the extent that any of our product candidates, once approved, are sold in a country other than the United States.</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9"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of profits,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Coverage, Pricing and Reimbursement</w:t>
      </w:r>
    </w:p>
    <w:p>
      <w:pPr>
        <w:spacing w:after="0" w:line="208"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Significant uncertainty exists as to the coverage and reimbursement status of any biological products for which we obtain regulatory approval. 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drug and biologic products. In the United States and markets in other countries, patients who are prescribed products generally rely on third-party payors to reimburse all or part of the associated healthcare costs. Providers and patients are unlikely to use our products unless coverage is provided and reimbursement is adequate to cover a significant portion of the cost of our products. If approved, sales of our product candidates will depend, in part, on the availability of coverage and adequate reimbursement from third-party payors. Third-party payors include government authorities, managed care plans, private health insurers and other organizations.</w:t>
      </w:r>
    </w:p>
    <w:p>
      <w:pPr>
        <w:spacing w:after="0" w:line="17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process for determining whether a third-party payor will provide coverage for a biological product typically is separate from the process for setting the price of such product or for establishing the reimbursement rate that the payor will pay for the product once coverage is approved. With respect to biologics,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decision by a third-party payor not to cover our product candidates could reduce physician utilization of a product. Moreover, a third-party payor's decision to provide coverage for a product does not imply that an adequate reimbursement rate will be approved. Adequate third-party reimbursement may not be available to enable a manufacturer to maintain price levels sufficient to realize an appropriate return on its investment in product development. Additionally, coverage and reimbursement for products can differ significantly from payor to payor. One third-party payor's decision to cover a particular medical product does not ensure that other payors will also provide coverage for the medical product, or will provide coverage at an adequate reimbursement rate. As a result, the coverage determination process usually requires manufacturers to provide scientific and clinical support for the use of their products to each payor separately and is a time-consuming process.</w:t>
      </w:r>
    </w:p>
    <w:p>
      <w:pPr>
        <w:spacing w:after="0" w:line="175"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noted above, the marketability of any products for which we receive regulatory approval for commercial sale may suffer if the government and third-party payors fail to provide coverage and adequate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Third-party payors are increasingly challenging the prices charged for medical products and services, examining the medical necessity and reviewing the cost-effectiveness of pharmaceutical products, in addition to questioning safety and efficacy. If third-party payors do not consider a product to be cost-effective compared to other available therapies, they may not cover that product after FDA approval or, if they do, the level of payment may not be sufficient to allow a manufacturer to sell its product at a profit.</w:t>
      </w:r>
    </w:p>
    <w:p>
      <w:pPr>
        <w:spacing w:after="0" w:line="187"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addition, in many foreign countries, the proposed pricing for a drug must be approved before it may be lawfully marketed. The requirements governing drug pricing and reimbursement vary widely from country to country. In the European Union, governments influence the price of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Reform and Potential Changes to Healthcare Laws</w:t>
      </w:r>
    </w:p>
    <w:p>
      <w:pPr>
        <w:spacing w:after="0" w:line="208"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86" w:lineRule="exact"/>
        <w:rPr>
          <w:sz w:val="20"/>
          <w:szCs w:val="20"/>
          <w:color w:val="auto"/>
        </w:rPr>
      </w:pPr>
    </w:p>
    <w:p>
      <w:pPr>
        <w:ind w:right="40" w:firstLine="427"/>
        <w:spacing w:after="0" w:line="23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established a Center for Medicare Innovation at the CMS to test innovative payment and service delivery models to lower Medicare and Medicaid spending.</w:t>
      </w:r>
    </w:p>
    <w:p>
      <w:pPr>
        <w:spacing w:after="0" w:line="19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members of the U.S. Congress have indicated that they may continue to seek to modify, repeal or otherwise invalidate all, or certain provisions of, the Affordable Care Act.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189"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to reduce healthcare expenditures. These changes include the Budget Control Act of 2011, which, among other things, included aggregate reductions of Medicare payments to providers of 2% per fiscal year and that will remain in effect through 2025 unless additional action is taken by Congress; and the American Taxpayer Relief Act of 2012,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187"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Individual states in the United States have become increasingly active in passing legislation and implementing regulations designed to control biotechnology and pharmaceutical product pricing, including price or patient reimbursement constraints, discounts, restrictions on certain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2018, we had 47 employees.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Our U.S. headquarters are located in Lexington, Massachusetts, where Kiniksa US has leased approximately 25,067 square feet of office space, under a lease which expires in July 2021. We believe that our offices are sufficient to meet our current needs and that suitable additional space will be available as and when needed.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not subject to any material legal proceedings.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name and position of each of our executive officers and directors and their ages as of the date of this prospectus.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w:t>
            </w:r>
          </w:p>
        </w:tc>
        <w:tc>
          <w:tcPr>
            <w:tcW w:w="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Age</w:t>
            </w:r>
          </w:p>
        </w:tc>
        <w:tc>
          <w:tcPr>
            <w:tcW w:w="140" w:type="dxa"/>
            <w:vAlign w:val="bottom"/>
          </w:tcPr>
          <w:p>
            <w:pPr>
              <w:spacing w:after="0"/>
              <w:rPr>
                <w:sz w:val="16"/>
                <w:szCs w:val="16"/>
                <w:color w:val="auto"/>
              </w:rPr>
            </w:pPr>
          </w:p>
        </w:tc>
        <w:tc>
          <w:tcPr>
            <w:tcW w:w="3560" w:type="dxa"/>
            <w:vAlign w:val="bottom"/>
          </w:tcPr>
          <w:p>
            <w:pPr>
              <w:ind w:left="148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169"/>
        </w:trPr>
        <w:tc>
          <w:tcPr>
            <w:tcW w:w="506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b w:val="1"/>
                <w:bCs w:val="1"/>
                <w:i w:val="1"/>
                <w:iCs w:val="1"/>
                <w:color w:val="auto"/>
              </w:rPr>
              <w:t>Executive Officers: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Sanj K. Patel</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48</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w w:val="98"/>
              </w:rPr>
              <w:t>Chief Executive Officer and Chairman of the Board</w:t>
            </w:r>
          </w:p>
        </w:tc>
      </w:tr>
      <w:tr>
        <w:trPr>
          <w:trHeight w:val="181"/>
        </w:trPr>
        <w:tc>
          <w:tcPr>
            <w:tcW w:w="506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Stephen Mahoney</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47</w:t>
            </w:r>
          </w:p>
        </w:tc>
        <w:tc>
          <w:tcPr>
            <w:tcW w:w="370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President and Chief Operating Officer</w:t>
            </w: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Chris Heberlig</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43</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Chief Financial Officer</w:t>
            </w:r>
          </w:p>
        </w:tc>
      </w:tr>
      <w:tr>
        <w:trPr>
          <w:trHeight w:val="181"/>
        </w:trPr>
        <w:tc>
          <w:tcPr>
            <w:tcW w:w="506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370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Chief Medical Officer</w:t>
            </w: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Thomas Beetham</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48</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Chief Legal Officer</w:t>
            </w:r>
          </w:p>
        </w:tc>
      </w:tr>
      <w:tr>
        <w:trPr>
          <w:trHeight w:val="374"/>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Directors:</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4"/>
                <w:szCs w:val="24"/>
                <w:color w:val="auto"/>
              </w:rPr>
            </w:pP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Felix J. Baker, Ph.D.</w:t>
            </w:r>
            <w:r>
              <w:rPr>
                <w:rFonts w:ascii="Arial" w:cs="Arial" w:eastAsia="Arial" w:hAnsi="Arial"/>
                <w:sz w:val="25"/>
                <w:szCs w:val="25"/>
                <w:color w:val="auto"/>
                <w:vertAlign w:val="superscript"/>
              </w:rPr>
              <w:t>(2)(3)</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Stephen R. Biggar, M.D., Ph.D.</w:t>
            </w:r>
            <w:r>
              <w:rPr>
                <w:rFonts w:ascii="Arial" w:cs="Arial" w:eastAsia="Arial" w:hAnsi="Arial"/>
                <w:sz w:val="25"/>
                <w:szCs w:val="25"/>
                <w:color w:val="auto"/>
                <w:vertAlign w:val="superscript"/>
              </w:rPr>
              <w:t>(3)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Thomas R. Malley</w:t>
            </w:r>
            <w:r>
              <w:rPr>
                <w:rFonts w:ascii="Arial" w:cs="Arial" w:eastAsia="Arial" w:hAnsi="Arial"/>
                <w:sz w:val="25"/>
                <w:szCs w:val="25"/>
                <w:color w:val="auto"/>
                <w:vertAlign w:val="superscript"/>
              </w:rPr>
              <w:t>(1)(3)</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Tracey L. McCain</w:t>
            </w:r>
            <w:r>
              <w:rPr>
                <w:rFonts w:ascii="Arial" w:cs="Arial" w:eastAsia="Arial" w:hAnsi="Arial"/>
                <w:sz w:val="25"/>
                <w:szCs w:val="25"/>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Kimberly J. Popovits</w:t>
            </w:r>
            <w:r>
              <w:rPr>
                <w:rFonts w:ascii="Arial" w:cs="Arial" w:eastAsia="Arial" w:hAnsi="Arial"/>
                <w:sz w:val="25"/>
                <w:szCs w:val="25"/>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Barry D. Quart, Pharm.D.</w:t>
            </w:r>
            <w:r>
              <w:rPr>
                <w:rFonts w:ascii="Arial" w:cs="Arial" w:eastAsia="Arial" w:hAnsi="Arial"/>
                <w:sz w:val="25"/>
                <w:szCs w:val="25"/>
                <w:color w:val="auto"/>
                <w:vertAlign w:val="superscript"/>
              </w:rPr>
              <w:t>(1)(2)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96"/>
        </w:trPr>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r>
      <w:tr>
        <w:trPr>
          <w:trHeight w:val="344"/>
        </w:trPr>
        <w:tc>
          <w:tcPr>
            <w:tcW w:w="420" w:type="dxa"/>
            <w:vAlign w:val="bottom"/>
          </w:tcPr>
          <w:p>
            <w:pPr>
              <w:spacing w:after="0"/>
              <w:rPr>
                <w:sz w:val="20"/>
                <w:szCs w:val="20"/>
                <w:color w:val="auto"/>
              </w:rPr>
            </w:pPr>
            <w:r>
              <w:rPr>
                <w:rFonts w:ascii="Arial" w:cs="Arial" w:eastAsia="Arial" w:hAnsi="Arial"/>
                <w:sz w:val="13"/>
                <w:szCs w:val="13"/>
                <w:color w:val="auto"/>
              </w:rPr>
              <w:t>(1)</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audit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3"/>
                <w:szCs w:val="13"/>
                <w:color w:val="auto"/>
              </w:rPr>
              <w:t>(2)</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compensation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3"/>
                <w:szCs w:val="13"/>
                <w:color w:val="auto"/>
              </w:rPr>
              <w:t>(3)</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nominating and corporate governance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92"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i w:val="1"/>
          <w:iCs w:val="1"/>
          <w:color w:val="auto"/>
        </w:rPr>
        <w:t xml:space="preserve">Sanj K. Patel </w:t>
      </w:r>
      <w:r>
        <w:rPr>
          <w:rFonts w:ascii="Arial" w:cs="Arial" w:eastAsia="Arial" w:hAnsi="Arial"/>
          <w:sz w:val="16"/>
          <w:szCs w:val="16"/>
          <w:color w:val="auto"/>
        </w:rPr>
        <w:t>has served as our Chief Executive Officer and Chairman of our board of directors since our formation in July 2015. In June 2008, Mr. Patel</w:t>
      </w:r>
      <w:r>
        <w:rPr>
          <w:rFonts w:ascii="Arial" w:cs="Arial" w:eastAsia="Arial" w:hAnsi="Arial"/>
          <w:sz w:val="16"/>
          <w:szCs w:val="16"/>
          <w:i w:val="1"/>
          <w:iCs w:val="1"/>
          <w:color w:val="auto"/>
        </w:rPr>
        <w:t xml:space="preserve"> </w:t>
      </w:r>
      <w:r>
        <w:rPr>
          <w:rFonts w:ascii="Arial" w:cs="Arial" w:eastAsia="Arial" w:hAnsi="Arial"/>
          <w:sz w:val="16"/>
          <w:szCs w:val="16"/>
          <w:color w:val="auto"/>
        </w:rPr>
        <w:t>formed Synageva BioPharm Corp., or Synageva, a biotechnology company focused on rare diseases, where he acted as President and Chief Executive Officer until its sale to Alexion Pharmaceuticals in June 2015. Prior to Synageva, Mr. Patel held various roles at Genzyme Corporation from 1999 to 2008, most recently as head of U.S. Sales, Marketing and Commercial Operations for the Genzyme Therapeutics franchise, or Genzyme. Mr. Patel is a member of the board of directors of Syros Pharmaceuticals and BioCryst Pharmaceuticals, and, from 2013 to 2015, sat on the board of directors of Intercept Pharmaceuticals. He is also the founder and director of the Sanj K. Patel and Family Foundation, a philanthropic organization that supports charities for patients with rare and devastating diseases. Mr. Patel holds a B.Sc. with Honors from the University of the South Bank, London and completed his management and business studies at Ealing College, London and his Pharmacology research program at the Wellcome Foundation. We believe that Mr. Patel is qualified to serve on our board of directors due to his extensive business, sales and product development experience in the biotechnology industry.</w:t>
      </w:r>
    </w:p>
    <w:p>
      <w:pPr>
        <w:spacing w:after="0" w:line="172" w:lineRule="exact"/>
        <w:rPr>
          <w:sz w:val="20"/>
          <w:szCs w:val="20"/>
          <w:color w:val="auto"/>
        </w:rPr>
      </w:pPr>
    </w:p>
    <w:p>
      <w:pPr>
        <w:ind w:right="60" w:firstLine="436"/>
        <w:spacing w:after="0" w:line="242" w:lineRule="auto"/>
        <w:rPr>
          <w:sz w:val="20"/>
          <w:szCs w:val="20"/>
          <w:color w:val="auto"/>
        </w:rPr>
      </w:pPr>
      <w:r>
        <w:rPr>
          <w:rFonts w:ascii="Arial" w:cs="Arial" w:eastAsia="Arial" w:hAnsi="Arial"/>
          <w:sz w:val="16"/>
          <w:szCs w:val="16"/>
          <w:i w:val="1"/>
          <w:iCs w:val="1"/>
          <w:color w:val="auto"/>
        </w:rPr>
        <w:t xml:space="preserve">Stephen Mahoney </w:t>
      </w:r>
      <w:r>
        <w:rPr>
          <w:rFonts w:ascii="Arial" w:cs="Arial" w:eastAsia="Arial" w:hAnsi="Arial"/>
          <w:sz w:val="16"/>
          <w:szCs w:val="16"/>
          <w:color w:val="auto"/>
        </w:rPr>
        <w:t>has served as our Chief Operating Officer since our formation in July 2015 and as our President since June 2017. Prior to serving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Mr. Mahoney held various roles at Synageva from 2012 to 2015, most recently as Chief Commercial Officer, where he was responsible for Synageva's global commercial operations. Mr. Mahoney was also responsible for areas such as Global Sales Operations &amp; Business Analytics, Commercial Supply Chain and Logistics, Global Procurement, Patient Services, Sales Training and Legal and Corporate Development. Prior to Synageva, Mr. Mahoney held various roles at Genzyme from 2003 to 2012, most recently as the Regional Legal Director for the Asia Pacific region, where he was responsible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for legal and healthcare compliance issues for multiple business units. Mr. Mahoney holds an M.B.A. from Boston College's Carroll School of Management, a J.D.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from Boston College Law School and a B.A. from Colorado College.</w:t>
      </w:r>
    </w:p>
    <w:p>
      <w:pPr>
        <w:spacing w:after="0" w:line="174" w:lineRule="exact"/>
        <w:rPr>
          <w:sz w:val="20"/>
          <w:szCs w:val="20"/>
          <w:color w:val="auto"/>
        </w:rPr>
      </w:pPr>
    </w:p>
    <w:p>
      <w:pPr>
        <w:ind w:right="20" w:firstLine="436"/>
        <w:spacing w:after="0" w:line="242" w:lineRule="auto"/>
        <w:rPr>
          <w:sz w:val="20"/>
          <w:szCs w:val="20"/>
          <w:color w:val="auto"/>
        </w:rPr>
      </w:pPr>
      <w:r>
        <w:rPr>
          <w:rFonts w:ascii="Arial" w:cs="Arial" w:eastAsia="Arial" w:hAnsi="Arial"/>
          <w:sz w:val="16"/>
          <w:szCs w:val="16"/>
          <w:i w:val="1"/>
          <w:iCs w:val="1"/>
          <w:color w:val="auto"/>
        </w:rPr>
        <w:t xml:space="preserve">Chris Heberlig </w:t>
      </w:r>
      <w:r>
        <w:rPr>
          <w:rFonts w:ascii="Arial" w:cs="Arial" w:eastAsia="Arial" w:hAnsi="Arial"/>
          <w:sz w:val="16"/>
          <w:szCs w:val="16"/>
          <w:color w:val="auto"/>
        </w:rPr>
        <w:t>has served as our Chief Financial Officer since our formation in July 2015. Prior to serving as our Chief Financial Officer, Mr. Heberlig held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roles at Synageva from 2008 to 2015, most recently serving as Senior Vice President of Finance and Business Operations. At Synageva, he led strategic tax planning, including overseeing the transfer of tax and intellectual property assets to Europe, and was responsible for global financial operations, facilities, as well as program management. Mr. Heberlig holds an M.B.A. from Boston University School of Management and a B.A. from St. Lawrence University. Mr. Heberlig is also a Certified Public Accountant.</w:t>
      </w:r>
    </w:p>
    <w:p>
      <w:pPr>
        <w:spacing w:after="0" w:line="170" w:lineRule="exact"/>
        <w:rPr>
          <w:sz w:val="20"/>
          <w:szCs w:val="20"/>
          <w:color w:val="auto"/>
        </w:rPr>
      </w:pPr>
    </w:p>
    <w:p>
      <w:pPr>
        <w:ind w:right="40" w:firstLine="436"/>
        <w:spacing w:after="0"/>
        <w:rPr>
          <w:sz w:val="20"/>
          <w:szCs w:val="20"/>
          <w:color w:val="auto"/>
        </w:rPr>
      </w:pPr>
      <w:r>
        <w:rPr>
          <w:rFonts w:ascii="Arial" w:cs="Arial" w:eastAsia="Arial" w:hAnsi="Arial"/>
          <w:sz w:val="16"/>
          <w:szCs w:val="16"/>
          <w:i w:val="1"/>
          <w:iCs w:val="1"/>
          <w:color w:val="auto"/>
        </w:rPr>
        <w:t>John F. Paolini</w:t>
      </w:r>
      <w:r>
        <w:rPr>
          <w:rFonts w:ascii="Arial" w:cs="Arial" w:eastAsia="Arial" w:hAnsi="Arial"/>
          <w:sz w:val="16"/>
          <w:szCs w:val="16"/>
          <w:color w:val="auto"/>
        </w:rPr>
        <w:t>,</w:t>
      </w:r>
      <w:r>
        <w:rPr>
          <w:rFonts w:ascii="Arial" w:cs="Arial" w:eastAsia="Arial" w:hAnsi="Arial"/>
          <w:sz w:val="16"/>
          <w:szCs w:val="16"/>
          <w:i w:val="1"/>
          <w:iCs w:val="1"/>
          <w:color w:val="auto"/>
        </w:rPr>
        <w:t xml:space="preserve"> M.D., Ph.D.</w:t>
      </w:r>
      <w:r>
        <w:rPr>
          <w:rFonts w:ascii="Arial" w:cs="Arial" w:eastAsia="Arial" w:hAnsi="Arial"/>
          <w:sz w:val="16"/>
          <w:szCs w:val="16"/>
          <w:color w:val="auto"/>
        </w:rPr>
        <w:t>, has served as our Chief Medical Officer since August 2016. From August 2015 to August 2016, Dr. Paolini was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Head of the Cardiovascular and Metabolic Diseases Research Unit at Pfizer Inc., a pharmaceutical company, where he was responsible for bringing forward programs from pre-clinical through early clinical development and proof of concept. Prior to Pfizer, from August 2011 to July 2015, Dr. Paolini served as Chief Medical Officer of Cerenis Therapeutics, a biotechnology company focused on cardiovascular and metabolic diseases, where he was responsible for designing and executing clinical trials and regulatory strategy for a portfolio of products. Dr. Paolini holds an M.D., Ph.D. from Duke University School of Medicine and a B.A. and a Bachelor of Science, or B.S., from Tulane University, and completed his internship, residency and fellowship in Internal Medicine and Cardiology from Brigham and Women's Hospital, Boston.</w:t>
      </w:r>
    </w:p>
    <w:p>
      <w:pPr>
        <w:spacing w:after="0" w:line="172"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i w:val="1"/>
          <w:iCs w:val="1"/>
          <w:color w:val="auto"/>
        </w:rPr>
        <w:t xml:space="preserve">Thomas Beetham </w:t>
      </w:r>
      <w:r>
        <w:rPr>
          <w:rFonts w:ascii="Arial" w:cs="Arial" w:eastAsia="Arial" w:hAnsi="Arial"/>
          <w:sz w:val="15"/>
          <w:szCs w:val="15"/>
          <w:color w:val="auto"/>
        </w:rPr>
        <w:t>has served as our Chief Legal Officer since our formation in July 2015 and is also responsible for corporate development. Prior to serving as</w:t>
      </w:r>
      <w:r>
        <w:rPr>
          <w:rFonts w:ascii="Arial" w:cs="Arial" w:eastAsia="Arial" w:hAnsi="Arial"/>
          <w:sz w:val="15"/>
          <w:szCs w:val="15"/>
          <w:i w:val="1"/>
          <w:iCs w:val="1"/>
          <w:color w:val="auto"/>
        </w:rPr>
        <w:t xml:space="preserve"> </w:t>
      </w:r>
      <w:r>
        <w:rPr>
          <w:rFonts w:ascii="Arial" w:cs="Arial" w:eastAsia="Arial" w:hAnsi="Arial"/>
          <w:sz w:val="15"/>
          <w:szCs w:val="15"/>
          <w:color w:val="auto"/>
        </w:rPr>
        <w:t>our Chief Legal Officer, Mr. Beetham was the Chief Legal Officer and Senior Vice President of Corporate Development for Synageva from October 2013 to June 2015. At Synageva, in addition to leading the legal department, Mr. Beetham was responsible for business development activities. Prior to joining Synageva, from October 2011 to October 2013, Mr. Beetham was the General Legal Counsel for New England Biolabs, Inc., a reagent supplier for genomic research, where he was responsible for legal matters and a member of Biolabs' global business development team. Before Synageva, Mr. Beetham was at Genzyme from September 2004 to October 2011, most recently as the lead corporate attorney responsible for Genzyme's hematology/oncology and multiple sclerosis products, and from September 1999 to September 2004 was a corporate and transactional attorney with the law firm of Palmer &amp; Dodge, LLP. Mr. Beetham holds an M.B.A. from Boston College's Carroll School of Management, a J.D. from Boston College Law School and a B.A. from the University of Rochester.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w:t>
      </w:r>
    </w:p>
    <w:p>
      <w:pPr>
        <w:spacing w:after="0" w:line="192" w:lineRule="exact"/>
        <w:rPr>
          <w:sz w:val="20"/>
          <w:szCs w:val="20"/>
          <w:color w:val="auto"/>
        </w:rPr>
      </w:pPr>
    </w:p>
    <w:p>
      <w:pPr>
        <w:ind w:right="180" w:firstLine="436"/>
        <w:spacing w:after="0" w:line="259" w:lineRule="auto"/>
        <w:rPr>
          <w:sz w:val="20"/>
          <w:szCs w:val="20"/>
          <w:color w:val="auto"/>
        </w:rPr>
      </w:pPr>
      <w:r>
        <w:rPr>
          <w:rFonts w:ascii="Arial" w:cs="Arial" w:eastAsia="Arial" w:hAnsi="Arial"/>
          <w:sz w:val="15"/>
          <w:szCs w:val="15"/>
          <w:i w:val="1"/>
          <w:iCs w:val="1"/>
          <w:color w:val="auto"/>
        </w:rPr>
        <w:t xml:space="preserve">Felix J. Baker, Ph.D., </w:t>
      </w:r>
      <w:r>
        <w:rPr>
          <w:rFonts w:ascii="Arial" w:cs="Arial" w:eastAsia="Arial" w:hAnsi="Arial"/>
          <w:sz w:val="15"/>
          <w:szCs w:val="15"/>
          <w:color w:val="auto"/>
        </w:rPr>
        <w:t>has served as our lead director and on our board of directors since October 2015. Since 2000, Dr. Baker has been a Co-Managing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Member of Baker Bros. Advisors LP, or Baker Brothers, an investment advisor focused on investments in life science and biotechnology companies. Dr. Baker and his brother, Julian Baker, started their fund management careers in 1994 when they co-founded a biotechnology investing partnership with the Tisch Family.</w:t>
      </w:r>
    </w:p>
    <w:p>
      <w:pPr>
        <w:ind w:right="160"/>
        <w:spacing w:after="0" w:line="238" w:lineRule="auto"/>
        <w:rPr>
          <w:sz w:val="20"/>
          <w:szCs w:val="20"/>
          <w:color w:val="auto"/>
        </w:rPr>
      </w:pPr>
      <w:r>
        <w:rPr>
          <w:rFonts w:ascii="Arial" w:cs="Arial" w:eastAsia="Arial" w:hAnsi="Arial"/>
          <w:sz w:val="16"/>
          <w:szCs w:val="16"/>
          <w:color w:val="auto"/>
        </w:rPr>
        <w:t>Dr. Baker currently serves on the boards of directors of Alexion Pharmaceuticals, Genomic Health, Inc. and Seattle Genetics, Inc. and previously served on the board of directors of Synageva. Dr. Baker holds a B.S. and a Ph.D. in Immunology from Stanford University, where he also completed two years of medical school. We believe Dr. Baker is qualified to serve on our board of directors due to his extensive experience in the biotechnology industry and experience working with and serving on the boards of directors of numerous biotechnology and pharmaceutical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ind w:right="80" w:firstLine="436"/>
        <w:spacing w:after="0" w:line="242" w:lineRule="auto"/>
        <w:rPr>
          <w:sz w:val="20"/>
          <w:szCs w:val="20"/>
          <w:color w:val="auto"/>
        </w:rPr>
      </w:pPr>
      <w:r>
        <w:rPr>
          <w:rFonts w:ascii="Arial" w:cs="Arial" w:eastAsia="Arial" w:hAnsi="Arial"/>
          <w:sz w:val="16"/>
          <w:szCs w:val="16"/>
          <w:i w:val="1"/>
          <w:iCs w:val="1"/>
          <w:color w:val="auto"/>
        </w:rPr>
        <w:t xml:space="preserve">Stephen R. Biggar, M.D., Ph.D., </w:t>
      </w:r>
      <w:r>
        <w:rPr>
          <w:rFonts w:ascii="Arial" w:cs="Arial" w:eastAsia="Arial" w:hAnsi="Arial"/>
          <w:sz w:val="16"/>
          <w:szCs w:val="16"/>
          <w:color w:val="auto"/>
        </w:rPr>
        <w:t>has served as a member of our board of directors since October 2015. Since 2000, Dr. Biggar has been a partner at Baker</w:t>
      </w:r>
      <w:r>
        <w:rPr>
          <w:rFonts w:ascii="Arial" w:cs="Arial" w:eastAsia="Arial" w:hAnsi="Arial"/>
          <w:sz w:val="16"/>
          <w:szCs w:val="16"/>
          <w:i w:val="1"/>
          <w:iCs w:val="1"/>
          <w:color w:val="auto"/>
        </w:rPr>
        <w:t xml:space="preserve"> </w:t>
      </w:r>
      <w:r>
        <w:rPr>
          <w:rFonts w:ascii="Arial" w:cs="Arial" w:eastAsia="Arial" w:hAnsi="Arial"/>
          <w:sz w:val="16"/>
          <w:szCs w:val="16"/>
          <w:color w:val="auto"/>
        </w:rPr>
        <w:t>Brothers. Dr. Biggar is currently Chairman of the board of directors of ACADIA Pharmaceuticals, serves on the board of Vivelix Pharmaceuticals, Ltd. and previously served on the board of directors of Synageva. Dr. Biggar holds an M.D. and a Ph.D. in Immunology from Stanford University and a BS in Genetics from the University of Rochester. We believe Dr. Biggar is qualified to serve on our board of directors due to his experience in the biotechnology industry, his medical and scientific training and experience working with and serving on the boards of directors of numerous biotechnology and pharmaceutical companies.</w:t>
      </w:r>
    </w:p>
    <w:p>
      <w:pPr>
        <w:spacing w:after="0" w:line="170" w:lineRule="exact"/>
        <w:rPr>
          <w:sz w:val="20"/>
          <w:szCs w:val="20"/>
          <w:color w:val="auto"/>
        </w:rPr>
      </w:pPr>
    </w:p>
    <w:p>
      <w:pPr>
        <w:ind w:right="200" w:firstLine="436"/>
        <w:spacing w:after="0" w:line="242" w:lineRule="auto"/>
        <w:rPr>
          <w:sz w:val="20"/>
          <w:szCs w:val="20"/>
          <w:color w:val="auto"/>
        </w:rPr>
      </w:pPr>
      <w:r>
        <w:rPr>
          <w:rFonts w:ascii="Arial" w:cs="Arial" w:eastAsia="Arial" w:hAnsi="Arial"/>
          <w:sz w:val="16"/>
          <w:szCs w:val="16"/>
          <w:i w:val="1"/>
          <w:iCs w:val="1"/>
          <w:color w:val="auto"/>
        </w:rPr>
        <w:t xml:space="preserve">Thomas R. Malley </w:t>
      </w:r>
      <w:r>
        <w:rPr>
          <w:rFonts w:ascii="Arial" w:cs="Arial" w:eastAsia="Arial" w:hAnsi="Arial"/>
          <w:sz w:val="16"/>
          <w:szCs w:val="16"/>
          <w:color w:val="auto"/>
        </w:rPr>
        <w:t>has served as a member of our board of directors since December 2016. Since May 2007, Mr. Malley has served as the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Mossrock Capital, LLC, a private investment firm. Mr. Malley serves on the boards of directors of BeiGene, Ltd. and Kura Oncology, Inc., and previously served on the boards of directors of OvaScience, Inc., Cougar Biotechnology, Puma Biotechnology and Synageva. Mr. Malley holds a B.S. degree in Biology from Stanford University. We believe Mr. Malley is qualified to serve on our board of directors due to his experience working in the biopharmaceutical industry and experience working with and serving on the boards of directors of numerous biotechnology and pharmaceutical companies.</w:t>
      </w:r>
    </w:p>
    <w:p>
      <w:pPr>
        <w:spacing w:after="0" w:line="17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i w:val="1"/>
          <w:iCs w:val="1"/>
          <w:color w:val="auto"/>
        </w:rPr>
        <w:t xml:space="preserve">Tracey L. McCain </w:t>
      </w:r>
      <w:r>
        <w:rPr>
          <w:rFonts w:ascii="Arial" w:cs="Arial" w:eastAsia="Arial" w:hAnsi="Arial"/>
          <w:sz w:val="16"/>
          <w:szCs w:val="16"/>
          <w:color w:val="auto"/>
        </w:rPr>
        <w:t>has served as a member of our board of directors since February 2018. Since September 2016, Ms. McCain has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Legal and Compliance Officer of Blueprint Medicine Corporation, or Blueprint, a biotechnology company. Prior to Blueprint, from January 2016 to September 2016, Ms. McCain was Senior Vice President and Head of Legal for Sanofi Genzyme, a global business unit of Sanofi,. Between joining Genzyme in May 1997 to January 2016, Ms. McCain held various roles at Genzyme, including as General Counsel following Genzyme's acquisition by Sanofi in 2011. Ms. McCain holds a J.D. from Columbia University School of Law and a B.A. from the University of Pennsylvania. We believe Ms. McCain is qualified to sit on our board of directors due to her experience working with numerous biotechnology and pharmaceutical companies.</w:t>
      </w:r>
    </w:p>
    <w:p>
      <w:pPr>
        <w:spacing w:after="0" w:line="170" w:lineRule="exact"/>
        <w:rPr>
          <w:sz w:val="20"/>
          <w:szCs w:val="20"/>
          <w:color w:val="auto"/>
        </w:rPr>
      </w:pPr>
    </w:p>
    <w:p>
      <w:pPr>
        <w:ind w:firstLine="436"/>
        <w:spacing w:after="0" w:line="242" w:lineRule="auto"/>
        <w:rPr>
          <w:sz w:val="20"/>
          <w:szCs w:val="20"/>
          <w:color w:val="auto"/>
        </w:rPr>
      </w:pPr>
      <w:r>
        <w:rPr>
          <w:rFonts w:ascii="Arial" w:cs="Arial" w:eastAsia="Arial" w:hAnsi="Arial"/>
          <w:sz w:val="16"/>
          <w:szCs w:val="16"/>
          <w:i w:val="1"/>
          <w:iCs w:val="1"/>
          <w:color w:val="auto"/>
        </w:rPr>
        <w:t xml:space="preserve">Kimberly J. Popovits </w:t>
      </w:r>
      <w:r>
        <w:rPr>
          <w:rFonts w:ascii="Arial" w:cs="Arial" w:eastAsia="Arial" w:hAnsi="Arial"/>
          <w:sz w:val="16"/>
          <w:szCs w:val="16"/>
          <w:color w:val="auto"/>
        </w:rPr>
        <w:t>has served as a member of our board of directors since February 2018. Since 2009, Ms. Popovits has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Genomic Health, Inc., and since 2012, has served as the Chairman of the board of directors Ms. Popovits also serves on the board of directors of MyoKardia, Inc., and previously sat on the board of directors of ZS Pharma Inc. Ms. Popovits holds a B.A degree in Business from Michigan State University. We believe Ms. Popovits is qualified to sit on our board of directors due to her experience working with and serving on the boards of directors of numerous biotechnology and pharmaceutical companies.</w:t>
      </w:r>
    </w:p>
    <w:p>
      <w:pPr>
        <w:spacing w:after="0" w:line="170"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i w:val="1"/>
          <w:iCs w:val="1"/>
          <w:color w:val="auto"/>
        </w:rPr>
        <w:t>Barry D. Quart</w:t>
      </w:r>
      <w:r>
        <w:rPr>
          <w:rFonts w:ascii="Arial" w:cs="Arial" w:eastAsia="Arial" w:hAnsi="Arial"/>
          <w:sz w:val="16"/>
          <w:szCs w:val="16"/>
          <w:color w:val="auto"/>
        </w:rPr>
        <w:t>,</w:t>
      </w:r>
      <w:r>
        <w:rPr>
          <w:rFonts w:ascii="Arial" w:cs="Arial" w:eastAsia="Arial" w:hAnsi="Arial"/>
          <w:sz w:val="16"/>
          <w:szCs w:val="16"/>
          <w:i w:val="1"/>
          <w:iCs w:val="1"/>
          <w:color w:val="auto"/>
        </w:rPr>
        <w:t xml:space="preserve"> Pharm.D.</w:t>
      </w:r>
      <w:r>
        <w:rPr>
          <w:rFonts w:ascii="Arial" w:cs="Arial" w:eastAsia="Arial" w:hAnsi="Arial"/>
          <w:sz w:val="16"/>
          <w:szCs w:val="16"/>
          <w:color w:val="auto"/>
        </w:rPr>
        <w:t>, has served as a member of our board of directors since October 2015. Since 2013, Dr. Quart has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on the board of directors of Heron Therapeutics, Inc., or Heron, a biotechnology company. In 2006, Dr. Quart co-founded Ardea Biosciences, Inc., a biotechnology company, and served as its President and Chief Executive Officer, and on its board of directors, from its inception through May 2013. Dr. Quart previously served on the board of directors of Synageva. Dr. Quart holds a Pharm.D. degree from the University of California, San Francisco. We believe Dr. Quart is qualified to serve on our board of directors due to his extensive management experience in the biotechnology industry and his experience developing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are no family relationships between our board of directors and our executive officers.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21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Our board of directors is currently comprised of seven members. The members of our board of directors were elected in compliance with the provisions of the voting agreement among us and our major shareholders. The voting agreement will terminate upon the closing of this offering, and we will have no further contractual obligations regarding the election of our directors. Our directors hold office until the shareholders shall determine or, in the absence of such a determination, until the next annual general meeting or until their successors have been elected or appointed or their office is otherwise vacated.</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amended and restated bye-laws that will become effective immediately following the closing of this offering provide that the authorized number of directors may be changed only by resolution of our board of directors. Our amended and restated bye-laws also provide that our directors may be removed only for cause by the affirmative vote of a majority of the votes entitled to be cast by our shareholders entitled to vote in an annual general election of directors. Any vacancy on our board of directors, including a vacancy resulting from an enlargement of our board of directors or from removal for cause not filled by the shareholders at the time, may be filled only by vote of a majority of our directors then in office.</w:t>
      </w:r>
    </w:p>
    <w:p>
      <w:pPr>
        <w:spacing w:after="0" w:line="189"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In accordance with the terms of our amended and restated bye-laws that will become effective immediately following the closing of this offering, our board of directors will be divided into three classes, Class I, Class II and Class III. At the first general meeting of shareholders following this offering, each Class I director shall be elected for a three-year initial term of office, each Class II director shall be elected for a one-year initial term of office, and each Class III director shall be elected for a two-year initial term of office. Thereafter, members of each class shall serve three-year terms. Upon the closing of this offering, the members of the classes will be divided as follows:</w:t>
      </w:r>
    </w:p>
    <w:p>
      <w:pPr>
        <w:spacing w:after="0" w:line="189" w:lineRule="exact"/>
        <w:rPr>
          <w:sz w:val="20"/>
          <w:szCs w:val="20"/>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 directors will be Sanj K. Patel and Thomas R. Malley;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II directors will be Stephen R. Biggar and Barry D. Quart;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III directors will be Felix J. Baker, Tracey L. McCain and Kimberly J. Popovits.</w:t>
      </w:r>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Upon the expiration of the term of a class of directors, directors in that class will be eligible to be elected for a new three-year term at the annual meeting of shareholders in the year in which their term expires.</w:t>
      </w:r>
    </w:p>
    <w:p>
      <w:pPr>
        <w:spacing w:after="0" w:line="185"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We have no formal policy regarding board diversity. Our priority in selection of board members is identification of members who will further the interests of our shareholders through his or her established record of professional accomplishment, the ability to contribute positively to the collaborative culture among board members, knowledge of our business and understanding of the competitive landscape.</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In selecting board members for nomination, our board may consider many factors, such as personal and professional integrity; experience in corporate management, such as serving as an officer or former officer of a pharmaceutical or biotechnology company; experience as a board member or executive officer of another publicly-held company; diversity of expertise and experience in substantive matters pertaining to our business relative to other board members; and diversity of background and perspective, including, but not limited to, with respect to age, gender, race, place of residence and specialized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0" w:lineRule="exact"/>
        <w:rPr>
          <w:sz w:val="20"/>
          <w:szCs w:val="20"/>
          <w:color w:val="auto"/>
        </w:rPr>
      </w:pPr>
    </w:p>
    <w:p>
      <w:pPr>
        <w:ind w:right="520" w:firstLine="436"/>
        <w:spacing w:after="0" w:line="241" w:lineRule="auto"/>
        <w:rPr>
          <w:sz w:val="20"/>
          <w:szCs w:val="20"/>
          <w:color w:val="auto"/>
        </w:rPr>
      </w:pPr>
      <w:r>
        <w:rPr>
          <w:rFonts w:ascii="Arial" w:cs="Arial" w:eastAsia="Arial" w:hAnsi="Arial"/>
          <w:sz w:val="16"/>
          <w:szCs w:val="16"/>
          <w:color w:val="auto"/>
        </w:rPr>
        <w:t>Our board of directors has determined that, of our seven directors, Felix J. Baker, Stephen R. Biggar, Thomas R. Malley, Tracey L. McCain, Kimberly J. Popovits and Barry D. Quart do not have a relationship that would interfere with the exercise of independent judgment in carrying out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responsibilities of a director and that each of these directors is "independent" as that term is defined under the rules of The Nasdaq Stock Market LLC. There are no family relationships among any of our directors or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0" w:lineRule="exact"/>
        <w:rPr>
          <w:sz w:val="20"/>
          <w:szCs w:val="20"/>
          <w:color w:val="auto"/>
        </w:rPr>
      </w:pPr>
    </w:p>
    <w:p>
      <w:pPr>
        <w:ind w:right="660" w:firstLine="436"/>
        <w:spacing w:after="0" w:line="273" w:lineRule="auto"/>
        <w:rPr>
          <w:sz w:val="20"/>
          <w:szCs w:val="20"/>
          <w:color w:val="auto"/>
        </w:rPr>
      </w:pPr>
      <w:r>
        <w:rPr>
          <w:rFonts w:ascii="Arial" w:cs="Arial" w:eastAsia="Arial" w:hAnsi="Arial"/>
          <w:sz w:val="15"/>
          <w:szCs w:val="15"/>
          <w:color w:val="auto"/>
        </w:rPr>
        <w:t>Our board of directors is currently chaired by our Chief Executive Officer, Sanj K. Patel, and our lead independent director is Felix J. Baker, Ph.D. Our corporate governance guidelines provide the flexibility for our board of directors to modify our leadership structure in the future as it deems appropriate.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Board in Risk Oversight</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0" w:lineRule="exact"/>
        <w:rPr>
          <w:sz w:val="20"/>
          <w:szCs w:val="20"/>
          <w:color w:val="auto"/>
        </w:rPr>
      </w:pPr>
    </w:p>
    <w:p>
      <w:pPr>
        <w:ind w:right="540" w:firstLine="436"/>
        <w:spacing w:after="0" w:line="238" w:lineRule="auto"/>
        <w:rPr>
          <w:sz w:val="20"/>
          <w:szCs w:val="20"/>
          <w:color w:val="auto"/>
        </w:rPr>
      </w:pPr>
      <w:r>
        <w:rPr>
          <w:rFonts w:ascii="Arial" w:cs="Arial" w:eastAsia="Arial" w:hAnsi="Arial"/>
          <w:sz w:val="16"/>
          <w:szCs w:val="16"/>
          <w:color w:val="auto"/>
        </w:rPr>
        <w:t xml:space="preserve">Our board of directors has established three standing committees — audit, compensation and nominating and corporate governance — each of which operates under a charter that has been approved by our board of directors. Upon our listing on Nasdaq, each committee's charter will be available under the Corporate Governance section of our website at </w:t>
      </w:r>
      <w:r>
        <w:rPr>
          <w:rFonts w:ascii="Arial" w:cs="Arial" w:eastAsia="Arial" w:hAnsi="Arial"/>
          <w:sz w:val="16"/>
          <w:szCs w:val="16"/>
          <w:i w:val="1"/>
          <w:iCs w:val="1"/>
          <w:color w:val="auto"/>
        </w:rPr>
        <w:t>www.kiniksa.com</w:t>
      </w:r>
      <w:r>
        <w:rPr>
          <w:rFonts w:ascii="Arial" w:cs="Arial" w:eastAsia="Arial" w:hAnsi="Arial"/>
          <w:sz w:val="16"/>
          <w:szCs w:val="16"/>
          <w:color w:val="auto"/>
        </w:rPr>
        <w:t>. The reference to our website address does not constitute incorporation by reference of the information contained at or available through our website, and you should not consider it to be a part of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audit committee's responsibilities include:</w:t>
      </w:r>
    </w:p>
    <w:p>
      <w:pPr>
        <w:spacing w:after="0" w:line="190" w:lineRule="exact"/>
        <w:rPr>
          <w:sz w:val="20"/>
          <w:szCs w:val="20"/>
          <w:color w:val="auto"/>
        </w:rPr>
      </w:pPr>
    </w:p>
    <w:p>
      <w:pPr>
        <w:ind w:left="960" w:hanging="481"/>
        <w:spacing w:after="0"/>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77" w:lineRule="exact"/>
        <w:rPr>
          <w:rFonts w:ascii="Arial" w:cs="Arial" w:eastAsia="Arial" w:hAnsi="Arial"/>
          <w:sz w:val="16"/>
          <w:szCs w:val="16"/>
          <w:color w:val="auto"/>
        </w:rPr>
      </w:pPr>
    </w:p>
    <w:p>
      <w:pPr>
        <w:ind w:left="960" w:right="580" w:hanging="481"/>
        <w:spacing w:after="0" w:line="241" w:lineRule="auto"/>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management and the registered public accounting firm our annual and quarterly financial statements and related disclosures;</w:t>
      </w:r>
    </w:p>
    <w:p>
      <w:pPr>
        <w:spacing w:after="0" w:line="173"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coordinating our board of directors' oversight of our internal control over financial reporting, disclosure controls and procedures and code of business conduct and ethics;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discussing our risk management policies;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if any, registered public accounting firm and management;</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approving or ratifying any related person transactions;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w:t>
      </w:r>
    </w:p>
    <w:p>
      <w:pPr>
        <w:spacing w:after="0" w:line="19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 members of our audit committee are Thomas R. Malley, Tracey L. McCain and Barry D. Quart. Mr. Malley serves as the chairperson of the committee. All members of our audit committee meet the requirements for financial literacy under the applicable listing rules of Nasdaq. Our board of directors has determined that Mr. Malley, Ms. McCain and Dr. Quart meet the independence requirements of Rule 10A-3 under the Exchange Act and the applicable Nasdaq rules. Our board of directors has determined that Mr. Malley is an "audit committee financial expert" as defined by applicable SEC rules and has the requisite financial sophistication as defined under the applicable Nasdaq rules.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compensation committee's responsibilities include:</w:t>
      </w:r>
    </w:p>
    <w:p>
      <w:pPr>
        <w:spacing w:after="0" w:line="202" w:lineRule="exact"/>
        <w:rPr>
          <w:sz w:val="20"/>
          <w:szCs w:val="20"/>
          <w:color w:val="auto"/>
        </w:rPr>
      </w:pPr>
    </w:p>
    <w:p>
      <w:pPr>
        <w:ind w:left="960" w:right="400" w:hanging="481"/>
        <w:spacing w:after="0" w:line="241" w:lineRule="auto"/>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approving, or recommending for approval by the board of directors, the compensation of our Chief Executive Officer and our other executive officers;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overseeing and administering our cash and equity incentive plans;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discussing annually with management our "Compensation Discussion and Analysis" to the extent required;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preparing the annual compensation committee report required by SEC rules, to the extent required.</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The members of our compensation committee are Felix J. Baker, Kimberly J. Popovits and Barry D. Quart. Dr. Baker serves as the chairperson of the committee. Our board of directors has determined that Drs. Baker and Quart and Ms. Popovits are independent under the applicable Nasdaq rules, including the Nasdaq rules specific to membership on the compensation committee and that each is a "non-employee director" as defined in Rule 16b-3 promulgated under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nominating and corporate governance committee's responsibilities include:</w:t>
      </w:r>
    </w:p>
    <w:p>
      <w:pPr>
        <w:spacing w:after="0" w:line="190" w:lineRule="exact"/>
        <w:rPr>
          <w:sz w:val="20"/>
          <w:szCs w:val="20"/>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identifying individuals qualified to become board members;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board committee;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overseeing a periodic evaluation of our board of directors.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members of our nominating and corporate governance committee are Felix J. Baker, Stephen R. Biggar and Thomas R. Malley. Dr. Biggar serves as the chairperson of the committee. Our board of directors has determined that Drs. Biggar and Baker and Mr. Malley are independent under the applicable Nasdaq rules.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and Code of Conduct</w:t>
      </w:r>
    </w:p>
    <w:p>
      <w:pPr>
        <w:spacing w:after="0" w:line="210"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our listing on Nasdaq, our code of business conduct and ethics will be available under the Corporate Governance section of our website at </w:t>
      </w:r>
      <w:r>
        <w:rPr>
          <w:rFonts w:ascii="Arial" w:cs="Arial" w:eastAsia="Arial" w:hAnsi="Arial"/>
          <w:sz w:val="16"/>
          <w:szCs w:val="16"/>
          <w:i w:val="1"/>
          <w:iCs w:val="1"/>
          <w:color w:val="auto"/>
        </w:rPr>
        <w:t>www.kiniksa.com</w:t>
      </w:r>
      <w:r>
        <w:rPr>
          <w:rFonts w:ascii="Arial" w:cs="Arial" w:eastAsia="Arial" w:hAnsi="Arial"/>
          <w:sz w:val="16"/>
          <w:szCs w:val="16"/>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AND DIRECTOR COMPENSATION</w:t>
      </w:r>
    </w:p>
    <w:p>
      <w:pPr>
        <w:spacing w:after="0" w:line="210"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"2017 Summary Compensation Table" below. In 2017, our "named executive officers" and their positions were as follows:</w:t>
      </w:r>
    </w:p>
    <w:p>
      <w:pPr>
        <w:spacing w:after="0" w:line="185" w:lineRule="exact"/>
        <w:rPr>
          <w:sz w:val="20"/>
          <w:szCs w:val="20"/>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Sanj K. Patel, our Chief Executive Officer and Chairman of the Board of Directors;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Stephen Mahoney, our President and Chief Operating Officer;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John F. Paolini, M.D., Ph.D., our Chief Medical Officer.</w:t>
      </w:r>
    </w:p>
    <w:p>
      <w:pPr>
        <w:spacing w:after="0" w:line="190"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2017 Summary Compensation Table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 ended December 31, 2017.</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left="2"/>
              <w:spacing w:after="0"/>
              <w:rPr>
                <w:sz w:val="20"/>
                <w:szCs w:val="20"/>
                <w:color w:val="auto"/>
              </w:rPr>
            </w:pPr>
            <w:r>
              <w:rPr>
                <w:rFonts w:ascii="Arial" w:cs="Arial" w:eastAsia="Arial" w:hAnsi="Arial"/>
                <w:sz w:val="16"/>
                <w:szCs w:val="16"/>
                <w:b w:val="1"/>
                <w:bCs w:val="1"/>
                <w:color w:val="auto"/>
                <w:w w:val="98"/>
              </w:rPr>
              <w:t>Non-Equity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40" w:type="dxa"/>
            <w:vAlign w:val="bottom"/>
          </w:tcPr>
          <w:p>
            <w:pPr>
              <w:spacing w:after="0"/>
              <w:rPr>
                <w:sz w:val="15"/>
                <w:szCs w:val="15"/>
                <w:color w:val="auto"/>
              </w:rPr>
            </w:pPr>
          </w:p>
        </w:tc>
        <w:tc>
          <w:tcPr>
            <w:tcW w:w="116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Incentive</w:t>
            </w:r>
          </w:p>
        </w:tc>
        <w:tc>
          <w:tcPr>
            <w:tcW w:w="140" w:type="dxa"/>
            <w:vAlign w:val="bottom"/>
          </w:tcPr>
          <w:p>
            <w:pPr>
              <w:spacing w:after="0"/>
              <w:rPr>
                <w:sz w:val="15"/>
                <w:szCs w:val="15"/>
                <w:color w:val="auto"/>
              </w:rPr>
            </w:pPr>
          </w:p>
        </w:tc>
        <w:tc>
          <w:tcPr>
            <w:tcW w:w="11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All Other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20"/>
              <w:spacing w:after="0" w:line="181" w:lineRule="exact"/>
              <w:rPr>
                <w:sz w:val="20"/>
                <w:szCs w:val="20"/>
                <w:color w:val="auto"/>
              </w:rPr>
            </w:pPr>
            <w:r>
              <w:rPr>
                <w:rFonts w:ascii="Arial" w:cs="Arial" w:eastAsia="Arial" w:hAnsi="Arial"/>
                <w:sz w:val="16"/>
                <w:szCs w:val="16"/>
                <w:b w:val="1"/>
                <w:bCs w:val="1"/>
                <w:color w:val="auto"/>
              </w:rPr>
              <w:t>Salary</w:t>
            </w:r>
          </w:p>
        </w:tc>
        <w:tc>
          <w:tcPr>
            <w:tcW w:w="160" w:type="dxa"/>
            <w:vAlign w:val="bottom"/>
          </w:tcPr>
          <w:p>
            <w:pPr>
              <w:spacing w:after="0"/>
              <w:rPr>
                <w:sz w:val="15"/>
                <w:szCs w:val="15"/>
                <w:color w:val="auto"/>
              </w:rPr>
            </w:pP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Awards</w:t>
            </w:r>
          </w:p>
        </w:tc>
        <w:tc>
          <w:tcPr>
            <w:tcW w:w="14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Compensation</w:t>
            </w:r>
          </w:p>
        </w:tc>
        <w:tc>
          <w:tcPr>
            <w:tcW w:w="1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Compensation</w:t>
            </w:r>
          </w:p>
        </w:tc>
        <w:tc>
          <w:tcPr>
            <w:tcW w:w="140" w:type="dxa"/>
            <w:vAlign w:val="bottom"/>
          </w:tcPr>
          <w:p>
            <w:pPr>
              <w:spacing w:after="0"/>
              <w:rPr>
                <w:sz w:val="15"/>
                <w:szCs w:val="15"/>
                <w:color w:val="auto"/>
              </w:rPr>
            </w:pPr>
          </w:p>
        </w:tc>
        <w:tc>
          <w:tcPr>
            <w:tcW w:w="920" w:type="dxa"/>
            <w:vAlign w:val="bottom"/>
            <w:gridSpan w:val="2"/>
          </w:tcPr>
          <w:p>
            <w:pPr>
              <w:ind w:left="24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3300" w:type="dxa"/>
            <w:vAlign w:val="bottom"/>
            <w:gridSpan w:val="3"/>
          </w:tcPr>
          <w:p>
            <w:pPr>
              <w:spacing w:after="0"/>
              <w:rPr>
                <w:sz w:val="20"/>
                <w:szCs w:val="20"/>
                <w:color w:val="auto"/>
              </w:rPr>
            </w:pPr>
            <w:r>
              <w:rPr>
                <w:rFonts w:ascii="Arial" w:cs="Arial" w:eastAsia="Arial" w:hAnsi="Arial"/>
                <w:sz w:val="16"/>
                <w:szCs w:val="16"/>
                <w:b w:val="1"/>
                <w:bCs w:val="1"/>
                <w:color w:val="auto"/>
              </w:rPr>
              <w:t>Name and Principal Position</w:t>
            </w:r>
          </w:p>
        </w:tc>
        <w:tc>
          <w:tcPr>
            <w:tcW w:w="14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92"/>
              </w:rPr>
              <w:t>Year</w:t>
            </w:r>
          </w:p>
        </w:tc>
        <w:tc>
          <w:tcPr>
            <w:tcW w:w="780" w:type="dxa"/>
            <w:vAlign w:val="bottom"/>
            <w:gridSpan w:val="2"/>
          </w:tcPr>
          <w:p>
            <w:pPr>
              <w:jc w:val="center"/>
              <w:ind w:left="142"/>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center"/>
              <w:ind w:left="124"/>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300" w:type="dxa"/>
            <w:vAlign w:val="bottom"/>
            <w:gridSpan w:val="2"/>
          </w:tcPr>
          <w:p>
            <w:pPr>
              <w:jc w:val="center"/>
              <w:ind w:left="122"/>
              <w:spacing w:after="0"/>
              <w:rPr>
                <w:sz w:val="20"/>
                <w:szCs w:val="20"/>
                <w:color w:val="auto"/>
              </w:rPr>
            </w:pPr>
            <w:r>
              <w:rPr>
                <w:rFonts w:ascii="Arial" w:cs="Arial" w:eastAsia="Arial" w:hAnsi="Arial"/>
                <w:sz w:val="16"/>
                <w:szCs w:val="16"/>
                <w:b w:val="1"/>
                <w:bCs w:val="1"/>
                <w:color w:val="auto"/>
                <w:w w:val="91"/>
              </w:rPr>
              <w:t>($)</w:t>
            </w:r>
          </w:p>
        </w:tc>
        <w:tc>
          <w:tcPr>
            <w:tcW w:w="1320" w:type="dxa"/>
            <w:vAlign w:val="bottom"/>
            <w:gridSpan w:val="2"/>
          </w:tcPr>
          <w:p>
            <w:pPr>
              <w:jc w:val="right"/>
              <w:ind w:right="302"/>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920" w:type="dxa"/>
            <w:vAlign w:val="bottom"/>
            <w:gridSpan w:val="2"/>
          </w:tcPr>
          <w:p>
            <w:pPr>
              <w:jc w:val="right"/>
              <w:ind w:right="18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5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89"/>
              </w:rPr>
              <w:t>2017</w:t>
            </w:r>
          </w:p>
        </w:tc>
        <w:tc>
          <w:tcPr>
            <w:tcW w:w="780" w:type="dxa"/>
            <w:vAlign w:val="bottom"/>
            <w:gridSpan w:val="2"/>
            <w:shd w:val="clear" w:color="auto" w:fill="CCEEFF"/>
          </w:tcPr>
          <w:p>
            <w:pPr>
              <w:jc w:val="center"/>
              <w:ind w:left="142"/>
              <w:spacing w:after="0" w:line="169" w:lineRule="exact"/>
              <w:rPr>
                <w:sz w:val="20"/>
                <w:szCs w:val="20"/>
                <w:color w:val="auto"/>
              </w:rPr>
            </w:pPr>
            <w:r>
              <w:rPr>
                <w:rFonts w:ascii="Arial" w:cs="Arial" w:eastAsia="Arial" w:hAnsi="Arial"/>
                <w:sz w:val="16"/>
                <w:szCs w:val="16"/>
                <w:color w:val="auto"/>
                <w:w w:val="96"/>
              </w:rPr>
              <w:t>700,000</w:t>
            </w:r>
          </w:p>
        </w:tc>
        <w:tc>
          <w:tcPr>
            <w:tcW w:w="800" w:type="dxa"/>
            <w:vAlign w:val="bottom"/>
            <w:gridSpan w:val="2"/>
            <w:shd w:val="clear" w:color="auto" w:fill="CCEEFF"/>
          </w:tcPr>
          <w:p>
            <w:pPr>
              <w:jc w:val="center"/>
              <w:ind w:left="124"/>
              <w:spacing w:after="0" w:line="169" w:lineRule="exact"/>
              <w:rPr>
                <w:sz w:val="20"/>
                <w:szCs w:val="20"/>
                <w:color w:val="auto"/>
              </w:rPr>
            </w:pPr>
            <w:r>
              <w:rPr>
                <w:rFonts w:ascii="Arial" w:cs="Arial" w:eastAsia="Arial" w:hAnsi="Arial"/>
                <w:sz w:val="16"/>
                <w:szCs w:val="16"/>
                <w:color w:val="auto"/>
                <w:w w:val="96"/>
              </w:rPr>
              <w:t>644,950</w:t>
            </w:r>
          </w:p>
        </w:tc>
        <w:tc>
          <w:tcPr>
            <w:tcW w:w="1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140,000</w:t>
            </w:r>
          </w:p>
        </w:tc>
        <w:tc>
          <w:tcPr>
            <w:tcW w:w="1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10,800</w:t>
            </w:r>
          </w:p>
        </w:tc>
        <w:tc>
          <w:tcPr>
            <w:tcW w:w="9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1,495,750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gridSpan w:val="3"/>
            <w:shd w:val="clear" w:color="auto" w:fill="CCEEFF"/>
          </w:tcPr>
          <w:p>
            <w:pPr>
              <w:ind w:left="140"/>
              <w:spacing w:after="0" w:line="168" w:lineRule="exact"/>
              <w:rPr>
                <w:sz w:val="20"/>
                <w:szCs w:val="20"/>
                <w:color w:val="auto"/>
              </w:rPr>
            </w:pPr>
            <w:r>
              <w:rPr>
                <w:rFonts w:ascii="Arial" w:cs="Arial" w:eastAsia="Arial" w:hAnsi="Arial"/>
                <w:sz w:val="16"/>
                <w:szCs w:val="16"/>
                <w:i w:val="1"/>
                <w:iCs w:val="1"/>
                <w:color w:val="auto"/>
              </w:rPr>
              <w:t>Chief Executive Officer and Chairman of the</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Board</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00" w:type="dxa"/>
            <w:vAlign w:val="bottom"/>
            <w:gridSpan w:val="3"/>
          </w:tcPr>
          <w:p>
            <w:pPr>
              <w:spacing w:after="0" w:line="168" w:lineRule="exact"/>
              <w:rPr>
                <w:sz w:val="20"/>
                <w:szCs w:val="20"/>
                <w:color w:val="auto"/>
              </w:rPr>
            </w:pPr>
            <w:r>
              <w:rPr>
                <w:rFonts w:ascii="Arial" w:cs="Arial" w:eastAsia="Arial" w:hAnsi="Arial"/>
                <w:sz w:val="16"/>
                <w:szCs w:val="16"/>
                <w:color w:val="auto"/>
              </w:rPr>
              <w:t>Stephen Mahoney</w:t>
            </w:r>
          </w:p>
        </w:tc>
        <w:tc>
          <w:tcPr>
            <w:tcW w:w="560" w:type="dxa"/>
            <w:vAlign w:val="bottom"/>
            <w:gridSpan w:val="2"/>
          </w:tcPr>
          <w:p>
            <w:pPr>
              <w:ind w:left="220"/>
              <w:spacing w:after="0" w:line="168" w:lineRule="exact"/>
              <w:rPr>
                <w:sz w:val="20"/>
                <w:szCs w:val="20"/>
                <w:color w:val="auto"/>
              </w:rPr>
            </w:pPr>
            <w:r>
              <w:rPr>
                <w:rFonts w:ascii="Arial" w:cs="Arial" w:eastAsia="Arial" w:hAnsi="Arial"/>
                <w:sz w:val="16"/>
                <w:szCs w:val="16"/>
                <w:color w:val="auto"/>
                <w:w w:val="89"/>
              </w:rPr>
              <w:t>2017</w:t>
            </w:r>
          </w:p>
        </w:tc>
        <w:tc>
          <w:tcPr>
            <w:tcW w:w="78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96"/>
              </w:rPr>
              <w:t>405,000</w:t>
            </w:r>
          </w:p>
        </w:tc>
        <w:tc>
          <w:tcPr>
            <w:tcW w:w="800" w:type="dxa"/>
            <w:vAlign w:val="bottom"/>
            <w:gridSpan w:val="2"/>
          </w:tcPr>
          <w:p>
            <w:pPr>
              <w:jc w:val="center"/>
              <w:ind w:left="124"/>
              <w:spacing w:after="0" w:line="168" w:lineRule="exact"/>
              <w:rPr>
                <w:sz w:val="20"/>
                <w:szCs w:val="20"/>
                <w:color w:val="auto"/>
              </w:rPr>
            </w:pPr>
            <w:r>
              <w:rPr>
                <w:rFonts w:ascii="Arial" w:cs="Arial" w:eastAsia="Arial" w:hAnsi="Arial"/>
                <w:sz w:val="16"/>
                <w:szCs w:val="16"/>
                <w:color w:val="auto"/>
                <w:w w:val="96"/>
              </w:rPr>
              <w:t>219,629</w:t>
            </w:r>
          </w:p>
        </w:tc>
        <w:tc>
          <w:tcPr>
            <w:tcW w:w="13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81,000</w:t>
            </w: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10,800</w:t>
            </w:r>
          </w:p>
        </w:tc>
        <w:tc>
          <w:tcPr>
            <w:tcW w:w="9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716,429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gridSpan w:val="3"/>
          </w:tcPr>
          <w:p>
            <w:pPr>
              <w:ind w:left="140"/>
              <w:spacing w:after="0"/>
              <w:rPr>
                <w:sz w:val="20"/>
                <w:szCs w:val="20"/>
                <w:color w:val="auto"/>
              </w:rPr>
            </w:pPr>
            <w:r>
              <w:rPr>
                <w:rFonts w:ascii="Arial" w:cs="Arial" w:eastAsia="Arial" w:hAnsi="Arial"/>
                <w:sz w:val="16"/>
                <w:szCs w:val="16"/>
                <w:i w:val="1"/>
                <w:iCs w:val="1"/>
                <w:color w:val="auto"/>
              </w:rPr>
              <w:t>President and Chief Operating Officer</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56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w w:val="89"/>
              </w:rPr>
              <w:t>2017</w:t>
            </w:r>
          </w:p>
        </w:tc>
        <w:tc>
          <w:tcPr>
            <w:tcW w:w="78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6"/>
              </w:rPr>
              <w:t>380,000</w:t>
            </w:r>
          </w:p>
        </w:tc>
        <w:tc>
          <w:tcPr>
            <w:tcW w:w="800" w:type="dxa"/>
            <w:vAlign w:val="bottom"/>
            <w:gridSpan w:val="2"/>
            <w:shd w:val="clear" w:color="auto" w:fill="CCEEFF"/>
          </w:tcPr>
          <w:p>
            <w:pPr>
              <w:jc w:val="center"/>
              <w:ind w:left="124"/>
              <w:spacing w:after="0" w:line="181" w:lineRule="exact"/>
              <w:rPr>
                <w:sz w:val="20"/>
                <w:szCs w:val="20"/>
                <w:color w:val="auto"/>
              </w:rPr>
            </w:pPr>
            <w:r>
              <w:rPr>
                <w:rFonts w:ascii="Arial" w:cs="Arial" w:eastAsia="Arial" w:hAnsi="Arial"/>
                <w:sz w:val="16"/>
                <w:szCs w:val="16"/>
                <w:color w:val="auto"/>
                <w:w w:val="96"/>
              </w:rPr>
              <w:t>275,358</w:t>
            </w:r>
          </w:p>
        </w:tc>
        <w:tc>
          <w:tcPr>
            <w:tcW w:w="13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114,000</w:t>
            </w:r>
          </w:p>
        </w:tc>
        <w:tc>
          <w:tcPr>
            <w:tcW w:w="13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10,800</w:t>
            </w: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780,158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gridSpan w:val="3"/>
            <w:shd w:val="clear" w:color="auto" w:fill="CCEEFF"/>
          </w:tcPr>
          <w:p>
            <w:pPr>
              <w:ind w:left="140"/>
              <w:spacing w:after="0" w:line="181" w:lineRule="exact"/>
              <w:rPr>
                <w:sz w:val="20"/>
                <w:szCs w:val="20"/>
                <w:color w:val="auto"/>
              </w:rPr>
            </w:pPr>
            <w:r>
              <w:rPr>
                <w:rFonts w:ascii="Arial" w:cs="Arial" w:eastAsia="Arial" w:hAnsi="Arial"/>
                <w:sz w:val="16"/>
                <w:szCs w:val="16"/>
                <w:i w:val="1"/>
                <w:iCs w:val="1"/>
                <w:color w:val="auto"/>
              </w:rPr>
              <w:t>Chief Medical Officer</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6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80" w:hanging="480"/>
        <w:spacing w:after="0" w:line="205" w:lineRule="auto"/>
        <w:tabs>
          <w:tab w:leader="none" w:pos="1620" w:val="left"/>
        </w:tabs>
        <w:numPr>
          <w:ilvl w:val="0"/>
          <w:numId w:val="87"/>
        </w:numPr>
        <w:rPr>
          <w:rFonts w:ascii="Arial" w:cs="Arial" w:eastAsia="Arial" w:hAnsi="Arial"/>
          <w:sz w:val="19"/>
          <w:szCs w:val="19"/>
          <w:color w:val="auto"/>
          <w:vertAlign w:val="superscript"/>
        </w:rPr>
      </w:pPr>
      <w:r>
        <w:rPr>
          <w:rFonts w:ascii="Arial" w:cs="Arial" w:eastAsia="Arial" w:hAnsi="Arial"/>
          <w:sz w:val="13"/>
          <w:szCs w:val="13"/>
          <w:color w:val="auto"/>
        </w:rPr>
        <w:t>Amounts reflect the full grant-date fair value of share options granted during 2017 computed in accordance with ASC Topic 718, rather than the amounts paid to or realized by the named individual. We provide information regarding the assumptions used to calculate the value of all option awards in Note 8 to our consolidated financial statements included in this prospectus.</w:t>
      </w:r>
    </w:p>
    <w:p>
      <w:pPr>
        <w:spacing w:after="0" w:line="136" w:lineRule="exact"/>
        <w:rPr>
          <w:rFonts w:ascii="Arial" w:cs="Arial" w:eastAsia="Arial" w:hAnsi="Arial"/>
          <w:sz w:val="19"/>
          <w:szCs w:val="19"/>
          <w:color w:val="auto"/>
          <w:vertAlign w:val="superscript"/>
        </w:rPr>
      </w:pPr>
    </w:p>
    <w:p>
      <w:pPr>
        <w:ind w:left="1620" w:right="140" w:hanging="480"/>
        <w:spacing w:after="0" w:line="195" w:lineRule="auto"/>
        <w:tabs>
          <w:tab w:leader="none" w:pos="1620" w:val="left"/>
        </w:tabs>
        <w:numPr>
          <w:ilvl w:val="0"/>
          <w:numId w:val="87"/>
        </w:numPr>
        <w:rPr>
          <w:rFonts w:ascii="Arial" w:cs="Arial" w:eastAsia="Arial" w:hAnsi="Arial"/>
          <w:sz w:val="19"/>
          <w:szCs w:val="19"/>
          <w:color w:val="auto"/>
          <w:vertAlign w:val="superscript"/>
        </w:rPr>
      </w:pPr>
      <w:r>
        <w:rPr>
          <w:rFonts w:ascii="Arial" w:cs="Arial" w:eastAsia="Arial" w:hAnsi="Arial"/>
          <w:sz w:val="13"/>
          <w:szCs w:val="13"/>
          <w:color w:val="auto"/>
        </w:rPr>
        <w:t>Amount shown represents 401(k) matching contributions. For additional information, refer to the discussion in the "Narrative Disclosure to Summary Compensation Table" below under the heading "— Other Elements of Compensation — Retirement Plans."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10"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Salaries</w:t>
      </w:r>
    </w:p>
    <w:p>
      <w:pPr>
        <w:spacing w:after="0" w:line="208"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We pay our named executive officers a base salary that is intended to provide a fixed component of compensation reflecting the executive's skill set, experience, role and responsibilities. Base salaries for our named executive officers generally have been set at levels deemed necessary to attract and retain the named executive officers and were originally established in each named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employment agreement or offer letter. The following table shows the annual base salaries for 2017 of our named executive officers:</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2017 Annual</w:t>
            </w:r>
          </w:p>
        </w:tc>
      </w:tr>
      <w:tr>
        <w:trPr>
          <w:trHeight w:val="174"/>
        </w:trPr>
        <w:tc>
          <w:tcPr>
            <w:tcW w:w="20" w:type="dxa"/>
            <w:vAlign w:val="bottom"/>
          </w:tcPr>
          <w:p>
            <w:pPr>
              <w:spacing w:after="0"/>
              <w:rPr>
                <w:sz w:val="15"/>
                <w:szCs w:val="15"/>
                <w:color w:val="auto"/>
              </w:rPr>
            </w:pPr>
          </w:p>
        </w:tc>
        <w:tc>
          <w:tcPr>
            <w:tcW w:w="65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w:t>
            </w:r>
          </w:p>
        </w:tc>
        <w:tc>
          <w:tcPr>
            <w:tcW w:w="1400" w:type="dxa"/>
            <w:vAlign w:val="bottom"/>
            <w:gridSpan w:val="2"/>
          </w:tcPr>
          <w:p>
            <w:pPr>
              <w:jc w:val="right"/>
              <w:ind w:right="140"/>
              <w:spacing w:after="0" w:line="174" w:lineRule="exact"/>
              <w:rPr>
                <w:sz w:val="20"/>
                <w:szCs w:val="20"/>
                <w:color w:val="auto"/>
              </w:rPr>
            </w:pPr>
            <w:r>
              <w:rPr>
                <w:rFonts w:ascii="Arial" w:cs="Arial" w:eastAsia="Arial" w:hAnsi="Arial"/>
                <w:sz w:val="16"/>
                <w:szCs w:val="16"/>
                <w:b w:val="1"/>
                <w:bCs w:val="1"/>
                <w:color w:val="auto"/>
              </w:rPr>
              <w:t>Base Salary ($)</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4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700,000</w:t>
            </w:r>
          </w:p>
        </w:tc>
      </w:tr>
      <w:tr>
        <w:trPr>
          <w:trHeight w:val="181"/>
        </w:trPr>
        <w:tc>
          <w:tcPr>
            <w:tcW w:w="20" w:type="dxa"/>
            <w:vAlign w:val="bottom"/>
          </w:tcPr>
          <w:p>
            <w:pPr>
              <w:spacing w:after="0"/>
              <w:rPr>
                <w:sz w:val="15"/>
                <w:szCs w:val="15"/>
                <w:color w:val="auto"/>
              </w:rPr>
            </w:pPr>
          </w:p>
        </w:tc>
        <w:tc>
          <w:tcPr>
            <w:tcW w:w="6580" w:type="dxa"/>
            <w:vAlign w:val="bottom"/>
            <w:gridSpan w:val="2"/>
          </w:tcPr>
          <w:p>
            <w:pPr>
              <w:spacing w:after="0" w:line="181" w:lineRule="exact"/>
              <w:rPr>
                <w:sz w:val="20"/>
                <w:szCs w:val="20"/>
                <w:color w:val="auto"/>
              </w:rPr>
            </w:pPr>
            <w:r>
              <w:rPr>
                <w:rFonts w:ascii="Arial" w:cs="Arial" w:eastAsia="Arial" w:hAnsi="Arial"/>
                <w:sz w:val="16"/>
                <w:szCs w:val="16"/>
                <w:color w:val="auto"/>
              </w:rPr>
              <w:t>Stephen Mahoney</w:t>
            </w:r>
          </w:p>
        </w:tc>
        <w:tc>
          <w:tcPr>
            <w:tcW w:w="14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405,000</w:t>
            </w:r>
          </w:p>
        </w:tc>
      </w:tr>
      <w:tr>
        <w:trPr>
          <w:trHeight w:val="181"/>
        </w:trPr>
        <w:tc>
          <w:tcPr>
            <w:tcW w:w="20" w:type="dxa"/>
            <w:vAlign w:val="bottom"/>
            <w:shd w:val="clear" w:color="auto" w:fill="CCEEFF"/>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14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380,000</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Bonuses</w:t>
      </w:r>
    </w:p>
    <w:p>
      <w:pPr>
        <w:spacing w:after="0" w:line="208" w:lineRule="exact"/>
        <w:rPr>
          <w:sz w:val="20"/>
          <w:szCs w:val="20"/>
          <w:color w:val="auto"/>
        </w:rPr>
      </w:pPr>
    </w:p>
    <w:p>
      <w:pPr>
        <w:ind w:right="280" w:firstLine="436"/>
        <w:spacing w:after="0" w:line="237" w:lineRule="auto"/>
        <w:rPr>
          <w:sz w:val="20"/>
          <w:szCs w:val="20"/>
          <w:color w:val="auto"/>
        </w:rPr>
      </w:pPr>
      <w:r>
        <w:rPr>
          <w:rFonts w:ascii="Arial" w:cs="Arial" w:eastAsia="Arial" w:hAnsi="Arial"/>
          <w:sz w:val="16"/>
          <w:szCs w:val="16"/>
          <w:color w:val="auto"/>
        </w:rPr>
        <w:t>We offer our named executive officers the opportunity to earn annual performance bonuses to compensate them for attaining short-term company and individual goals as approved by our board of directors. For 2017, performance bonuses were based on attaining corporate goals relating to the overall business, including development of KPL-716, business development, intellectual property protection, supply chain requirements, key employee retention and recruitment, capitalization and cost and expense control and operational compliance. The 2017 target bonus amounts for our named executive officers, expressed as percentages of their respective annual base salaries, were 10% for Mr. Patel, 10% for Mr. Mahoney and 30% for Dr. Paolini.</w:t>
      </w:r>
    </w:p>
    <w:p>
      <w:pPr>
        <w:spacing w:after="0" w:line="189"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In December 2017, our board of directors met to review performance against the 2017 bonus goals and approved cash bonuses for the named executive officers in the amounts set forth in the Non-Equity Incentive Plan Compensation column of the 2017 Summary Compensation Table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generally offer share options to our employees, including our named executive officers, as the long-term incentive component of our compensation program. Share options allow our employees to purchase our Class A common shares at a price equal to the fair market value per Class A common share on the date of grant, as determined by the board of directors. In 2017, our named executive officers were granted the share options set forth in the table below. The options vest over four years from the applicable grant date with 25% of the option vesting on the first anniversary of the grant date and 2.0833% of the shares vesting monthly for three years thereafter.</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2017 Option Awards</w:t>
            </w:r>
          </w:p>
        </w:tc>
      </w:tr>
      <w:tr>
        <w:trPr>
          <w:trHeight w:val="174"/>
        </w:trPr>
        <w:tc>
          <w:tcPr>
            <w:tcW w:w="20" w:type="dxa"/>
            <w:vAlign w:val="bottom"/>
          </w:tcPr>
          <w:p>
            <w:pPr>
              <w:spacing w:after="0"/>
              <w:rPr>
                <w:sz w:val="15"/>
                <w:szCs w:val="15"/>
                <w:color w:val="auto"/>
              </w:rPr>
            </w:pPr>
          </w:p>
        </w:tc>
        <w:tc>
          <w:tcPr>
            <w:tcW w:w="622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Named Executive Officer</w:t>
            </w:r>
          </w:p>
        </w:tc>
        <w:tc>
          <w:tcPr>
            <w:tcW w:w="1760" w:type="dxa"/>
            <w:vAlign w:val="bottom"/>
            <w:gridSpan w:val="2"/>
          </w:tcPr>
          <w:p>
            <w:pPr>
              <w:jc w:val="right"/>
              <w:ind w:right="600"/>
              <w:spacing w:after="0" w:line="174" w:lineRule="exact"/>
              <w:rPr>
                <w:sz w:val="20"/>
                <w:szCs w:val="20"/>
                <w:color w:val="auto"/>
              </w:rPr>
            </w:pPr>
            <w:r>
              <w:rPr>
                <w:rFonts w:ascii="Arial" w:cs="Arial" w:eastAsia="Arial" w:hAnsi="Arial"/>
                <w:sz w:val="16"/>
                <w:szCs w:val="16"/>
                <w:b w:val="1"/>
                <w:bCs w:val="1"/>
                <w:color w:val="auto"/>
              </w:rPr>
              <w:t>Granted</w:t>
            </w: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7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257,969</w:t>
            </w:r>
          </w:p>
        </w:tc>
      </w:tr>
      <w:tr>
        <w:trPr>
          <w:trHeight w:val="181"/>
        </w:trPr>
        <w:tc>
          <w:tcPr>
            <w:tcW w:w="20" w:type="dxa"/>
            <w:vAlign w:val="bottom"/>
          </w:tcPr>
          <w:p>
            <w:pPr>
              <w:spacing w:after="0"/>
              <w:rPr>
                <w:sz w:val="15"/>
                <w:szCs w:val="15"/>
                <w:color w:val="auto"/>
              </w:rPr>
            </w:pPr>
          </w:p>
        </w:tc>
        <w:tc>
          <w:tcPr>
            <w:tcW w:w="6220" w:type="dxa"/>
            <w:vAlign w:val="bottom"/>
            <w:gridSpan w:val="2"/>
          </w:tcPr>
          <w:p>
            <w:pPr>
              <w:spacing w:after="0" w:line="181" w:lineRule="exact"/>
              <w:rPr>
                <w:sz w:val="20"/>
                <w:szCs w:val="20"/>
                <w:color w:val="auto"/>
              </w:rPr>
            </w:pPr>
            <w:r>
              <w:rPr>
                <w:rFonts w:ascii="Arial" w:cs="Arial" w:eastAsia="Arial" w:hAnsi="Arial"/>
                <w:sz w:val="16"/>
                <w:szCs w:val="16"/>
                <w:color w:val="auto"/>
              </w:rPr>
              <w:t>Stephen Mahoney</w:t>
            </w:r>
          </w:p>
        </w:tc>
        <w:tc>
          <w:tcPr>
            <w:tcW w:w="17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87,848</w:t>
            </w:r>
          </w:p>
        </w:tc>
      </w:tr>
      <w:tr>
        <w:trPr>
          <w:trHeight w:val="181"/>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17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110,138</w:t>
            </w:r>
          </w:p>
        </w:tc>
      </w:tr>
    </w:tbl>
    <w:p>
      <w:pPr>
        <w:spacing w:after="0" w:line="196"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These options were issued under our 2015 Equity Incentive Plan, or the 2015 Plan, with exercise prices equal to the fair market value of our Class A common shares on the date of grant, as determined by the board of directors, and subject to our standard vesting schedule described above.</w:t>
      </w:r>
    </w:p>
    <w:p>
      <w:pPr>
        <w:spacing w:after="0" w:line="18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connection with this offering, our board of directors adopted, and our shareholders have approved, the 2018 Incentive Award Plan, or the 2018 Plan, in order to facilitate the grant of cash and equity incentives to directors, employees (including our named executive officers) and consultants and to enable us to obtain and retain services of these individuals, which we believe is essential to our long-term success. The 2018 Plan will be effective on the day prior to the first public trading date of our Class A common shares. Following the effective date of the 2018 Plan, we will not make any further grants under our 2015 Plan. However, the 2015 Plan will continue to govern the terms and conditions of the outstanding awards granted under it. For additional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2015 Plan and the 2018 Plan, please see the section titled "Executive Compensation Plans" below.</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Elements of Compensation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Retirement Plans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provide matching contributions of 100% of the first 3% of each participant's salary contributed, plus 50% for each of the next 2% contributed. Employee contributions are allocated to each participant's individual account and are then invested in selected investment alternatives according to the participants' directions. Employees are immediately and fully vested in their own contributions and the employer match.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Employee Benefits and Perquisites</w:t>
      </w:r>
    </w:p>
    <w:p>
      <w:pPr>
        <w:spacing w:after="0" w:line="208" w:lineRule="exact"/>
        <w:rPr>
          <w:sz w:val="20"/>
          <w:szCs w:val="20"/>
          <w:color w:val="auto"/>
        </w:rPr>
      </w:pPr>
    </w:p>
    <w:p>
      <w:pPr>
        <w:jc w:val="both"/>
        <w:ind w:right="100" w:firstLine="427"/>
        <w:spacing w:after="0" w:line="239"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a healthcare spending account, a dependent care flexible spending account, short-term and long-term disability insurance and life insurance to the same extent as our other full-time employees generally, subject to the terms and eligibility requirements of those plans.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No Tax Gross-Ups</w:t>
      </w:r>
    </w:p>
    <w:p>
      <w:pPr>
        <w:spacing w:after="0" w:line="208" w:lineRule="exact"/>
        <w:rPr>
          <w:sz w:val="20"/>
          <w:szCs w:val="20"/>
          <w:color w:val="auto"/>
        </w:rPr>
      </w:pPr>
    </w:p>
    <w:p>
      <w:pPr>
        <w:ind w:right="40" w:firstLine="436"/>
        <w:spacing w:after="0" w:line="241" w:lineRule="auto"/>
        <w:rPr>
          <w:sz w:val="20"/>
          <w:szCs w:val="20"/>
          <w:color w:val="auto"/>
        </w:rPr>
      </w:pPr>
      <w:r>
        <w:rPr>
          <w:rFonts w:ascii="Arial" w:cs="Arial" w:eastAsia="Arial" w:hAnsi="Arial"/>
          <w:sz w:val="16"/>
          <w:szCs w:val="16"/>
          <w:color w:val="auto"/>
        </w:rPr>
        <w:t>We do not make gross-up payments to cover our named executive officers' personal income taxes that may pertain to any of the compensation or perquisites paid or provided by us.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Outstanding Equity Awards at 2017 Fiscal Year-End</w:t>
      </w:r>
    </w:p>
    <w:p>
      <w:pPr>
        <w:spacing w:after="0" w:line="210"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following table summarizes the number of Class A common shares underlying outstanding equity incentive plan awards for each named executive officer as of December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64"/>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8"/>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Underlying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Underlying</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Unexercised</w:t>
            </w:r>
          </w:p>
        </w:tc>
        <w:tc>
          <w:tcPr>
            <w:tcW w:w="1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Option</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Option</w:t>
            </w: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Vesting Start</w:t>
            </w: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Unexercised Options</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Options (#)</w:t>
            </w:r>
          </w:p>
        </w:tc>
        <w:tc>
          <w:tcPr>
            <w:tcW w:w="1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Expiration</w:t>
            </w:r>
          </w:p>
        </w:tc>
      </w:tr>
      <w:tr>
        <w:trPr>
          <w:trHeight w:val="193"/>
        </w:trPr>
        <w:tc>
          <w:tcPr>
            <w:tcW w:w="240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Date</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 Exercisable</w:t>
            </w:r>
          </w:p>
        </w:tc>
        <w:tc>
          <w:tcPr>
            <w:tcW w:w="140" w:type="dxa"/>
            <w:vAlign w:val="bottom"/>
          </w:tcPr>
          <w:p>
            <w:pPr>
              <w:spacing w:after="0"/>
              <w:rPr>
                <w:sz w:val="16"/>
                <w:szCs w:val="16"/>
                <w:color w:val="auto"/>
              </w:rPr>
            </w:pPr>
          </w:p>
        </w:tc>
        <w:tc>
          <w:tcPr>
            <w:tcW w:w="1600" w:type="dxa"/>
            <w:vAlign w:val="bottom"/>
          </w:tcPr>
          <w:p>
            <w:pPr>
              <w:jc w:val="right"/>
              <w:spacing w:after="0" w:line="193"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2"/>
                <w:szCs w:val="22"/>
                <w:b w:val="1"/>
                <w:bCs w:val="1"/>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Price ($)</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Date</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24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8/1/2015</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293,864</w:t>
            </w:r>
          </w:p>
        </w:tc>
        <w:tc>
          <w:tcPr>
            <w:tcW w:w="17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209,904</w:t>
            </w:r>
          </w:p>
        </w:tc>
        <w:tc>
          <w:tcPr>
            <w:tcW w:w="9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12/15/2025</w:t>
            </w:r>
          </w:p>
        </w:tc>
        <w:tc>
          <w:tcPr>
            <w:tcW w:w="160" w:type="dxa"/>
            <w:vAlign w:val="bottom"/>
            <w:shd w:val="clear" w:color="auto" w:fill="CCEEFF"/>
          </w:tcPr>
          <w:p>
            <w:pPr>
              <w:spacing w:after="0"/>
              <w:rPr>
                <w:sz w:val="14"/>
                <w:szCs w:val="14"/>
                <w:color w:val="auto"/>
              </w:rPr>
            </w:pPr>
          </w:p>
        </w:tc>
      </w:tr>
      <w:tr>
        <w:trPr>
          <w:trHeight w:val="193"/>
        </w:trPr>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257,969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shd w:val="clear" w:color="auto" w:fill="CCEEFF"/>
          </w:tcPr>
          <w:p>
            <w:pPr>
              <w:spacing w:after="0"/>
              <w:rPr>
                <w:sz w:val="16"/>
                <w:szCs w:val="16"/>
                <w:color w:val="auto"/>
              </w:rPr>
            </w:pPr>
          </w:p>
        </w:tc>
      </w:tr>
      <w:tr>
        <w:trPr>
          <w:trHeight w:val="384"/>
        </w:trPr>
        <w:tc>
          <w:tcPr>
            <w:tcW w:w="2400" w:type="dxa"/>
            <w:vAlign w:val="bottom"/>
            <w:gridSpan w:val="3"/>
          </w:tcPr>
          <w:p>
            <w:pPr>
              <w:spacing w:after="0"/>
              <w:rPr>
                <w:sz w:val="20"/>
                <w:szCs w:val="20"/>
                <w:color w:val="auto"/>
              </w:rPr>
            </w:pPr>
            <w:r>
              <w:rPr>
                <w:rFonts w:ascii="Arial" w:cs="Arial" w:eastAsia="Arial" w:hAnsi="Arial"/>
                <w:sz w:val="16"/>
                <w:szCs w:val="16"/>
                <w:color w:val="auto"/>
              </w:rPr>
              <w:t>Stephen Mahoney</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8/1/2015</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73,466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52,475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12/15/2025</w:t>
            </w:r>
          </w:p>
        </w:tc>
        <w:tc>
          <w:tcPr>
            <w:tcW w:w="160" w:type="dxa"/>
            <w:vAlign w:val="bottom"/>
          </w:tcPr>
          <w:p>
            <w:pPr>
              <w:spacing w:after="0"/>
              <w:rPr>
                <w:sz w:val="24"/>
                <w:szCs w:val="24"/>
                <w:color w:val="auto"/>
              </w:rPr>
            </w:pPr>
          </w:p>
        </w:tc>
      </w:tr>
      <w:tr>
        <w:trPr>
          <w:trHeight w:val="183"/>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87,848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tcPr>
          <w:p>
            <w:pPr>
              <w:spacing w:after="0"/>
              <w:rPr>
                <w:sz w:val="15"/>
                <w:szCs w:val="15"/>
                <w:color w:val="auto"/>
              </w:rPr>
            </w:pPr>
          </w:p>
        </w:tc>
      </w:tr>
      <w:tr>
        <w:trPr>
          <w:trHeight w:val="374"/>
        </w:trPr>
        <w:tc>
          <w:tcPr>
            <w:tcW w:w="2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F. Paolini, M.D., Ph.D.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8/15/2016</w:t>
            </w: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151,716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9/13/2026</w:t>
            </w:r>
          </w:p>
        </w:tc>
        <w:tc>
          <w:tcPr>
            <w:tcW w:w="160" w:type="dxa"/>
            <w:vAlign w:val="bottom"/>
            <w:shd w:val="clear" w:color="auto" w:fill="CCEEFF"/>
          </w:tcPr>
          <w:p>
            <w:pPr>
              <w:spacing w:after="0"/>
              <w:rPr>
                <w:sz w:val="24"/>
                <w:szCs w:val="24"/>
                <w:color w:val="auto"/>
              </w:rPr>
            </w:pPr>
          </w:p>
        </w:tc>
      </w:tr>
      <w:tr>
        <w:trPr>
          <w:trHeight w:val="193"/>
        </w:trPr>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110,138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shd w:val="clear" w:color="auto" w:fill="CCEEFF"/>
          </w:tcPr>
          <w:p>
            <w:pPr>
              <w:spacing w:after="0"/>
              <w:rPr>
                <w:sz w:val="16"/>
                <w:szCs w:val="16"/>
                <w:color w:val="auto"/>
              </w:rPr>
            </w:pPr>
          </w:p>
        </w:tc>
      </w:tr>
      <w:tr>
        <w:trPr>
          <w:trHeight w:val="96"/>
        </w:trPr>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7" w:lineRule="exact"/>
        <w:rPr>
          <w:sz w:val="20"/>
          <w:szCs w:val="20"/>
          <w:color w:val="auto"/>
        </w:rPr>
      </w:pPr>
    </w:p>
    <w:p>
      <w:pPr>
        <w:ind w:left="1620" w:right="20" w:hanging="480"/>
        <w:spacing w:after="0" w:line="221" w:lineRule="auto"/>
        <w:tabs>
          <w:tab w:leader="none" w:pos="1620" w:val="left"/>
        </w:tabs>
        <w:numPr>
          <w:ilvl w:val="0"/>
          <w:numId w:val="88"/>
        </w:numPr>
        <w:rPr>
          <w:rFonts w:ascii="Arial" w:cs="Arial" w:eastAsia="Arial" w:hAnsi="Arial"/>
          <w:sz w:val="19"/>
          <w:szCs w:val="19"/>
          <w:color w:val="auto"/>
          <w:vertAlign w:val="superscript"/>
        </w:rPr>
      </w:pPr>
      <w:r>
        <w:rPr>
          <w:rFonts w:ascii="Arial" w:cs="Arial" w:eastAsia="Arial" w:hAnsi="Arial"/>
          <w:sz w:val="13"/>
          <w:szCs w:val="13"/>
          <w:color w:val="auto"/>
        </w:rPr>
        <w:t>The options vest over a four-year period with 25% of the shares vesting on the first anniversary of the corresponding vesting start date, and 2.0833% of the shares vesting monthly for three years thereafter. Pursuant to each named executive officer's employment agreement in effect on December 31, 2017, in the event of a termination of employment by the Company without Cause or a result of the named executive officer's death, disability or resignation for Good Reason (as such capitalized terms are defined in their respective employment agreements), Mr. Mahoney and Dr. Paolini are entitled to accelerated vesting of all of their then-unvested Company equity or equity-based awards that would have, absent termination, become vested within 12 months following termination, and Mr. Patel is entitled to accelerated vesting of all of his then-unvested equity or equity-based awards that would have, absent termination, become vested within 18 months following termination. In addition, in the event of a change in control (as defined in the applicable option award agreement), each named executive officer will become immediately 100% fully vested in the named executive officer's option to the extent that such award is not assumed or substituted.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Compensation Arrangements</w:t>
      </w:r>
    </w:p>
    <w:p>
      <w:pPr>
        <w:spacing w:after="0" w:line="210" w:lineRule="exact"/>
        <w:rPr>
          <w:sz w:val="20"/>
          <w:szCs w:val="20"/>
          <w:color w:val="auto"/>
        </w:rPr>
      </w:pPr>
    </w:p>
    <w:p>
      <w:pPr>
        <w:ind w:right="360" w:firstLine="436"/>
        <w:spacing w:after="0" w:line="241" w:lineRule="auto"/>
        <w:rPr>
          <w:sz w:val="20"/>
          <w:szCs w:val="20"/>
          <w:color w:val="auto"/>
        </w:rPr>
      </w:pPr>
      <w:r>
        <w:rPr>
          <w:rFonts w:ascii="Arial" w:cs="Arial" w:eastAsia="Arial" w:hAnsi="Arial"/>
          <w:sz w:val="16"/>
          <w:szCs w:val="16"/>
          <w:color w:val="auto"/>
        </w:rPr>
        <w:t>In connection with this offering, we intend to amend the existing employment agreements with each of our named executive officers. Certain key terms of these agreements are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Sanj K. Patel</w:t>
      </w:r>
    </w:p>
    <w:p>
      <w:pPr>
        <w:spacing w:after="0" w:line="210" w:lineRule="exact"/>
        <w:rPr>
          <w:sz w:val="20"/>
          <w:szCs w:val="20"/>
          <w:color w:val="auto"/>
        </w:rPr>
      </w:pPr>
    </w:p>
    <w:p>
      <w:pPr>
        <w:ind w:firstLine="433"/>
        <w:spacing w:after="0" w:line="251" w:lineRule="auto"/>
        <w:rPr>
          <w:sz w:val="20"/>
          <w:szCs w:val="20"/>
          <w:color w:val="auto"/>
        </w:rPr>
      </w:pPr>
      <w:r>
        <w:rPr>
          <w:rFonts w:ascii="Arial" w:cs="Arial" w:eastAsia="Arial" w:hAnsi="Arial"/>
          <w:sz w:val="15"/>
          <w:szCs w:val="15"/>
          <w:color w:val="auto"/>
        </w:rPr>
        <w:t>The term of our amended and restated employment agreement with Mr. Patel lasts until either the Company or Mr. Patel terminates his employment by giving notice to the other party or his employment terminates due to his death. Pursuant to the amended and restated employment agreement, Mr. Patel is entitled to receive an annual base salary of at least $750,000, subject to increase from time to time by the Company and the opportunity to earn an annual performance-based bonus based on actual corporate and individual performance against established objectives for each calendar year, with a minimum target bonus opportunity of 60% of his annual base salary. In addition, if Mr. Patel's employment with us is terminated as a result of his death or disability, by the Company without Cause, or by</w:t>
      </w:r>
    </w:p>
    <w:p>
      <w:pPr>
        <w:spacing w:after="0" w:line="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Mr. Patel for Good Reason, whether or not in connection with a change in control, he will be entitled to receive (a) a lump sum payment equal to (i) 200% of the sum of his annual base salary and the target bonus for the year of termination plus (ii) $25,000 and (b) a prorated portion of his target bonus for the year of termination. Also, if the termination occurs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other than during the 12-month period following a change in control, Mr. Patel will be entitled to accelerated vesting of all of his then-unvested time-vesting equity that would have, absent termination, become vested within 18 months following termination, or if the termination occurs during the 12-month period following a change in control, Mr. Patel will be entitled to full accelerated vesting of all of his then-unvested time-vesting equity. Mr. Patel's right to receive these severance payments and benefits is subject to his execution and non-revocation of a release of claims for the benefit of the Company and his compliance with certain confidentiality obligations and restrictive covenants.</w:t>
      </w:r>
    </w:p>
    <w:p>
      <w:pPr>
        <w:spacing w:after="0" w:line="189"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In the event of a change in control, Mr. Patel will become immediately 100% fully vested in each time-vesting equity award granted to him that is not assumed or substituted for in the change in control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Mahoney</w:t>
      </w:r>
    </w:p>
    <w:p>
      <w:pPr>
        <w:spacing w:after="0" w:line="210" w:lineRule="exact"/>
        <w:rPr>
          <w:sz w:val="20"/>
          <w:szCs w:val="20"/>
          <w:color w:val="auto"/>
        </w:rPr>
      </w:pPr>
    </w:p>
    <w:p>
      <w:pPr>
        <w:ind w:right="140" w:firstLine="433"/>
        <w:spacing w:after="0" w:line="251" w:lineRule="auto"/>
        <w:rPr>
          <w:sz w:val="20"/>
          <w:szCs w:val="20"/>
          <w:color w:val="auto"/>
        </w:rPr>
      </w:pPr>
      <w:r>
        <w:rPr>
          <w:rFonts w:ascii="Arial" w:cs="Arial" w:eastAsia="Arial" w:hAnsi="Arial"/>
          <w:sz w:val="15"/>
          <w:szCs w:val="15"/>
          <w:color w:val="auto"/>
        </w:rPr>
        <w:t>The term of our amended and restated employment agreement with Mr. Mahoney lasts until either the Company or Mr. Mahoney terminates his employment by giving notice to the other party or his employment terminates due to his death. Pursuant to the amended and restated employment agreement, Mr. Mahoney is entitled to receive an annual base salary of $442,260, subject to change from time to time by the Company, and the opportunity to earn an annual performance-based bonus, with an initial target bonus opportunity of 40% of his annual base salary. In addition, if Mr. Mahoney's employment with us is terminated as a result of his death or disability, by the Company without Cause, or by Mr. Mahoney for Good Reason, he will be entitled to receive (a) a lump sum payment equal to his annual base salary plus $16,500, (b) a prorated portion (or, if the termination occurs during the 12 months following a change in control, 100%) of his target bonus for the year of termination and (c) accelerated vesting of all of his then-unvested time-vesting equity that would have, absent termination, become vested within</w:t>
      </w:r>
    </w:p>
    <w:p>
      <w:pPr>
        <w:spacing w:after="0" w:line="4"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12 months following termination (or, if the termination occurs during the 12 months following a change in control, full accelerated vesting of all of his then-unvested time-vesting equity). Mr. Mahoney's right to receive these severance payments and benefits is subject to his execution and non-revocation of a release of claims for the benefit of the Company and his compliance with certain confidentiality obligations and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F. Paolini, M.D., Ph.D.</w:t>
      </w:r>
    </w:p>
    <w:p>
      <w:pPr>
        <w:spacing w:after="0" w:line="21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term of our amended and restated employment agreement with Dr. Paolini lasts until either the Company or Dr. Paolini terminates his employment by giving notice to the other party or his employment terminates due to his death. Pursuant to the amended and restated employment agreement, Dr. Paolini is entitled to receive an annual base salary of $420,000, subject to change from time to time by the Company, and the opportunity to earn a discretionary performance-based bonus, with a target bonus opportunity of 30% of his annual base salary. In addition, if Dr. Paolini's employment with us is terminated as a result of his death or disability or without Cause, he will be entitled to receive (a) a lump sum payment that is equivalent to 9 months of his annual base salary (or, if the termination occurs during the 12 months following a change in control, a lump sum payment that is equivalent to 12 months of his annual base salary) plus $16,500, (b) a prorated portion (or, if the termination occurs during the 12 months following a change in control, 100%) of his target bonus for the year of termination and (c) accelerated vesting of all of his then-unvested time-vesting equity that would have, absent termination, become vested within 12 months following termination (or, if the termination occurs during the 12 months following a change in control, full accelerated vesting of all of his then-unvested time-vesting equity). Dr. Paolini's right to receive these severance payments and benefits is subject to his execution and non-revocation of a release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of claims for the benefit of the Company and his compliance with certain confidentiality obligations and restrictive covenants.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used in the executive employment agreements, the following capitalized terms generally have the following meanings:</w:t>
      </w:r>
    </w:p>
    <w:p>
      <w:pPr>
        <w:spacing w:after="0" w:line="190" w:lineRule="exact"/>
        <w:rPr>
          <w:sz w:val="20"/>
          <w:szCs w:val="20"/>
          <w:color w:val="auto"/>
        </w:rPr>
      </w:pPr>
    </w:p>
    <w:p>
      <w:pPr>
        <w:ind w:left="960" w:right="100" w:hanging="481"/>
        <w:spacing w:after="0" w:line="237" w:lineRule="auto"/>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term Cause generally means (i) gross negligence or willful misconduct in performance of the named executive officer's duties which results in material damage to us; (ii) the commission of any act of fraud, embezzlement or professional dishonesty with respect to our business; (iii) the commission of a felony or crime involving moral turpitude; (iv) the material breach of any provision of the executive employment agreement or any other written agreement between the named executive officer and us; or (v) the failure to comply with our lawful directives, which results in damage to us.</w:t>
      </w:r>
    </w:p>
    <w:p>
      <w:pPr>
        <w:spacing w:after="0" w:line="189" w:lineRule="exact"/>
        <w:rPr>
          <w:rFonts w:ascii="Arial" w:cs="Arial" w:eastAsia="Arial" w:hAnsi="Arial"/>
          <w:sz w:val="16"/>
          <w:szCs w:val="16"/>
          <w:color w:val="auto"/>
        </w:rPr>
      </w:pPr>
    </w:p>
    <w:p>
      <w:pPr>
        <w:ind w:left="960" w:right="100" w:hanging="481"/>
        <w:spacing w:after="0" w:line="237" w:lineRule="auto"/>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term Good Reason generally means the occurrence of any of the following events without the named executive officer's written consent: (i) a demotion or, in the case of Mr. Patel only, the assignment of duties materially inconsistent with his title, position, status, reporting relationships, authority, duties or responsibilities with us; (ii) a requirement that the named executive officer relocate his primary reporting location to a location more than fifty (50) miles from our offices in Lexington, Massachusetts; (iii) our breach of the executive employment agreement with the named executive officer; (iv) our failure to comply with the provisions addressing each named executive officer's compensation and benefits, including the base salary, bonus compensation, and annual vacation, other than insubstantial or inadvertent failures not in bad faith that we remedy promptly after receiving notice thereof; (v) for Mr. Patel only, a material diminution in the budget over which he has responsibility; or (vi) for Mr. Mahoney only, a reduction of more than five percent of his base salary other than in connection with a reduction of similar magnitude to the base salaries of employees who are similarly situated.</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w:t>
      </w:r>
    </w:p>
    <w:p>
      <w:pPr>
        <w:spacing w:after="0" w:line="210"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Directors who are also our employees or who are affiliated with one of our principal shareholders do not receive compensation for their service as directors. Our non-employee directors have historically received a cash payment of $10,000 per year, paid quarterly, and awards of our share options as compensation for their service as directors.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2017 Director Compensation Table</w:t>
      </w:r>
    </w:p>
    <w:p>
      <w:pPr>
        <w:spacing w:after="0" w:line="210" w:lineRule="exact"/>
        <w:rPr>
          <w:sz w:val="20"/>
          <w:szCs w:val="20"/>
          <w:color w:val="auto"/>
        </w:rPr>
      </w:pPr>
    </w:p>
    <w:p>
      <w:pPr>
        <w:ind w:right="300" w:firstLine="433"/>
        <w:spacing w:after="0" w:line="241" w:lineRule="auto"/>
        <w:rPr>
          <w:sz w:val="20"/>
          <w:szCs w:val="20"/>
          <w:color w:val="auto"/>
        </w:rPr>
      </w:pPr>
      <w:r>
        <w:rPr>
          <w:rFonts w:ascii="Arial" w:cs="Arial" w:eastAsia="Arial" w:hAnsi="Arial"/>
          <w:sz w:val="16"/>
          <w:szCs w:val="16"/>
          <w:color w:val="auto"/>
        </w:rPr>
        <w:t>The following table sets forth in summary form information concerning the compensation that was earned by or paid to each of our non-employee directors during the year that ended December 31, 2017:</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Fees Earned</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Option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b w:val="1"/>
                <w:bCs w:val="1"/>
                <w:color w:val="auto"/>
              </w:rPr>
              <w:t>or Paid in</w:t>
            </w: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b w:val="1"/>
                <w:bCs w:val="1"/>
                <w:color w:val="auto"/>
              </w:rPr>
              <w:t>Awards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Cash ($)</w:t>
            </w:r>
          </w:p>
        </w:tc>
        <w:tc>
          <w:tcPr>
            <w:tcW w:w="820" w:type="dxa"/>
            <w:vAlign w:val="bottom"/>
            <w:gridSpan w:val="2"/>
          </w:tcPr>
          <w:p>
            <w:pPr>
              <w:jc w:val="right"/>
              <w:ind w:right="140"/>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Total ($)</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12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Felix J. Baker, Ph.D.</w:t>
            </w:r>
          </w:p>
        </w:tc>
        <w:tc>
          <w:tcPr>
            <w:tcW w:w="11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r>
      <w:tr>
        <w:trPr>
          <w:trHeight w:val="181"/>
        </w:trPr>
        <w:tc>
          <w:tcPr>
            <w:tcW w:w="20" w:type="dxa"/>
            <w:vAlign w:val="bottom"/>
          </w:tcPr>
          <w:p>
            <w:pPr>
              <w:spacing w:after="0"/>
              <w:rPr>
                <w:sz w:val="15"/>
                <w:szCs w:val="15"/>
                <w:color w:val="auto"/>
              </w:rPr>
            </w:pPr>
          </w:p>
        </w:tc>
        <w:tc>
          <w:tcPr>
            <w:tcW w:w="5120" w:type="dxa"/>
            <w:vAlign w:val="bottom"/>
            <w:gridSpan w:val="3"/>
          </w:tcPr>
          <w:p>
            <w:pPr>
              <w:spacing w:after="0" w:line="181" w:lineRule="exact"/>
              <w:rPr>
                <w:sz w:val="20"/>
                <w:szCs w:val="20"/>
                <w:color w:val="auto"/>
              </w:rPr>
            </w:pPr>
            <w:r>
              <w:rPr>
                <w:rFonts w:ascii="Arial" w:cs="Arial" w:eastAsia="Arial" w:hAnsi="Arial"/>
                <w:sz w:val="16"/>
                <w:szCs w:val="16"/>
                <w:color w:val="auto"/>
              </w:rPr>
              <w:t>Stephen R. Biggar, M.D., Ph.D.</w:t>
            </w: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81"/>
        </w:trPr>
        <w:tc>
          <w:tcPr>
            <w:tcW w:w="20" w:type="dxa"/>
            <w:vAlign w:val="bottom"/>
            <w:shd w:val="clear" w:color="auto" w:fill="CCEEFF"/>
          </w:tcPr>
          <w:p>
            <w:pPr>
              <w:spacing w:after="0"/>
              <w:rPr>
                <w:sz w:val="15"/>
                <w:szCs w:val="15"/>
                <w:color w:val="auto"/>
              </w:rPr>
            </w:pPr>
          </w:p>
        </w:tc>
        <w:tc>
          <w:tcPr>
            <w:tcW w:w="51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Thomas R. Malley</w:t>
            </w:r>
          </w:p>
        </w:tc>
        <w:tc>
          <w:tcPr>
            <w:tcW w:w="11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10,000</w:t>
            </w:r>
          </w:p>
        </w:tc>
        <w:tc>
          <w:tcPr>
            <w:tcW w:w="8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68,625</w:t>
            </w:r>
          </w:p>
        </w:tc>
        <w:tc>
          <w:tcPr>
            <w:tcW w:w="8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78,625</w:t>
            </w:r>
          </w:p>
        </w:tc>
      </w:tr>
      <w:tr>
        <w:trPr>
          <w:trHeight w:val="191"/>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Barry D. Quart, Pharm.D</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68,625</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78,625</w:t>
            </w:r>
          </w:p>
        </w:tc>
      </w:tr>
      <w:tr>
        <w:trPr>
          <w:trHeight w:val="87"/>
        </w:trPr>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7" w:lineRule="exact"/>
        <w:rPr>
          <w:sz w:val="20"/>
          <w:szCs w:val="20"/>
          <w:color w:val="auto"/>
        </w:rPr>
      </w:pPr>
    </w:p>
    <w:p>
      <w:pPr>
        <w:ind w:left="2200" w:hanging="488"/>
        <w:spacing w:after="0" w:line="205" w:lineRule="auto"/>
        <w:tabs>
          <w:tab w:leader="none" w:pos="220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Amounts reflect the full grant-date fair value of share options granted during 2017 computed in accordance with ASC Topic 718, rather than the amounts paid to or realized by the named individual. We provide information regarding the assumptions used to calculate the value of all option awards in Note 8 to our consolidated financial statements included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following table sets forth the aggregate numbers of share options (exercisable and unexercisable) held as of December 31, 2017 by our non-employee directors as of December 31, 2017. Refer to our Outstanding Equity Awards at 2017 Fiscal Year End table for information regarding equity awards held by Mr. Patel as of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Option</w:t>
            </w:r>
          </w:p>
        </w:tc>
      </w:tr>
      <w:tr>
        <w:trPr>
          <w:trHeight w:val="174"/>
        </w:trPr>
        <w:tc>
          <w:tcPr>
            <w:tcW w:w="1720" w:type="dxa"/>
            <w:vAlign w:val="bottom"/>
          </w:tcPr>
          <w:p>
            <w:pPr>
              <w:spacing w:after="0"/>
              <w:rPr>
                <w:sz w:val="15"/>
                <w:szCs w:val="15"/>
                <w:color w:val="auto"/>
              </w:rPr>
            </w:pPr>
          </w:p>
        </w:tc>
        <w:tc>
          <w:tcPr>
            <w:tcW w:w="68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jc w:val="right"/>
              <w:ind w:right="140"/>
              <w:spacing w:after="0" w:line="174" w:lineRule="exact"/>
              <w:rPr>
                <w:sz w:val="20"/>
                <w:szCs w:val="20"/>
                <w:color w:val="auto"/>
              </w:rPr>
            </w:pPr>
            <w:r>
              <w:rPr>
                <w:rFonts w:ascii="Arial" w:cs="Arial" w:eastAsia="Arial" w:hAnsi="Arial"/>
                <w:sz w:val="16"/>
                <w:szCs w:val="16"/>
                <w:b w:val="1"/>
                <w:bCs w:val="1"/>
                <w:color w:val="auto"/>
              </w:rPr>
              <w:t>Awards (#)</w:t>
            </w:r>
          </w:p>
        </w:tc>
      </w:tr>
      <w:tr>
        <w:trPr>
          <w:trHeight w:val="20"/>
        </w:trPr>
        <w:tc>
          <w:tcPr>
            <w:tcW w:w="17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20" w:type="dxa"/>
            <w:vAlign w:val="bottom"/>
            <w:tcBorders>
              <w:right w:val="single" w:sz="8" w:color="CCEEFF"/>
            </w:tcBorders>
          </w:tcPr>
          <w:p>
            <w:pPr>
              <w:spacing w:after="0"/>
              <w:rPr>
                <w:sz w:val="14"/>
                <w:szCs w:val="14"/>
                <w:color w:val="auto"/>
              </w:rPr>
            </w:pPr>
          </w:p>
        </w:tc>
        <w:tc>
          <w:tcPr>
            <w:tcW w:w="68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Felix J. Baker, Ph.D.</w:t>
            </w:r>
          </w:p>
        </w:tc>
        <w:tc>
          <w:tcPr>
            <w:tcW w:w="11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r>
      <w:tr>
        <w:trPr>
          <w:trHeight w:val="181"/>
        </w:trPr>
        <w:tc>
          <w:tcPr>
            <w:tcW w:w="1720" w:type="dxa"/>
            <w:vAlign w:val="bottom"/>
          </w:tcPr>
          <w:p>
            <w:pPr>
              <w:spacing w:after="0"/>
              <w:rPr>
                <w:sz w:val="15"/>
                <w:szCs w:val="15"/>
                <w:color w:val="auto"/>
              </w:rPr>
            </w:pPr>
          </w:p>
        </w:tc>
        <w:tc>
          <w:tcPr>
            <w:tcW w:w="6880" w:type="dxa"/>
            <w:vAlign w:val="bottom"/>
            <w:gridSpan w:val="2"/>
          </w:tcPr>
          <w:p>
            <w:pPr>
              <w:spacing w:after="0" w:line="181" w:lineRule="exact"/>
              <w:rPr>
                <w:sz w:val="20"/>
                <w:szCs w:val="20"/>
                <w:color w:val="auto"/>
              </w:rPr>
            </w:pPr>
            <w:r>
              <w:rPr>
                <w:rFonts w:ascii="Arial" w:cs="Arial" w:eastAsia="Arial" w:hAnsi="Arial"/>
                <w:sz w:val="16"/>
                <w:szCs w:val="16"/>
                <w:color w:val="auto"/>
              </w:rPr>
              <w:t>Stephen R. Biggar, M.D., Ph.D.</w:t>
            </w:r>
          </w:p>
        </w:tc>
        <w:tc>
          <w:tcPr>
            <w:tcW w:w="11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81"/>
        </w:trPr>
        <w:tc>
          <w:tcPr>
            <w:tcW w:w="1720" w:type="dxa"/>
            <w:vAlign w:val="bottom"/>
            <w:tcBorders>
              <w:right w:val="single" w:sz="8" w:color="CCEEFF"/>
            </w:tcBorders>
          </w:tcPr>
          <w:p>
            <w:pPr>
              <w:spacing w:after="0"/>
              <w:rPr>
                <w:sz w:val="15"/>
                <w:szCs w:val="15"/>
                <w:color w:val="auto"/>
              </w:rPr>
            </w:pPr>
          </w:p>
        </w:tc>
        <w:tc>
          <w:tcPr>
            <w:tcW w:w="68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Thomas R. Malley</w:t>
            </w:r>
          </w:p>
        </w:tc>
        <w:tc>
          <w:tcPr>
            <w:tcW w:w="11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49,407</w:t>
            </w:r>
          </w:p>
        </w:tc>
      </w:tr>
      <w:tr>
        <w:trPr>
          <w:trHeight w:val="191"/>
        </w:trPr>
        <w:tc>
          <w:tcPr>
            <w:tcW w:w="17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6"/>
                <w:szCs w:val="16"/>
                <w:color w:val="auto"/>
              </w:rPr>
              <w:t>Barry D. Quart, Pharm.D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49,407</w:t>
            </w:r>
          </w:p>
        </w:tc>
      </w:tr>
      <w:tr>
        <w:trPr>
          <w:trHeight w:val="374"/>
        </w:trPr>
        <w:tc>
          <w:tcPr>
            <w:tcW w:w="8600" w:type="dxa"/>
            <w:vAlign w:val="bottom"/>
            <w:gridSpan w:val="3"/>
          </w:tcPr>
          <w:p>
            <w:pPr>
              <w:spacing w:after="0"/>
              <w:rPr>
                <w:sz w:val="20"/>
                <w:szCs w:val="20"/>
                <w:color w:val="auto"/>
              </w:rPr>
            </w:pPr>
            <w:r>
              <w:rPr>
                <w:rFonts w:ascii="Arial" w:cs="Arial" w:eastAsia="Arial" w:hAnsi="Arial"/>
                <w:sz w:val="16"/>
                <w:szCs w:val="16"/>
                <w:b w:val="1"/>
                <w:bCs w:val="1"/>
                <w:color w:val="auto"/>
              </w:rPr>
              <w:t>Recent Developments Regarding Director Compensation</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6" w:lineRule="exact"/>
        <w:rPr>
          <w:sz w:val="20"/>
          <w:szCs w:val="20"/>
          <w:color w:val="auto"/>
        </w:rPr>
      </w:pPr>
    </w:p>
    <w:p>
      <w:pPr>
        <w:ind w:right="180" w:firstLine="436"/>
        <w:spacing w:after="0" w:line="258" w:lineRule="auto"/>
        <w:rPr>
          <w:sz w:val="20"/>
          <w:szCs w:val="20"/>
          <w:color w:val="auto"/>
        </w:rPr>
      </w:pPr>
      <w:r>
        <w:rPr>
          <w:rFonts w:ascii="Arial" w:cs="Arial" w:eastAsia="Arial" w:hAnsi="Arial"/>
          <w:sz w:val="15"/>
          <w:szCs w:val="15"/>
          <w:color w:val="auto"/>
        </w:rPr>
        <w:t>In May 2018, in anticipation of this offering, our board of directors approved the following grants of options to purchase Class A common shares for our non-employee directors, effective on the date that the registration statement of which this prospectus forms a part becomes effective: Felix J. Baker: 18,760 shares; Stephen R. Biggar: 18,760 shares. The options will have an exercise price equal to the initial public offering price of our common shares and will generally vest in twelve equal monthly installments occurring on the individual's completion of each month of service to the Company following the effective date of grant.</w:t>
      </w:r>
    </w:p>
    <w:p>
      <w:pPr>
        <w:spacing w:after="0" w:line="175"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In addition, effective on the effectiveness of the registration statement of which this prospectus forms a part, our board of directors adopted and, prior to commencing this offering, our shareholders approved a compensation program for our non-employee directors under which each non-employee director will receive the following amounts for their services on our board of directors:</w:t>
      </w:r>
    </w:p>
    <w:p>
      <w:pPr>
        <w:spacing w:after="0" w:line="186" w:lineRule="exact"/>
        <w:rPr>
          <w:sz w:val="20"/>
          <w:szCs w:val="20"/>
          <w:color w:val="auto"/>
        </w:rPr>
      </w:pPr>
    </w:p>
    <w:p>
      <w:pPr>
        <w:ind w:left="960" w:right="100" w:hanging="481"/>
        <w:spacing w:after="0" w:line="241" w:lineRule="auto"/>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option to purchase 37,965 Class A common shares upon the director's initial election or appointment to our board of directors that occurs after our initial public offering,</w:t>
      </w:r>
    </w:p>
    <w:p>
      <w:pPr>
        <w:spacing w:after="0" w:line="185" w:lineRule="exact"/>
        <w:rPr>
          <w:rFonts w:ascii="Arial" w:cs="Arial" w:eastAsia="Arial" w:hAnsi="Arial"/>
          <w:sz w:val="16"/>
          <w:szCs w:val="16"/>
          <w:color w:val="auto"/>
        </w:rPr>
      </w:pPr>
    </w:p>
    <w:p>
      <w:pPr>
        <w:ind w:left="960" w:right="160" w:hanging="481"/>
        <w:spacing w:after="0" w:line="241" w:lineRule="auto"/>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director has served on our board of directors for at least six months as of the date of an annual meeting of shareholders, an option to purchase 18,760 Class A common shares on the date of the annual meeting,</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annual director fee of $35,000,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382"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board or lead independent director, $22,500,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audit committee, $15,000,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audit committee member other than the chairman, $7,500,</w:t>
      </w:r>
    </w:p>
    <w:p>
      <w:pPr>
        <w:spacing w:after="0" w:line="189"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compensation committee, $10,000,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compensation committee member other than the chairman, $5,000,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nominating and corporate governance committee, $8,000, and</w:t>
      </w:r>
    </w:p>
    <w:p>
      <w:pPr>
        <w:spacing w:after="0" w:line="189"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nominating and corporate governance committee member other than the chairman, $4,000.</w:t>
      </w:r>
    </w:p>
    <w:p>
      <w:pPr>
        <w:spacing w:after="0" w:line="190"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Share options granted to our non-employee directors under the program will have an exercise price equal to the fair market value of our Class A common shares on the date of grant and will expire not later than ten years after the date of grant. The share options granted upon a director's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initial election or appointment will vest and become exercisable as to one-third of the shares on the first anniversary of the date of grant and as to the remainder in twenty-four substantially equal monthly installments thereafter, subject to the director continuing in service through each such vesting date. The share options granted annually to directors will vest and become effective in twelve substantially equal monthly installments following the date of grant, subject to the director continuing in service through each such vesting date. In addition, all unvested share options will vest in full upon the occurrence of a change in control.</w:t>
      </w:r>
    </w:p>
    <w:p>
      <w:pPr>
        <w:spacing w:after="0" w:line="175"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Plans</w:t>
      </w:r>
    </w:p>
    <w:p>
      <w:pPr>
        <w:spacing w:after="0" w:line="210" w:lineRule="exact"/>
        <w:rPr>
          <w:sz w:val="20"/>
          <w:szCs w:val="20"/>
          <w:color w:val="auto"/>
        </w:rPr>
      </w:pPr>
    </w:p>
    <w:p>
      <w:pPr>
        <w:ind w:right="20" w:firstLine="433"/>
        <w:spacing w:after="0" w:line="239" w:lineRule="auto"/>
        <w:rPr>
          <w:sz w:val="20"/>
          <w:szCs w:val="20"/>
          <w:color w:val="auto"/>
        </w:rPr>
      </w:pPr>
      <w:r>
        <w:rPr>
          <w:rFonts w:ascii="Arial" w:cs="Arial" w:eastAsia="Arial" w:hAnsi="Arial"/>
          <w:sz w:val="16"/>
          <w:szCs w:val="16"/>
          <w:color w:val="auto"/>
        </w:rPr>
        <w:t>The following summarizes the material terms of the long-term incentive compensation plans in which our named executive officers and directors will be eligible to participate following the consummation of this offering, and the 2015 Plan, under which we have previously made periodic grants of equity and equity-based awards to our named executive officers and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2015 Equity Incentive Plan</w:t>
      </w:r>
    </w:p>
    <w:p>
      <w:pPr>
        <w:spacing w:after="0" w:line="208" w:lineRule="exact"/>
        <w:rPr>
          <w:sz w:val="20"/>
          <w:szCs w:val="20"/>
          <w:color w:val="auto"/>
        </w:rPr>
      </w:pPr>
    </w:p>
    <w:p>
      <w:pPr>
        <w:ind w:right="260" w:firstLine="436"/>
        <w:spacing w:after="0" w:line="237" w:lineRule="auto"/>
        <w:rPr>
          <w:sz w:val="20"/>
          <w:szCs w:val="20"/>
          <w:color w:val="auto"/>
        </w:rPr>
      </w:pPr>
      <w:r>
        <w:rPr>
          <w:rFonts w:ascii="Arial" w:cs="Arial" w:eastAsia="Arial" w:hAnsi="Arial"/>
          <w:sz w:val="16"/>
          <w:szCs w:val="16"/>
          <w:color w:val="auto"/>
        </w:rPr>
        <w:t>Our board of directors and shareholders have approved the 2015 Plan, under which we may grant share options, share grants and share-based awards to employees, directors and consultants. We have reserved a total of 4,794,266 of our Class A common shares for issuance under the 2015 Plan. Following the effectiveness of the 2018 Plan, we will not make any further grants under the 2015 Plan and as of the date of this prospectus, only share options are outstanding under the plan. However, the 2015 Plan will continue to govern the terms and conditions of the outstanding awards granted under it. Our Class A common shares subject to awards granted under the 2015 Plan that are forfeited, lapse unexercised or are settled in cash following the effective date of the 2018 Plan will be available for issuance under the 2018 Plan.</w:t>
      </w:r>
    </w:p>
    <w:p>
      <w:pPr>
        <w:spacing w:after="0" w:line="172" w:lineRule="exact"/>
        <w:rPr>
          <w:sz w:val="20"/>
          <w:szCs w:val="20"/>
          <w:color w:val="auto"/>
        </w:rPr>
      </w:pPr>
    </w:p>
    <w:p>
      <w:pPr>
        <w:ind w:firstLine="430"/>
        <w:spacing w:after="0"/>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administers the 2015 Plan and has the authority to interpret the provisions of the 2015 Plan and awards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to make all rules and determinations which it deems necessary or advisable for the administration of the 2015 Plan, to determine which employees, directors and consultants will be granted awards, to determine the number of shares for which awards will be granted, to specify the terms and conditions upon which awards can be granted, to specify the terms and conditions of award agreements under the 2015 Plan, and to make all other determinations in the judgment of the board of directors that are necessary and desirable for the administration of the 2015 Plan. The board of directors may delegate its authority under the 2015 Plan to a committee. Following the effectiveness of this offering, we anticipate that the board of directors will delegate its general administrative authority under the 2015 Plan to its Compensation Committee.</w:t>
      </w:r>
    </w:p>
    <w:p>
      <w:pPr>
        <w:spacing w:after="0" w:line="172" w:lineRule="exact"/>
        <w:rPr>
          <w:sz w:val="20"/>
          <w:szCs w:val="20"/>
          <w:color w:val="auto"/>
        </w:rPr>
      </w:pPr>
    </w:p>
    <w:p>
      <w:pPr>
        <w:jc w:val="both"/>
        <w:ind w:right="360" w:firstLine="436"/>
        <w:spacing w:after="0" w:line="273"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2015 Plan provides for the grant of share options, including share options intended to qualify as incentive stock options, or ISOs,</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U.S. Internal Revenue Code of 1986, as amended, or the Code, share grants and share-based awards to employees, directors and consultants of the company or its affiliates, except that share options intended to qualify as ISOs may only be granted to employees who are residents of the United States.</w:t>
      </w:r>
    </w:p>
    <w:p>
      <w:pPr>
        <w:spacing w:after="0" w:line="147" w:lineRule="exact"/>
        <w:rPr>
          <w:sz w:val="20"/>
          <w:szCs w:val="20"/>
          <w:color w:val="auto"/>
        </w:rPr>
      </w:pPr>
    </w:p>
    <w:p>
      <w:pPr>
        <w:ind w:right="200" w:firstLine="436"/>
        <w:spacing w:after="0" w:line="262" w:lineRule="auto"/>
        <w:rPr>
          <w:sz w:val="20"/>
          <w:szCs w:val="20"/>
          <w:color w:val="auto"/>
        </w:rPr>
      </w:pPr>
      <w:r>
        <w:rPr>
          <w:rFonts w:ascii="Arial" w:cs="Arial" w:eastAsia="Arial" w:hAnsi="Arial"/>
          <w:sz w:val="16"/>
          <w:szCs w:val="16"/>
          <w:i w:val="1"/>
          <w:iCs w:val="1"/>
          <w:color w:val="auto"/>
        </w:rPr>
        <w:t xml:space="preserve">Certain Transactions. </w:t>
      </w:r>
      <w:r>
        <w:rPr>
          <w:rFonts w:ascii="Arial" w:cs="Arial" w:eastAsia="Arial" w:hAnsi="Arial"/>
          <w:sz w:val="16"/>
          <w:szCs w:val="16"/>
          <w:color w:val="auto"/>
        </w:rPr>
        <w:t>If certain changes are made in, or events occur with respect to, our Class A common shares, the 2015 Plan and outstanding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adjusted in the class,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number and, as applicable, exercise price of securities as determined by the board of directors. In the event of certain corporate transactions of our company, including an amalgamation, consolidation, merger or sale of all or substantially all of our assets, our board or the board of directors of any corporation assuming the obligations under the 2015 Plan, may, in its discretion, take any one or more of the following actions, as to some or all options or share-based awards outstanding under the 2015 Plan (and need not take the same action as to each such option or share-based award): (i) make appropriate provisions for the continuation of options by substituting on an equitable basis for the shares then subject to options either the consideration payable with respect to the outstanding Class A common shares or securities of any successor or acquiring entity; (ii) upon written notice to the participants, provide that the options will terminate unless they are exercised within a specified number of days of the date of such notice; (iii) terminate the options in exchange for payment of an amount equal to the consideration payable upon consummation of such transaction to a holder of the number of Class A common shares into which such option would have been exercisable, less the aggregate exercise price; (iv) make appropriate provision for the continuation of such share grants on the same terms and conditions by substituting on an equitable basis for the shares then subject to the share grants either the consideration payable with respect to such outstanding shares in connection with the transaction or securities of any successor or acquiring entity; and (v) provide that, upon consummation of the transaction, each outstanding share grant shall be terminated in exchange for a payment of an amount equal to the consideration payable upon consummation of such transaction to a holder of the number of Class A common shares comprising the share grant.</w:t>
      </w:r>
    </w:p>
    <w:p>
      <w:pPr>
        <w:spacing w:after="0" w:line="177" w:lineRule="exact"/>
        <w:rPr>
          <w:sz w:val="20"/>
          <w:szCs w:val="20"/>
          <w:color w:val="auto"/>
        </w:rPr>
      </w:pPr>
    </w:p>
    <w:p>
      <w:pPr>
        <w:ind w:right="100" w:firstLine="430"/>
        <w:spacing w:after="0" w:line="242"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of directors may terminate, modify or amend the 2015 Plan from time to time, provided that any amendment or</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 may not adversely affect the rights of a holder of an outstanding award without such holder's consent. The board of directors may amend or modify the 2015 Plan and any outstanding ISOs to the extent necessary to qualify any or all such options for favorable federal income tax treatment; however, any amendment approved by the board of directors which is determined to be of a scope that requires shareholder approval will be subject to obtaining such approval before taking effect.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Incentive Award Plan</w:t>
      </w:r>
    </w:p>
    <w:p>
      <w:pPr>
        <w:spacing w:after="0" w:line="208"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Our board of directors adopted and our shareholders have approved, effective the day prior to the first public trading date of our Class A common shares, the 2018 Plan, under which we may grant cash and equity-based incentive awards to eligible service providers in order to attract, retain and motivate the persons who make important contributions to our company. The material terms of the 2018 Plan are summarized below.</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Eligibility and Administration</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employees, consultants and directors, and employees and consultants of our subsidiaries, will be eligible to receive awards under the 2018 Plan. The 2018 Plan will be administered by our board of directors, which may delegate its duties and responsibilities to one or more committees of our directors and/or officers (referred to collectively as the plan administrator below), subject to the limitations imposed under the 2018 Plan, Section 16 of the Exchange Act, stock exchange rules and other applicable laws. The plan administrator will have the authority to take all actions and make all determinations under the 2018 Plan, to interpret the 2018 Plan and award agreements and to adopt, amend and repeal rules for the administration of the 2018 Plan as it deems advisable. The plan administrator will also have the authority to grant awards, determine which eligible service providers receive awards, and set the terms and conditions of all awards under the 2018 Plan, including any vesting and vesting acceleration provisions, subject to the conditions and limitations in the 2018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Shares Available for Awards</w:t>
      </w:r>
    </w:p>
    <w:p>
      <w:pPr>
        <w:spacing w:after="0" w:line="206" w:lineRule="exact"/>
        <w:rPr>
          <w:sz w:val="20"/>
          <w:szCs w:val="20"/>
          <w:color w:val="auto"/>
        </w:rPr>
      </w:pPr>
    </w:p>
    <w:p>
      <w:pPr>
        <w:ind w:firstLine="427"/>
        <w:spacing w:after="0" w:line="257" w:lineRule="auto"/>
        <w:rPr>
          <w:sz w:val="20"/>
          <w:szCs w:val="20"/>
          <w:color w:val="auto"/>
        </w:rPr>
      </w:pPr>
      <w:r>
        <w:rPr>
          <w:rFonts w:ascii="Arial" w:cs="Arial" w:eastAsia="Arial" w:hAnsi="Arial"/>
          <w:sz w:val="15"/>
          <w:szCs w:val="15"/>
          <w:color w:val="auto"/>
        </w:rPr>
        <w:t>An aggregate of 4,466,500 Class A common shares will initially be available for issuance under the 2018 Plan. The number of Class A common shares initially available for issuance will be increased by an annual increase on January 1 of each calendar year beginning in 2019 and ending in and including 2028, equal to the lesser of (A) 4% of the Class A common shares outstanding (on an as-converted basis) on the final day of the immediately preceding calendar year and (B) a smaller number of our Class A common shares determined by our board of directors. No more than 27,915,000 Class A common shares may be issued under the 2018 Plan upon the exercise of ISOs. Shares issued under the 2018 Plan may be designated but unissued shares, shares purchased on the open market or treasury shares.</w:t>
      </w:r>
    </w:p>
    <w:p>
      <w:pPr>
        <w:spacing w:after="0" w:line="174"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an award under the 2018 Plan or the 2015 Plan, expires, lapses or is terminated, exchanged for cash, surrendered, repurchased, canceled without having been fully exercised or forfeited, any unused shares subject to the award will, as applicable, become or again be available for new grants under the 2018 Plan. Awards granted under the 2018 Plan in substitution for any options or other share or share-based awards granted by an entity before the entity's merger or consolidation with us or our acquisition of the entity's property or shares will not reduce the shares available for grant under the 2018 Plan, but may count against the maximum number of shares that may be issued upon the exercise of ISOs.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Awards</w:t>
      </w:r>
    </w:p>
    <w:p>
      <w:pPr>
        <w:spacing w:after="0" w:line="206"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2018 Plan provides for the grant of options to purchase shares, including ISOs, non-qualified share options, or NSOs, share appreciation rights, or SARs, restricted shares, dividend equivalents, restricted share units, or RSUs, and other share or cash based awards. Certain awards under the 2018 Plan may constitute or provide for payment of "nonqualified deferred compensation" under Section 409A of the Code. All awards under the 2018 Plan will be set forth in award agreements, which will detail the terms and conditions of awards, including any applicable vesting and payment terms and post-termination exercise limitations. A brief description of each award type follows.</w:t>
      </w:r>
    </w:p>
    <w:p>
      <w:pPr>
        <w:spacing w:after="0" w:line="173" w:lineRule="exact"/>
        <w:rPr>
          <w:sz w:val="20"/>
          <w:szCs w:val="20"/>
          <w:color w:val="auto"/>
        </w:rPr>
      </w:pPr>
    </w:p>
    <w:p>
      <w:pPr>
        <w:ind w:left="960" w:right="20" w:hanging="481"/>
        <w:spacing w:after="0" w:line="239" w:lineRule="auto"/>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Share Options and SARs. </w:t>
      </w:r>
      <w:r>
        <w:rPr>
          <w:rFonts w:ascii="Arial" w:cs="Arial" w:eastAsia="Arial" w:hAnsi="Arial"/>
          <w:sz w:val="16"/>
          <w:szCs w:val="16"/>
          <w:color w:val="auto"/>
        </w:rPr>
        <w:t>Share options provide for the purchase of our Class A common shares in the future at an exercise price set on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share option or SAR will not be less than 100% of the fair market value of the underlying share on the grant date (or 110% in the case of ISOs granted to certain significant shareholders), except with respect to certain substitute awards granted in connection with a corporate transaction. The term of a share option or SAR may not be longer than ten years (or five years in the case of ISOs granted to certain significant shareholders).</w:t>
      </w:r>
    </w:p>
    <w:p>
      <w:pPr>
        <w:spacing w:after="0" w:line="172" w:lineRule="exact"/>
        <w:rPr>
          <w:rFonts w:ascii="Arial" w:cs="Arial" w:eastAsia="Arial" w:hAnsi="Arial"/>
          <w:sz w:val="16"/>
          <w:szCs w:val="16"/>
          <w:color w:val="auto"/>
        </w:rPr>
      </w:pPr>
    </w:p>
    <w:p>
      <w:pPr>
        <w:ind w:left="960" w:right="120" w:hanging="481"/>
        <w:spacing w:after="0" w:line="244" w:lineRule="auto"/>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Restricted Shares and RSUs. </w:t>
      </w:r>
      <w:r>
        <w:rPr>
          <w:rFonts w:ascii="Arial" w:cs="Arial" w:eastAsia="Arial" w:hAnsi="Arial"/>
          <w:sz w:val="16"/>
          <w:szCs w:val="16"/>
          <w:color w:val="auto"/>
        </w:rPr>
        <w:t>Restricted shares are an award of nontransferable Class A common shares that remain forfeitable unless and until</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conditions are met and which may be subject to a purchase price. RSUs are contractual promises to deliver Class A common shares in the future, which may also remain forfeitable unless and until specified conditions are met and may be accompanied by the right to receive the equivalent value of dividends paid our Class A common shares prior to the delivery of the underlying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160"/>
        <w:spacing w:after="0" w:line="239" w:lineRule="auto"/>
        <w:rPr>
          <w:sz w:val="20"/>
          <w:szCs w:val="20"/>
          <w:color w:val="auto"/>
        </w:rPr>
      </w:pPr>
      <w:r>
        <w:rPr>
          <w:rFonts w:ascii="Arial" w:cs="Arial" w:eastAsia="Arial" w:hAnsi="Arial"/>
          <w:sz w:val="16"/>
          <w:szCs w:val="16"/>
          <w:color w:val="auto"/>
        </w:rPr>
        <w:t>The plan administrator may provide that the delivery of the shares underlying RSUs will be deferred on a mandatory basis or at the election of the participant. The terms and conditions applicable to restricted shares and RSUs will be determined by the plan administrator, subject to the conditions and limitations contained in the 2018 Plan.</w:t>
      </w:r>
    </w:p>
    <w:p>
      <w:pPr>
        <w:spacing w:after="0" w:line="170" w:lineRule="exact"/>
        <w:rPr>
          <w:sz w:val="20"/>
          <w:szCs w:val="20"/>
          <w:color w:val="auto"/>
        </w:rPr>
      </w:pPr>
    </w:p>
    <w:p>
      <w:pPr>
        <w:ind w:left="960" w:right="20" w:hanging="481"/>
        <w:spacing w:after="0" w:line="242" w:lineRule="auto"/>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Other Share or Cash Based Awards. </w:t>
      </w:r>
      <w:r>
        <w:rPr>
          <w:rFonts w:ascii="Arial" w:cs="Arial" w:eastAsia="Arial" w:hAnsi="Arial"/>
          <w:sz w:val="16"/>
          <w:szCs w:val="16"/>
          <w:color w:val="auto"/>
        </w:rPr>
        <w:t>Other share or cash based awards are awards of cash, fully vested Class A common shares and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valued wholly or partially by referring to, or otherwise based on, our Class A common shares or other property. Other share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share or cash based awards, which may include any purchase price, performance goal, transfer restrictions and vesting conditions.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Certain Transactions</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connection with certain corporate transactions and events affecting our Class A common shares, including a change in control, or change in any applicable laws or accounting principles, the plan administrator has broad discretion to take action under the 2018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2018 Plan and replacing or terminating awards under the 2018 Plan. In addition, in the event of certain non-reciprocal transactions with our shareholders, the plan administrator will make equitable adjustments to the 2018 Plan and outstanding awards as it deems appropriate to reflect the transaction.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Plan Amendment and Termination</w:t>
      </w:r>
    </w:p>
    <w:p>
      <w:pPr>
        <w:spacing w:after="0" w:line="206" w:lineRule="exact"/>
        <w:rPr>
          <w:sz w:val="20"/>
          <w:szCs w:val="20"/>
          <w:color w:val="auto"/>
        </w:rPr>
      </w:pPr>
    </w:p>
    <w:p>
      <w:pPr>
        <w:ind w:right="20" w:firstLine="436"/>
        <w:spacing w:after="0" w:line="256" w:lineRule="auto"/>
        <w:rPr>
          <w:sz w:val="20"/>
          <w:szCs w:val="20"/>
          <w:color w:val="auto"/>
        </w:rPr>
      </w:pPr>
      <w:r>
        <w:rPr>
          <w:rFonts w:ascii="Arial" w:cs="Arial" w:eastAsia="Arial" w:hAnsi="Arial"/>
          <w:sz w:val="15"/>
          <w:szCs w:val="15"/>
          <w:color w:val="auto"/>
        </w:rPr>
        <w:t>Our board of directors may amend or terminate the 2018 Plan at any time; however, no amendment, other than an amendment that increases the number of shares available under the 2018 Plan, may materially and adversely affect an award outstanding under the 2018 Plan without the consent of the affected participant and shareholder approval will be obtained for any amendment to the extent necessary to comply with applicable laws. Further, the plan administrator cannot, without the approval of our shareholders, amend any outstanding share option or SAR to reduce its price per share other than in the context of corporate transactions or equity restructurings, as described above. The 2018 Plan will remain in effect until the tenth anniversary of the earlier of the date that our board of directors or our shareholders approve the 2018 Plan, unless earlier terminated by our board of directors. No awards may be granted under the 2018 Plan after its termination.</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Foreign Participants, Claw-Back Provisions, Transferability and Participant Payments</w:t>
      </w:r>
    </w:p>
    <w:p>
      <w:pPr>
        <w:spacing w:after="0" w:line="206"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the 2018 Plan or the applicable award agreement. Except as the plan administrator may determine or provide in an award agreement, awards under the 2018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2018 Plan and exercise price obligations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arising in connection with the exercise of share options under the 2018 Plan, the plan administrator may, in its discretion, accept cash, wire transfer or check, our Class A common shares that meet specified conditions, a promissory note, a "market sell order," such other consideration as the plan administrator deems suitable or any combination of the foregoing.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Employee Share Purchase Plan</w:t>
      </w:r>
    </w:p>
    <w:p>
      <w:pPr>
        <w:spacing w:after="0" w:line="208"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Our board of directors adopted and our shareholders have approved, effective the day prior to the first public trading date of our Class A common shares, the 2018 Employee Share Purchase Plan, or the 2018 ESPP. The material terms of the 2018 ESPP are summarized below.</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Shares Available for Awards; Administration</w:t>
      </w:r>
    </w:p>
    <w:p>
      <w:pPr>
        <w:spacing w:after="0" w:line="206" w:lineRule="exact"/>
        <w:rPr>
          <w:sz w:val="20"/>
          <w:szCs w:val="20"/>
          <w:color w:val="auto"/>
        </w:rPr>
      </w:pPr>
    </w:p>
    <w:p>
      <w:pPr>
        <w:ind w:right="160" w:firstLine="427"/>
        <w:spacing w:after="0" w:line="237" w:lineRule="auto"/>
        <w:rPr>
          <w:sz w:val="20"/>
          <w:szCs w:val="20"/>
          <w:color w:val="auto"/>
        </w:rPr>
      </w:pPr>
      <w:r>
        <w:rPr>
          <w:rFonts w:ascii="Arial" w:cs="Arial" w:eastAsia="Arial" w:hAnsi="Arial"/>
          <w:sz w:val="16"/>
          <w:szCs w:val="16"/>
          <w:color w:val="auto"/>
        </w:rPr>
        <w:t>A total of 670,000 Class A common shares will initially be reserved for issuance under the 2018 ESPP. In addition, the number of Class A common shares available for issuance under the 2018 ESPP will be annually increased on January 1 of each calendar year beginning in 2019 and ending in and including 2028, by an amount equal to the lesser of (A) 1% of the Class A common shares outstanding (on an as-converted basis) on the final day of the immediately preceding calendar year and (B) such smaller number of Class A common shares as is determined by our board of directors, provided that no more than 6,420,000 Class A common shares may be issued under the 2018 ESPP. Our board of directors or a committee of our board of directors will administer and will have authority to interpret the terms of a 2018 ESPP and determine eligibility of participants. We expect that the compensation committee will be the initial administrator of the 2018 ESPP.</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Eligibility</w:t>
      </w:r>
    </w:p>
    <w:p>
      <w:pPr>
        <w:spacing w:after="0" w:line="20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Our employees are eligible to participate in the 2018 ESPP if they are customarily employed by us or a participating subsidiary for more than twenty hours per week and more than five months in any calendar year. However, an employee may not be granted rights to purchase shares under our 2018 ESPP if the employee, immediately after the grant, would own (directly or through attribution) shares possessing 5% or more of the total combined voting power or value of all classes of our shares.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Grant of Rights</w:t>
      </w:r>
    </w:p>
    <w:p>
      <w:pPr>
        <w:spacing w:after="0" w:line="206" w:lineRule="exact"/>
        <w:rPr>
          <w:sz w:val="20"/>
          <w:szCs w:val="20"/>
          <w:color w:val="auto"/>
        </w:rPr>
      </w:pPr>
    </w:p>
    <w:p>
      <w:pPr>
        <w:ind w:right="260" w:firstLine="433"/>
        <w:spacing w:after="0" w:line="237" w:lineRule="auto"/>
        <w:rPr>
          <w:sz w:val="20"/>
          <w:szCs w:val="20"/>
          <w:color w:val="auto"/>
        </w:rPr>
      </w:pPr>
      <w:r>
        <w:rPr>
          <w:rFonts w:ascii="Arial" w:cs="Arial" w:eastAsia="Arial" w:hAnsi="Arial"/>
          <w:sz w:val="16"/>
          <w:szCs w:val="16"/>
          <w:color w:val="auto"/>
        </w:rPr>
        <w:t>The 2018 ESPP is intended to qualify under Section 423 of the Code and shares will be offered under the 2018 ESPP during offering periods. The length of the offering periods under the 2018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2018 ESPP will commence when determined by the plan administrator. The plan administrator may, in its discretion, modify the terms of future offering periods.</w:t>
      </w:r>
    </w:p>
    <w:p>
      <w:pPr>
        <w:spacing w:after="0" w:line="18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2018 ESPP permits participants to purchase our Class A common shares through payroll deductions of up to a specified percentage of their eligible compensation. The plan administrator will establish a maximum number of shares that may be purchased by a participant during any offering period, which, in the absence of a contrary designation, will be 25,000 shares. In addition, no employee will be permitted to accrue the right to purchase shares under the 2018 ESPP at a rate in excess of $25,000 worth of shares during any calendar year during which such a purchase right is outstanding (based on the fair market value per share of our Class A common shares as of the first day of the offering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our Class A common shares.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Class A common shares on the first trading day of the offering period or on the purchase date. Participants may voluntarily end their participation in the 2018 ESPP at any time not later than a specified period prior to the end of the applicable offering period, and will be paid their accrued payroll deductions that have not yet been used to purchase shares of our Class A common shares. Participation ends automatically upon a participant's termination of employment.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participant may not transfer rights granted under the 2018 ESPP other than by will or the laws of descent and distribution.</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Certain Transactions</w:t>
      </w:r>
    </w:p>
    <w:p>
      <w:pPr>
        <w:spacing w:after="0" w:line="206" w:lineRule="exact"/>
        <w:rPr>
          <w:sz w:val="20"/>
          <w:szCs w:val="20"/>
          <w:color w:val="auto"/>
        </w:rPr>
      </w:pPr>
    </w:p>
    <w:p>
      <w:pPr>
        <w:ind w:right="80" w:firstLine="436"/>
        <w:spacing w:after="0" w:line="256" w:lineRule="auto"/>
        <w:rPr>
          <w:sz w:val="20"/>
          <w:szCs w:val="20"/>
          <w:color w:val="auto"/>
        </w:rPr>
      </w:pPr>
      <w:r>
        <w:rPr>
          <w:rFonts w:ascii="Arial" w:cs="Arial" w:eastAsia="Arial" w:hAnsi="Arial"/>
          <w:sz w:val="15"/>
          <w:szCs w:val="15"/>
          <w:color w:val="auto"/>
        </w:rPr>
        <w:t>In the event of certain non-reciprocal transactions or events affecting our Class A common shares, the plan administrator will make equitable adjustments to the 2018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subject to outstanding rights, (4) the use of participants' accumulated payroll deductions to purchase shares on a new purchase date prior to the next scheduled purchase date and termination of any rights under ongoing offering periods or (5) the termination of all outstanding rights.</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Plan Amendment</w:t>
      </w:r>
    </w:p>
    <w:p>
      <w:pPr>
        <w:spacing w:after="0" w:line="206"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plan administrator may amend, suspend or terminate the 2018 ESPP at any time. However, shareholder approval will be obtained for any amendment that increases the aggregate number or changes the type of shares that may be sold pursuant to rights under the 2018 ESPP, changes the corporations or classes of corporations whose employees are eligible to participate in the 2018 ESPP or changes the 2018 ESPP in any manner that would cause the 2018 ESPP to no longer be an employee share purchase plan within the meaning of Section 423(b)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2" w:name="page173"/>
    <w:bookmarkEnd w:id="1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following includes a summary of transactions since our inception in July 2015 to which we have been a party in which the amount involved exceeded or will exceed $120,000, and in which any of our directors, executive officers or, to our knowledge, beneficial owners of more than 5% of any class of our voting shares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in the Offering</w:t>
      </w:r>
    </w:p>
    <w:p>
      <w:pPr>
        <w:spacing w:after="0" w:line="210"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agreed to purchase an aggregate of approximately $55.0 million of Class A common shares in this offering at the initial public offering price per share. The underwriters will receive the same underwriting discount on any shares purchased by these existing shareholders as they will on any other shares sold to the public in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 Financings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Preferred Share Financing</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October 2015, we issued and sold an aggregate of 8,028,809 Series A Preferred Shares, and in September 2016 we sold an additional 9,099,311 Series A Preferred Shares to new investors and certain of our directors and executive officers at a price of $4.6707 per share, resulting in aggregate gross proceeds of $80.0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 Preferred Share Financing</w:t>
      </w:r>
    </w:p>
    <w:p>
      <w:pPr>
        <w:spacing w:after="0" w:line="208"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color w:val="auto"/>
        </w:rPr>
        <w:t>In March 2017, we issued and sold an aggregate of 5,757,372 Series B Preferred Shares to new investors, existing shareholders, a director and an executive officer at a price of $6.9475 per share, resulting in aggregate gross proceeds of $40.0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C Preferred Share Financing</w:t>
      </w:r>
    </w:p>
    <w:p>
      <w:pPr>
        <w:spacing w:after="0" w:line="208"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 February 2018, we issued and sold an aggregate of 12,784,601 Series C Preferred Shares to new investors, existing shareholders and certain executive officers at a price of $15.6438 per share, resulting in aggregate gross proceeds of $200.0 million.</w:t>
      </w:r>
    </w:p>
    <w:p>
      <w:pPr>
        <w:spacing w:after="0" w:line="185" w:lineRule="exact"/>
        <w:rPr>
          <w:sz w:val="20"/>
          <w:szCs w:val="20"/>
          <w:color w:val="auto"/>
        </w:rPr>
      </w:pPr>
    </w:p>
    <w:p>
      <w:pPr>
        <w:ind w:right="200" w:firstLine="433"/>
        <w:spacing w:after="0" w:line="241" w:lineRule="auto"/>
        <w:rPr>
          <w:sz w:val="20"/>
          <w:szCs w:val="20"/>
          <w:color w:val="auto"/>
        </w:rPr>
      </w:pPr>
      <w:r>
        <w:rPr>
          <w:rFonts w:ascii="Arial" w:cs="Arial" w:eastAsia="Arial" w:hAnsi="Arial"/>
          <w:sz w:val="16"/>
          <w:szCs w:val="16"/>
          <w:color w:val="auto"/>
        </w:rPr>
        <w:t>The following table sets forth the aggregate number of preferred shares acquired by the listed holders of more than 5% of any class of our voting shares or their affiliated entities and certain of</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and directors. Each preferred share identified in the following table will convert into one common share upon the closing of this offering.</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220" w:type="dxa"/>
            <w:vAlign w:val="bottom"/>
            <w:gridSpan w:val="3"/>
          </w:tcPr>
          <w:p>
            <w:pPr>
              <w:spacing w:after="0"/>
              <w:rPr>
                <w:sz w:val="20"/>
                <w:szCs w:val="20"/>
                <w:color w:val="auto"/>
              </w:rPr>
            </w:pPr>
            <w:r>
              <w:rPr>
                <w:rFonts w:ascii="Arial" w:cs="Arial" w:eastAsia="Arial" w:hAnsi="Arial"/>
                <w:sz w:val="16"/>
                <w:szCs w:val="16"/>
                <w:b w:val="1"/>
                <w:bCs w:val="1"/>
                <w:color w:val="auto"/>
              </w:rPr>
              <w:t>Preferred Share Participant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Series A</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Series B</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C</w:t>
            </w: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5"/>
        </w:trPr>
        <w:tc>
          <w:tcPr>
            <w:tcW w:w="6220" w:type="dxa"/>
            <w:vAlign w:val="bottom"/>
            <w:gridSpan w:val="3"/>
            <w:shd w:val="clear" w:color="auto" w:fill="CCEEFF"/>
          </w:tcPr>
          <w:p>
            <w:pPr>
              <w:spacing w:after="0" w:line="205" w:lineRule="exact"/>
              <w:rPr>
                <w:sz w:val="20"/>
                <w:szCs w:val="20"/>
                <w:color w:val="auto"/>
              </w:rPr>
            </w:pPr>
            <w:r>
              <w:rPr>
                <w:rFonts w:ascii="Arial" w:cs="Arial" w:eastAsia="Arial" w:hAnsi="Arial"/>
                <w:sz w:val="14"/>
                <w:szCs w:val="14"/>
                <w:b w:val="1"/>
                <w:bCs w:val="1"/>
                <w:color w:val="auto"/>
              </w:rPr>
              <w:t>5% or Greater Shareholders</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Entities Managed by Baker Bros. Advisors LLP</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16,057,618</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3,598,392</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4,155,000</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ArrowMark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575,691</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447,458</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Cormorant Funds</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830,999</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Deerfield Special Situations Fund, L.P</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383,538</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Entities Affiliated with Dr. Robert Desnick</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214,101</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143,935</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319,614</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Fidelity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639,230</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Sofinnova Venture Partners X L.P.</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894,923</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Venrock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639,230</w:t>
            </w:r>
          </w:p>
        </w:tc>
        <w:tc>
          <w:tcPr>
            <w:tcW w:w="140" w:type="dxa"/>
            <w:vAlign w:val="bottom"/>
            <w:shd w:val="clear" w:color="auto" w:fill="CCEEFF"/>
          </w:tcPr>
          <w:p>
            <w:pPr>
              <w:spacing w:after="0"/>
              <w:rPr>
                <w:sz w:val="15"/>
                <w:szCs w:val="15"/>
                <w:color w:val="auto"/>
              </w:rPr>
            </w:pPr>
          </w:p>
        </w:tc>
      </w:tr>
      <w:tr>
        <w:trPr>
          <w:trHeight w:val="217"/>
        </w:trPr>
        <w:tc>
          <w:tcPr>
            <w:tcW w:w="6220" w:type="dxa"/>
            <w:vAlign w:val="bottom"/>
            <w:gridSpan w:val="3"/>
          </w:tcPr>
          <w:p>
            <w:pPr>
              <w:spacing w:after="0" w:line="217" w:lineRule="exact"/>
              <w:rPr>
                <w:sz w:val="20"/>
                <w:szCs w:val="20"/>
                <w:color w:val="auto"/>
              </w:rPr>
            </w:pPr>
            <w:r>
              <w:rPr>
                <w:rFonts w:ascii="Arial" w:cs="Arial" w:eastAsia="Arial" w:hAnsi="Arial"/>
                <w:sz w:val="15"/>
                <w:szCs w:val="15"/>
                <w:b w:val="1"/>
                <w:bCs w:val="1"/>
                <w:color w:val="auto"/>
              </w:rPr>
              <w:t>Officers and Directors</w:t>
            </w:r>
            <w:r>
              <w:rPr>
                <w:rFonts w:ascii="Arial" w:cs="Arial" w:eastAsia="Arial" w:hAnsi="Arial"/>
                <w:sz w:val="25"/>
                <w:szCs w:val="25"/>
                <w:b w:val="1"/>
                <w:bCs w:val="1"/>
                <w:color w:val="auto"/>
                <w:vertAlign w:val="superscript"/>
              </w:rPr>
              <w:t>(2)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Sanj K. Patel</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428,203</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71,967</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Stephen Mahoney</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107,050</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Thomas Beetham</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48,172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Chris Heberlig</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74,935</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Carsten Boess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107,050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Rasmus Holm-Jorgensen</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48,172</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217"/>
        </w:trPr>
        <w:tc>
          <w:tcPr>
            <w:tcW w:w="622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Felix J. Baker</w:t>
            </w:r>
            <w:r>
              <w:rPr>
                <w:rFonts w:ascii="Arial" w:cs="Arial" w:eastAsia="Arial" w:hAnsi="Arial"/>
                <w:sz w:val="25"/>
                <w:szCs w:val="25"/>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16,057,618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3,598,392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4,155,000</w:t>
            </w:r>
          </w:p>
        </w:tc>
        <w:tc>
          <w:tcPr>
            <w:tcW w:w="140" w:type="dxa"/>
            <w:vAlign w:val="bottom"/>
            <w:shd w:val="clear" w:color="auto" w:fill="CCEEFF"/>
          </w:tcPr>
          <w:p>
            <w:pPr>
              <w:spacing w:after="0"/>
              <w:rPr>
                <w:sz w:val="18"/>
                <w:szCs w:val="18"/>
                <w:color w:val="auto"/>
              </w:rPr>
            </w:pPr>
          </w:p>
        </w:tc>
      </w:tr>
      <w:tr>
        <w:trPr>
          <w:trHeight w:val="314"/>
        </w:trPr>
        <w:tc>
          <w:tcPr>
            <w:tcW w:w="6220" w:type="dxa"/>
            <w:vAlign w:val="bottom"/>
            <w:gridSpan w:val="3"/>
          </w:tcPr>
          <w:p>
            <w:pPr>
              <w:spacing w:after="0"/>
              <w:rPr>
                <w:sz w:val="20"/>
                <w:szCs w:val="20"/>
                <w:color w:val="auto"/>
              </w:rPr>
            </w:pPr>
            <w:r>
              <w:rPr>
                <w:rFonts w:ascii="Arial" w:cs="Arial" w:eastAsia="Arial" w:hAnsi="Arial"/>
                <w:sz w:val="16"/>
                <w:szCs w:val="16"/>
                <w:color w:val="auto"/>
              </w:rPr>
              <w:t>Thomas R. Malley</w:t>
            </w:r>
            <w:r>
              <w:rPr>
                <w:rFonts w:ascii="Arial" w:cs="Arial" w:eastAsia="Arial" w:hAnsi="Arial"/>
                <w:sz w:val="26"/>
                <w:szCs w:val="26"/>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71,967</w:t>
            </w: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9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3" w:lineRule="exact"/>
        <w:rPr>
          <w:sz w:val="20"/>
          <w:szCs w:val="20"/>
          <w:color w:val="auto"/>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Additional details regarding these shareholders and their equity holdings are provided under the caption "Principal Shareholders."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Additional details regarding these officers' and directors' equity holdings are provided under the caption "Principal Shareholders."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Dr. Baker is the beneficial owner of the preferred shares acquired by entities managed by Baker Bros. Advisors LLP. See "Principal Shareholders" for additional details.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Mr. Malley is the beneficial owner of the preferred shares acquired by Mossrock Capital, LLC. See "Principal Shareholders" for additional details.</w:t>
      </w:r>
    </w:p>
    <w:p>
      <w:pPr>
        <w:spacing w:after="0" w:line="182" w:lineRule="exact"/>
        <w:rPr>
          <w:sz w:val="20"/>
          <w:szCs w:val="20"/>
          <w:color w:val="auto"/>
        </w:rPr>
      </w:pPr>
    </w:p>
    <w:p>
      <w:pPr>
        <w:ind w:right="760" w:firstLine="436"/>
        <w:spacing w:after="0" w:line="241" w:lineRule="auto"/>
        <w:rPr>
          <w:sz w:val="20"/>
          <w:szCs w:val="20"/>
          <w:color w:val="auto"/>
        </w:rPr>
      </w:pPr>
      <w:r>
        <w:rPr>
          <w:rFonts w:ascii="Arial" w:cs="Arial" w:eastAsia="Arial" w:hAnsi="Arial"/>
          <w:sz w:val="16"/>
          <w:szCs w:val="16"/>
          <w:color w:val="auto"/>
        </w:rPr>
        <w:t>Our directors, Felix J. Baker, Ph.D. and Stephen R. Biggar, M.D., Ph.D., are associated with 667, L.P. and Baker Brothers Life Sciences, L.P., which beneficially own more than 5% of our Class B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Rights Agreement</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connection with our Series C preferred share financing, we entered into an amended and restated investors' rights agreement, or the investors' rights agreement, with holders of our preferred shares, including certain executive officers, holders of 5% of any class of our voting shares and entities affiliated with certain of our directors. The investors' rights agreement, among other things, grants these shareholders specified registration rights with respect to our Class A common shares, including common shares issued or issuable upon conversion of the preferred shares held by them. For more information regarding the registration rights provided in these agreements, please refer to the section entitled "Description of Share Capital — Registration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Agreement</w:t>
      </w:r>
    </w:p>
    <w:p>
      <w:pPr>
        <w:spacing w:after="0" w:line="210" w:lineRule="exact"/>
        <w:rPr>
          <w:sz w:val="20"/>
          <w:szCs w:val="20"/>
          <w:color w:val="auto"/>
        </w:rPr>
      </w:pPr>
    </w:p>
    <w:p>
      <w:pPr>
        <w:ind w:right="140" w:firstLine="436"/>
        <w:spacing w:after="0" w:line="262" w:lineRule="auto"/>
        <w:rPr>
          <w:sz w:val="20"/>
          <w:szCs w:val="20"/>
          <w:color w:val="auto"/>
        </w:rPr>
      </w:pPr>
      <w:r>
        <w:rPr>
          <w:rFonts w:ascii="Arial" w:cs="Arial" w:eastAsia="Arial" w:hAnsi="Arial"/>
          <w:sz w:val="15"/>
          <w:szCs w:val="15"/>
          <w:color w:val="auto"/>
        </w:rPr>
        <w:t>In connection with our Series C preferred share financing, we entered into a second amended and restated voting agreement in February 2018, or the voting agreement, with holders of our preferred shares, including certain executive officers, holders of 5% of our any class of our voting shares and entities affiliated with certain of our directors. Pursuant to the voting agreement, the preferred shareholders agreed to elect the following directors to serve as members on our board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directors: Sanj K. Patel, Felix J. Baker, Ph.D., Stephen R. Biggar, M.D., Ph.D., Barry D. Quart, Pharm.D., Thomas R. Malley, Tracey L. McCain and Kimberly</w:t>
      </w:r>
    </w:p>
    <w:p>
      <w:pPr>
        <w:spacing w:after="0" w:line="237" w:lineRule="auto"/>
        <w:rPr>
          <w:sz w:val="20"/>
          <w:szCs w:val="20"/>
          <w:color w:val="auto"/>
        </w:rPr>
      </w:pPr>
      <w:r>
        <w:rPr>
          <w:rFonts w:ascii="Arial" w:cs="Arial" w:eastAsia="Arial" w:hAnsi="Arial"/>
          <w:sz w:val="16"/>
          <w:szCs w:val="16"/>
          <w:color w:val="auto"/>
        </w:rPr>
        <w:t>J. Popovits. As of the date of this prospectus, each of these directors continues to serve on our board of directors. Pursuant to the voting agreement, Drs. Baker and Biggar were initially selected to serve on our board of directors as the directors designated by the holders of our preferred shares. Mr. Patel was initially selected to serve on our board of directors in his capacity as our Chief Executive Officer. Dr. Quart, Mr. Malley and Mses. McCain and Popovits were initially selected to serve on our board of directors as independent directors. The voting agreement will terminate upon the closing of this offering, and members previously elected to our board of directors pursuant to this agreement will continue to serve as directors until they have completed their term.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210"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We have entered into indemnification agreements with all of our directors and executive officers. These agreements, among other things, require us or will require us to indemnify each director (and in certain cases their related investment funds) and executive officer to the fullest extent permitted by Bermuda law, including indemnification of expenses such as attorneys' fees, judgments, fines and settlement amounts incurred by the director or executive officer in any action or proceeding, including any action or proceeding by or in right of the Company, arising out of such person's services as a director or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10" w:lineRule="exact"/>
        <w:rPr>
          <w:sz w:val="20"/>
          <w:szCs w:val="20"/>
          <w:color w:val="auto"/>
        </w:rPr>
      </w:pPr>
    </w:p>
    <w:p>
      <w:pPr>
        <w:ind w:right="460" w:firstLine="436"/>
        <w:spacing w:after="0" w:line="239" w:lineRule="auto"/>
        <w:rPr>
          <w:sz w:val="20"/>
          <w:szCs w:val="20"/>
          <w:color w:val="auto"/>
        </w:rPr>
      </w:pPr>
      <w:r>
        <w:rPr>
          <w:rFonts w:ascii="Arial" w:cs="Arial" w:eastAsia="Arial" w:hAnsi="Arial"/>
          <w:sz w:val="16"/>
          <w:szCs w:val="16"/>
          <w:color w:val="auto"/>
        </w:rPr>
        <w:t>In connection with this offering, we intend to amend the existing employment agreements with our named executive officers. The material terms of those arrangements are described in "Executive and Director Compensation — Executive Compensation Arrangements." In addition, we intend to amend existing employment agreements with certain of our officers as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Chris Heberlig</w:t>
      </w:r>
    </w:p>
    <w:p>
      <w:pPr>
        <w:spacing w:after="0" w:line="208"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Chris Heberlig serves as our Executive Vice President and Chief Financial Officer. Mr. Heberlig's employment agreement will provide for an annual base salary of $350,000, which may be changed from time to time in the discretion of our board of directors. Mr. Heberlig will be eligible to earn an annual discretionary cash bonus with a target of 35% of base salary based on our board of directors' assessment of his individual performance as well as overall company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Thomas Beetham</w:t>
      </w:r>
    </w:p>
    <w:p>
      <w:pPr>
        <w:spacing w:after="0" w:line="208" w:lineRule="exact"/>
        <w:rPr>
          <w:sz w:val="20"/>
          <w:szCs w:val="20"/>
          <w:color w:val="auto"/>
        </w:rPr>
      </w:pPr>
    </w:p>
    <w:p>
      <w:pPr>
        <w:ind w:right="120" w:firstLine="433"/>
        <w:spacing w:after="0" w:line="262" w:lineRule="auto"/>
        <w:rPr>
          <w:sz w:val="20"/>
          <w:szCs w:val="20"/>
          <w:color w:val="auto"/>
        </w:rPr>
      </w:pPr>
      <w:r>
        <w:rPr>
          <w:rFonts w:ascii="Arial" w:cs="Arial" w:eastAsia="Arial" w:hAnsi="Arial"/>
          <w:sz w:val="15"/>
          <w:szCs w:val="15"/>
          <w:color w:val="auto"/>
        </w:rPr>
        <w:t>Thomas Beetham serves as our Executive Vice President and Chief Legal Officer. Mr. Beetham's employment agreement will provide for an annual base salary of $375,000, which may be changed from time to time in the discretion of our board of directors. Mr. Beetham will be eligible to earn an annual discretionary cash bonus with a target of 35% of base salary based on our board of directors' assessment of his individual performance as well as overall company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Carsten Boess</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Carsten Boess serves as our Executive Vice President, Corporate Affairs. Mr. Boess' employment agreement will provide for an annual base salary of</w:t>
      </w:r>
    </w:p>
    <w:p>
      <w:pPr>
        <w:ind w:right="180"/>
        <w:spacing w:after="0" w:line="241" w:lineRule="auto"/>
        <w:rPr>
          <w:sz w:val="20"/>
          <w:szCs w:val="20"/>
          <w:color w:val="auto"/>
        </w:rPr>
      </w:pPr>
      <w:r>
        <w:rPr>
          <w:rFonts w:ascii="Arial" w:cs="Arial" w:eastAsia="Arial" w:hAnsi="Arial"/>
          <w:sz w:val="16"/>
          <w:szCs w:val="16"/>
          <w:color w:val="auto"/>
        </w:rPr>
        <w:t>$400,000, which may be changed from time to time in the discretion of our board of directors. Mr. Boess will be eligible to earn an annual discretionary cash bonus with a target of 35% of base salary based on our board of directors' assessment of his individual performance as well as overall company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Rasmus Holm-Jorgensen</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Rasmus Holm-Jorgensen serves as our Senior Vice President, Chief Strategy and Portfolio Officer. Mr. Holm-Jorgensen's employment agreement will provide for an annual base salary of $337,740, which may be changed from time to time in the discretion of our board of directors. Mr. Holm-Jorgensen will be eligible to earn an annual discretionary cash bonus with a target of 30% of base salary based on our board of directors' assessment of his individual performance as well as overall company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 Grants to Officers and Directors</w:t>
      </w:r>
    </w:p>
    <w:p>
      <w:pPr>
        <w:spacing w:after="0" w:line="210"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have granted share options for our Class A common shares to our named executive officers and certain of our directors as more fully described in the section entitled "Executive and Director Compensation." In December 2015, we granted 125,941 share options each to Messrs. Heberlig, Beetham, and Boess and 75,565 share options to Mr. Holm-Jorgensen, each at an exercise price of $1.59 per share. In June 2017, we granted 62,475 share options to Mr. Heberlig, 66,135 share options to Mr. Beetham, 36,598 share options to Mr. Boess, and 40,689 share options to Mr. Holm-Jorgensen, each at an exercise price of $3.80. In March 2018, we granted 109,795 share options each to Messrs. Heberlig and Beetham, 9,149 share options to Mr. Boess, and 36,598 share options to Mr. Holm-Jorgensen, each at an exercise price of $10.36.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board of directors adopted a written related person transaction policy, to be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6" w:name="page177"/>
    <w:bookmarkEnd w:id="1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PRINCIPAL SHAREHOLDERS</w:t>
      </w:r>
    </w:p>
    <w:p>
      <w:pPr>
        <w:spacing w:after="0" w:line="210"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following table sets forth information with respect to the beneficial ownership of our Class A common shares, Class A1 common shares, Class B common shares and Class B1 common shares, as of March 31, 2018, and as adjusted to reflect the sale of Class A common shares in this offering, by:</w:t>
      </w:r>
    </w:p>
    <w:p>
      <w:pPr>
        <w:spacing w:after="0" w:line="185" w:lineRule="exact"/>
        <w:rPr>
          <w:sz w:val="20"/>
          <w:szCs w:val="20"/>
          <w:color w:val="auto"/>
        </w:rPr>
      </w:pPr>
    </w:p>
    <w:p>
      <w:pPr>
        <w:ind w:left="960" w:hanging="481"/>
        <w:spacing w:after="0"/>
        <w:tabs>
          <w:tab w:leader="none" w:pos="9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Class A common shares or Class B common shares;</w:t>
      </w:r>
    </w:p>
    <w:p>
      <w:pPr>
        <w:spacing w:after="0" w:line="201" w:lineRule="exact"/>
        <w:rPr>
          <w:rFonts w:ascii="Arial" w:cs="Arial" w:eastAsia="Arial" w:hAnsi="Arial"/>
          <w:sz w:val="15"/>
          <w:szCs w:val="15"/>
          <w:color w:val="auto"/>
        </w:rPr>
      </w:pPr>
    </w:p>
    <w:p>
      <w:pPr>
        <w:ind w:left="960" w:hanging="481"/>
        <w:spacing w:after="0"/>
        <w:tabs>
          <w:tab w:leader="none" w:pos="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of our named executive officers and directors;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9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6,270,569 Class A common shares outstanding, 12,995,954 Class A1 common shares outstanding, 4,638,855 Class B common shares outstanding, and 16,057,618 Class B1 common shares outstanding, each as of March 31, 2018, assuming the conversion of all outstanding preferred shares into 5,546,019 Class A common shares, 12,995,954 Class A1 common shares, 1,070,502 Class B common shares, and 16,057,618 Class B1 common shares in connection with this offering. In computing the number of shares beneficially owned by an individual or entity and the percentage ownership of that person, common shares subject to options or other rights held by such person that are currently exercisable or will become exercisable within 60 days of March 31, 2018 are considered outstanding, although these shares are not considered outstanding for purposes of computing the percentage ownership of any other person.</w:t>
      </w:r>
    </w:p>
    <w:p>
      <w:pPr>
        <w:spacing w:after="0" w:line="187"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Unless noted otherwise, the address of all listed shareholders is c/o Kiniksa Pharmaceuticals Corp., 100 Hayden Avenue, Lexington, Massachusetts 02421. Each of the shareholders listed has sole voting and investment power with respect to the shares beneficially owned by the shareholder unless noted otherwise, subject to community property laws where applicable.</w:t>
      </w:r>
    </w:p>
    <w:p>
      <w:pPr>
        <w:spacing w:after="0" w:line="186"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agreed to purchase an aggregate of approximately $55.0 million of Class A common shares in this offering at the initial public offering price per share. The underwriters will receive the same underwriting discount on any shares purchased by these existing shareholders as they will on any other shares sold to the public in this offering. The following table does not reflect any such purchases by these existing shareholders or their affiliated entities.</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Our Class A1 common shares are convertible into Class A common shares at any time at the option of the holder, with prior notice to us, on a one-for-one basis, unless, immediately prior to or following such conversion, the holder and its affiliates beneficially own, or would beneficially own, more than 4.99% of the issued and outstanding Class A common shares. Accordingly, each holder of Class A1 common shares is deemed to be the beneficial owner of the number of Class A common shares that would result in such holder owning up to 4.99% of the issued and outstanding Class A common shares, in addition to any other Class A common shares beneficially owned by such holder.</w:t>
      </w:r>
    </w:p>
    <w:p>
      <w:pPr>
        <w:spacing w:after="0" w:line="189"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Class B common shares are convertible into Class A common shares or Class B1 common shares at any time at the option of the holder, with prior notice to us, on a one-for-one basis. Accordingly, each holder of Class B common shares is deemed to be the beneficial owner of, in each case, an equal number of Class A common shares and Class B1 common shares, in addition to any other Class A common shares or Class B1 common shares beneficially owned by such holder.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57" w:lineRule="auto"/>
        <w:rPr>
          <w:sz w:val="20"/>
          <w:szCs w:val="20"/>
          <w:color w:val="auto"/>
        </w:rPr>
      </w:pPr>
      <w:r>
        <w:rPr>
          <w:rFonts w:ascii="Arial" w:cs="Arial" w:eastAsia="Arial" w:hAnsi="Arial"/>
          <w:sz w:val="15"/>
          <w:szCs w:val="15"/>
          <w:color w:val="auto"/>
        </w:rPr>
        <w:t>Our Class B1 common shares are convertible into Class A common shares or Class B common shares at any time at the option of the holder, with prior notice to us, on a one-for-one basis, unless, immediately prior to or following such conversion, the holder and its affiliates beneficially own, or would beneficially own, more than 4.99% of the issued and outstanding Class A common shares. Accordingly, each holder of Class B1 common shares is deemed to be the beneficial owner of the number of Class A common shares and Class B common shares, in each case, that would result in such holder owning up to 4.99% of the issued and outstanding Class A common shares, in addition to any other Class A common shares or Class B common shares beneficially owned by such holder.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78" w:name="page179"/>
    <w:bookmarkEnd w:id="178"/>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11"/>
          </w:tcPr>
          <w:p>
            <w:pPr>
              <w:ind w:left="160"/>
              <w:spacing w:after="0"/>
              <w:rPr>
                <w:sz w:val="20"/>
                <w:szCs w:val="20"/>
                <w:color w:val="auto"/>
              </w:rPr>
            </w:pPr>
            <w:r>
              <w:rPr>
                <w:rFonts w:ascii="Arial" w:cs="Arial" w:eastAsia="Arial" w:hAnsi="Arial"/>
                <w:sz w:val="13"/>
                <w:szCs w:val="13"/>
                <w:b w:val="1"/>
                <w:bCs w:val="1"/>
                <w:color w:val="auto"/>
              </w:rPr>
              <w:t>Beneficial Ownership Before the Offering</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11"/>
          </w:tcPr>
          <w:p>
            <w:pPr>
              <w:ind w:left="220"/>
              <w:spacing w:after="0"/>
              <w:rPr>
                <w:sz w:val="20"/>
                <w:szCs w:val="20"/>
                <w:color w:val="auto"/>
              </w:rPr>
            </w:pPr>
            <w:r>
              <w:rPr>
                <w:rFonts w:ascii="Arial" w:cs="Arial" w:eastAsia="Arial" w:hAnsi="Arial"/>
                <w:sz w:val="13"/>
                <w:szCs w:val="13"/>
                <w:b w:val="1"/>
                <w:bCs w:val="1"/>
                <w:color w:val="auto"/>
              </w:rPr>
              <w:t>Beneficial Ownership After the Offering</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89"/>
              </w:rPr>
              <w:t>Total</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A</w:t>
            </w:r>
          </w:p>
        </w:tc>
        <w:tc>
          <w:tcPr>
            <w:tcW w:w="1120" w:type="dxa"/>
            <w:vAlign w:val="bottom"/>
            <w:gridSpan w:val="4"/>
          </w:tcPr>
          <w:p>
            <w:pPr>
              <w:jc w:val="center"/>
              <w:ind w:right="140"/>
              <w:spacing w:after="0" w:line="145" w:lineRule="exact"/>
              <w:rPr>
                <w:sz w:val="20"/>
                <w:szCs w:val="20"/>
                <w:color w:val="auto"/>
              </w:rPr>
            </w:pPr>
            <w:r>
              <w:rPr>
                <w:rFonts w:ascii="Arial" w:cs="Arial" w:eastAsia="Arial" w:hAnsi="Arial"/>
                <w:sz w:val="13"/>
                <w:szCs w:val="13"/>
                <w:b w:val="1"/>
                <w:bCs w:val="1"/>
                <w:color w:val="auto"/>
                <w:w w:val="98"/>
              </w:rPr>
              <w:t>Class A1</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B</w:t>
            </w:r>
          </w:p>
        </w:tc>
        <w:tc>
          <w:tcPr>
            <w:tcW w:w="1200" w:type="dxa"/>
            <w:vAlign w:val="bottom"/>
            <w:gridSpan w:val="5"/>
          </w:tcPr>
          <w:p>
            <w:pPr>
              <w:jc w:val="center"/>
              <w:ind w:right="100"/>
              <w:spacing w:after="0" w:line="145" w:lineRule="exact"/>
              <w:rPr>
                <w:sz w:val="20"/>
                <w:szCs w:val="20"/>
                <w:color w:val="auto"/>
              </w:rPr>
            </w:pPr>
            <w:r>
              <w:rPr>
                <w:rFonts w:ascii="Arial" w:cs="Arial" w:eastAsia="Arial" w:hAnsi="Arial"/>
                <w:sz w:val="13"/>
                <w:szCs w:val="13"/>
                <w:b w:val="1"/>
                <w:bCs w:val="1"/>
                <w:color w:val="auto"/>
                <w:w w:val="98"/>
              </w:rPr>
              <w:t>Class B1</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8"/>
              </w:rPr>
              <w:t>Voting</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rPr>
              <w:t>Class A</w:t>
            </w:r>
          </w:p>
        </w:tc>
        <w:tc>
          <w:tcPr>
            <w:tcW w:w="1140" w:type="dxa"/>
            <w:vAlign w:val="bottom"/>
            <w:gridSpan w:val="4"/>
          </w:tcPr>
          <w:p>
            <w:pPr>
              <w:ind w:left="240"/>
              <w:spacing w:after="0" w:line="145" w:lineRule="exact"/>
              <w:rPr>
                <w:sz w:val="20"/>
                <w:szCs w:val="20"/>
                <w:color w:val="auto"/>
              </w:rPr>
            </w:pPr>
            <w:r>
              <w:rPr>
                <w:rFonts w:ascii="Arial" w:cs="Arial" w:eastAsia="Arial" w:hAnsi="Arial"/>
                <w:sz w:val="13"/>
                <w:szCs w:val="13"/>
                <w:b w:val="1"/>
                <w:bCs w:val="1"/>
                <w:color w:val="auto"/>
              </w:rPr>
              <w:t>Class A1</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B</w:t>
            </w:r>
          </w:p>
        </w:tc>
        <w:tc>
          <w:tcPr>
            <w:tcW w:w="1200" w:type="dxa"/>
            <w:vAlign w:val="bottom"/>
            <w:gridSpan w:val="5"/>
          </w:tcPr>
          <w:p>
            <w:pPr>
              <w:jc w:val="center"/>
              <w:ind w:right="140"/>
              <w:spacing w:after="0" w:line="145" w:lineRule="exact"/>
              <w:rPr>
                <w:sz w:val="20"/>
                <w:szCs w:val="20"/>
                <w:color w:val="auto"/>
              </w:rPr>
            </w:pPr>
            <w:r>
              <w:rPr>
                <w:rFonts w:ascii="Arial" w:cs="Arial" w:eastAsia="Arial" w:hAnsi="Arial"/>
                <w:sz w:val="13"/>
                <w:szCs w:val="13"/>
                <w:b w:val="1"/>
                <w:bCs w:val="1"/>
                <w:color w:val="auto"/>
                <w:w w:val="98"/>
              </w:rPr>
              <w:t>Class B1</w:t>
            </w: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200" w:type="dxa"/>
            <w:vAlign w:val="bottom"/>
            <w:gridSpan w:val="5"/>
          </w:tcPr>
          <w:p>
            <w:pPr>
              <w:jc w:val="center"/>
              <w:ind w:right="100"/>
              <w:spacing w:after="0" w:line="145" w:lineRule="exact"/>
              <w:rPr>
                <w:sz w:val="20"/>
                <w:szCs w:val="20"/>
                <w:color w:val="auto"/>
              </w:rPr>
            </w:pPr>
            <w:r>
              <w:rPr>
                <w:rFonts w:ascii="Arial" w:cs="Arial" w:eastAsia="Arial" w:hAnsi="Arial"/>
                <w:sz w:val="13"/>
                <w:szCs w:val="13"/>
                <w:b w:val="1"/>
                <w:bCs w:val="1"/>
                <w:color w:val="auto"/>
                <w:w w:val="99"/>
              </w:rPr>
              <w:t>common</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rPr>
              <w:t>Power</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4"/>
          </w:tcPr>
          <w:p>
            <w:pPr>
              <w:ind w:left="240"/>
              <w:spacing w:after="0" w:line="145" w:lineRule="exact"/>
              <w:rPr>
                <w:sz w:val="20"/>
                <w:szCs w:val="20"/>
                <w:color w:val="auto"/>
              </w:rPr>
            </w:pPr>
            <w:r>
              <w:rPr>
                <w:rFonts w:ascii="Arial" w:cs="Arial" w:eastAsia="Arial" w:hAnsi="Arial"/>
                <w:sz w:val="13"/>
                <w:szCs w:val="13"/>
                <w:b w:val="1"/>
                <w:bCs w:val="1"/>
                <w:color w:val="auto"/>
              </w:rPr>
              <w:t>common</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200" w:type="dxa"/>
            <w:vAlign w:val="bottom"/>
            <w:gridSpan w:val="5"/>
          </w:tcPr>
          <w:p>
            <w:pPr>
              <w:jc w:val="center"/>
              <w:ind w:right="140"/>
              <w:spacing w:after="0" w:line="145" w:lineRule="exact"/>
              <w:rPr>
                <w:sz w:val="20"/>
                <w:szCs w:val="20"/>
                <w:color w:val="auto"/>
              </w:rPr>
            </w:pPr>
            <w:r>
              <w:rPr>
                <w:rFonts w:ascii="Arial" w:cs="Arial" w:eastAsia="Arial" w:hAnsi="Arial"/>
                <w:sz w:val="13"/>
                <w:szCs w:val="13"/>
                <w:b w:val="1"/>
                <w:bCs w:val="1"/>
                <w:color w:val="auto"/>
                <w:w w:val="99"/>
              </w:rPr>
              <w:t>common</w:t>
            </w: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7"/>
              </w:rPr>
              <w:t>Power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shares</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95"/>
              </w:rPr>
              <w:t>shares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Before</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shares</w:t>
            </w:r>
          </w:p>
        </w:tc>
        <w:tc>
          <w:tcPr>
            <w:tcW w:w="11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95"/>
              </w:rPr>
              <w:t>shares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120"/>
              <w:spacing w:after="0" w:line="109" w:lineRule="exact"/>
              <w:rPr>
                <w:sz w:val="20"/>
                <w:szCs w:val="20"/>
                <w:color w:val="auto"/>
              </w:rPr>
            </w:pPr>
            <w:r>
              <w:rPr>
                <w:rFonts w:ascii="Arial" w:cs="Arial" w:eastAsia="Arial" w:hAnsi="Arial"/>
                <w:sz w:val="12"/>
                <w:szCs w:val="12"/>
                <w:b w:val="1"/>
                <w:bCs w:val="1"/>
                <w:color w:val="auto"/>
              </w:rPr>
              <w:t>the</w:t>
            </w: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100"/>
              <w:spacing w:after="0" w:line="109" w:lineRule="exact"/>
              <w:rPr>
                <w:sz w:val="20"/>
                <w:szCs w:val="20"/>
                <w:color w:val="auto"/>
              </w:rPr>
            </w:pPr>
            <w:r>
              <w:rPr>
                <w:rFonts w:ascii="Arial" w:cs="Arial" w:eastAsia="Arial" w:hAnsi="Arial"/>
                <w:sz w:val="12"/>
                <w:szCs w:val="12"/>
                <w:b w:val="1"/>
                <w:bCs w:val="1"/>
                <w:color w:val="auto"/>
              </w:rPr>
              <w:t>the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8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Offering</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b w:val="1"/>
                <w:bCs w:val="1"/>
                <w:color w:val="auto"/>
              </w:rPr>
              <w:t>Shares</w:t>
            </w:r>
          </w:p>
        </w:tc>
        <w:tc>
          <w:tcPr>
            <w:tcW w:w="4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Name of</w:t>
            </w: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Beneficial</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Owner:</w:t>
            </w: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i w:val="1"/>
                <w:iCs w:val="1"/>
                <w:color w:val="auto"/>
              </w:rPr>
              <w:t>5% or Greater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i w:val="1"/>
                <w:iCs w:val="1"/>
                <w:color w:val="auto"/>
              </w:rPr>
              <w:t>Shareholders:</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ArrowMark</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Funds</w:t>
            </w:r>
            <w:r>
              <w:rPr>
                <w:rFonts w:ascii="Arial" w:cs="Arial" w:eastAsia="Arial" w:hAnsi="Arial"/>
                <w:sz w:val="19"/>
                <w:szCs w:val="19"/>
                <w:color w:val="auto"/>
                <w:vertAlign w:val="superscript"/>
              </w:rPr>
              <w:t>(1)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1,020,408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16.27%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1.94% 1,020,408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Sofinnova</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Venture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40" w:type="dxa"/>
            <w:vAlign w:val="bottom"/>
            <w:gridSpan w:val="2"/>
          </w:tcPr>
          <w:p>
            <w:pPr>
              <w:ind w:left="60"/>
              <w:spacing w:after="0" w:line="116" w:lineRule="exact"/>
              <w:rPr>
                <w:sz w:val="20"/>
                <w:szCs w:val="20"/>
                <w:color w:val="auto"/>
              </w:rPr>
            </w:pPr>
            <w:r>
              <w:rPr>
                <w:rFonts w:ascii="Arial" w:cs="Arial" w:eastAsia="Arial" w:hAnsi="Arial"/>
                <w:sz w:val="13"/>
                <w:szCs w:val="13"/>
                <w:color w:val="auto"/>
              </w:rPr>
              <w:t>Partners X, L.P.</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gridSpan w:val="2"/>
          </w:tcPr>
          <w:p>
            <w:pPr>
              <w:ind w:left="80"/>
              <w:spacing w:after="0"/>
              <w:rPr>
                <w:sz w:val="20"/>
                <w:szCs w:val="20"/>
                <w:color w:val="auto"/>
              </w:rPr>
            </w:pPr>
            <w:r>
              <w:rPr>
                <w:rFonts w:ascii="Arial" w:cs="Arial" w:eastAsia="Arial" w:hAnsi="Arial"/>
                <w:sz w:val="10"/>
                <w:szCs w:val="10"/>
                <w:color w:val="auto"/>
              </w:rPr>
              <w:t>(2)</w:t>
            </w:r>
          </w:p>
        </w:tc>
        <w:tc>
          <w:tcPr>
            <w:tcW w:w="24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894,923</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14.27%</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1.70%</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894,923</w:t>
            </w: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6.07%</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Cormorant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Funds</w:t>
            </w:r>
            <w:r>
              <w:rPr>
                <w:rFonts w:ascii="Arial" w:cs="Arial" w:eastAsia="Arial" w:hAnsi="Arial"/>
                <w:sz w:val="19"/>
                <w:szCs w:val="19"/>
                <w:color w:val="auto"/>
                <w:vertAlign w:val="superscript"/>
              </w:rPr>
              <w:t>(3)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830,999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13.25%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830,999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Entities Affiliated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with Dr. Robert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Desnick</w:t>
            </w:r>
            <w:r>
              <w:rPr>
                <w:rFonts w:ascii="Arial" w:cs="Arial" w:eastAsia="Arial" w:hAnsi="Arial"/>
                <w:sz w:val="19"/>
                <w:szCs w:val="19"/>
                <w:color w:val="auto"/>
                <w:vertAlign w:val="superscript"/>
              </w:rPr>
              <w:t>(4)</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679,631</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10.84%</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679,631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4.54%</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4.62%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rPr>
              <w:t>Fidelity Funds</w:t>
            </w:r>
            <w:r>
              <w:rPr>
                <w:rFonts w:ascii="Arial" w:cs="Arial" w:eastAsia="Arial" w:hAnsi="Arial"/>
                <w:sz w:val="19"/>
                <w:szCs w:val="19"/>
                <w:color w:val="auto"/>
                <w:vertAlign w:val="superscript"/>
              </w:rPr>
              <w:t>(5)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639,230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10.19%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639,230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w w:val="99"/>
              </w:rPr>
              <w:t>Venrock Funds</w:t>
            </w:r>
            <w:r>
              <w:rPr>
                <w:rFonts w:ascii="Arial" w:cs="Arial" w:eastAsia="Arial" w:hAnsi="Arial"/>
                <w:sz w:val="19"/>
                <w:szCs w:val="19"/>
                <w:color w:val="auto"/>
                <w:w w:val="99"/>
                <w:vertAlign w:val="superscript"/>
              </w:rPr>
              <w:t>(6)</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639,230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10.19%</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1.21%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639,230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4.33%</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Deerfield Special</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Situations</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 L.P.</w:t>
            </w:r>
            <w:r>
              <w:rPr>
                <w:rFonts w:ascii="Arial" w:cs="Arial" w:eastAsia="Arial" w:hAnsi="Arial"/>
                <w:sz w:val="19"/>
                <w:szCs w:val="19"/>
                <w:color w:val="auto"/>
                <w:vertAlign w:val="superscript"/>
              </w:rPr>
              <w:t>(7)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383,538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383,538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Entities managed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by Baker Bros.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Advisors LP</w:t>
            </w:r>
            <w:r>
              <w:rPr>
                <w:rFonts w:ascii="Arial" w:cs="Arial" w:eastAsia="Arial" w:hAnsi="Arial"/>
                <w:sz w:val="19"/>
                <w:szCs w:val="19"/>
                <w:color w:val="auto"/>
                <w:vertAlign w:val="superscript"/>
              </w:rPr>
              <w:t>(8)</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328,988</w:t>
            </w:r>
          </w:p>
        </w:tc>
        <w:tc>
          <w:tcPr>
            <w:tcW w:w="1140" w:type="dxa"/>
            <w:vAlign w:val="bottom"/>
            <w:gridSpan w:val="4"/>
          </w:tcPr>
          <w:p>
            <w:pPr>
              <w:jc w:val="right"/>
              <w:ind w:right="40"/>
              <w:spacing w:after="0"/>
              <w:rPr>
                <w:sz w:val="20"/>
                <w:szCs w:val="20"/>
                <w:color w:val="auto"/>
              </w:rPr>
            </w:pPr>
            <w:r>
              <w:rPr>
                <w:rFonts w:ascii="Arial" w:cs="Arial" w:eastAsia="Arial" w:hAnsi="Arial"/>
                <w:sz w:val="13"/>
                <w:szCs w:val="13"/>
                <w:color w:val="auto"/>
              </w:rPr>
              <w:t>4.99% 7,753,392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328,988</w:t>
            </w:r>
          </w:p>
        </w:tc>
        <w:tc>
          <w:tcPr>
            <w:tcW w:w="1200" w:type="dxa"/>
            <w:vAlign w:val="bottom"/>
            <w:gridSpan w:val="4"/>
          </w:tcPr>
          <w:p>
            <w:pPr>
              <w:jc w:val="right"/>
              <w:ind w:right="40"/>
              <w:spacing w:after="0"/>
              <w:rPr>
                <w:sz w:val="20"/>
                <w:szCs w:val="20"/>
                <w:color w:val="auto"/>
              </w:rPr>
            </w:pPr>
            <w:r>
              <w:rPr>
                <w:rFonts w:ascii="Arial" w:cs="Arial" w:eastAsia="Arial" w:hAnsi="Arial"/>
                <w:sz w:val="13"/>
                <w:szCs w:val="13"/>
                <w:color w:val="auto"/>
              </w:rPr>
              <w:t>6.62% 16,057,618</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95"/>
              </w:rPr>
              <w:t>77.59%</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773,778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4.99%</w:t>
            </w:r>
          </w:p>
        </w:tc>
        <w:tc>
          <w:tcPr>
            <w:tcW w:w="620" w:type="dxa"/>
            <w:vAlign w:val="bottom"/>
          </w:tcPr>
          <w:p>
            <w:pPr>
              <w:jc w:val="right"/>
              <w:spacing w:after="0"/>
              <w:rPr>
                <w:sz w:val="20"/>
                <w:szCs w:val="20"/>
                <w:color w:val="auto"/>
              </w:rPr>
            </w:pPr>
            <w:r>
              <w:rPr>
                <w:rFonts w:ascii="Arial" w:cs="Arial" w:eastAsia="Arial" w:hAnsi="Arial"/>
                <w:sz w:val="13"/>
                <w:szCs w:val="13"/>
                <w:color w:val="auto"/>
              </w:rPr>
              <w:t>7,753,392</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773,778</w:t>
            </w:r>
          </w:p>
        </w:tc>
        <w:tc>
          <w:tcPr>
            <w:tcW w:w="1200" w:type="dxa"/>
            <w:vAlign w:val="bottom"/>
            <w:gridSpan w:val="4"/>
          </w:tcPr>
          <w:p>
            <w:pPr>
              <w:jc w:val="right"/>
              <w:ind w:right="40"/>
              <w:spacing w:after="0"/>
              <w:rPr>
                <w:sz w:val="20"/>
                <w:szCs w:val="20"/>
                <w:color w:val="auto"/>
              </w:rPr>
            </w:pPr>
            <w:r>
              <w:rPr>
                <w:rFonts w:ascii="Arial" w:cs="Arial" w:eastAsia="Arial" w:hAnsi="Arial"/>
                <w:sz w:val="13"/>
                <w:szCs w:val="13"/>
                <w:color w:val="auto"/>
              </w:rPr>
              <w:t>14.30% 16,057,618</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95"/>
              </w:rPr>
              <w:t>77.59%</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i w:val="1"/>
                <w:iCs w:val="1"/>
                <w:color w:val="auto"/>
              </w:rPr>
              <w:t>Officers and</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i w:val="1"/>
                <w:iCs w:val="1"/>
                <w:color w:val="auto"/>
              </w:rPr>
              <w:t>Directors:</w:t>
            </w: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rPr>
              <w:t>Sanj K. Patel</w:t>
            </w:r>
            <w:r>
              <w:rPr>
                <w:rFonts w:ascii="Arial" w:cs="Arial" w:eastAsia="Arial" w:hAnsi="Arial"/>
                <w:sz w:val="19"/>
                <w:szCs w:val="19"/>
                <w:color w:val="auto"/>
                <w:vertAlign w:val="superscript"/>
              </w:rPr>
              <w:t>(9)</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2,227,979</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28.88%</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32.90%</w:t>
            </w:r>
          </w:p>
        </w:tc>
        <w:tc>
          <w:tcPr>
            <w:tcW w:w="680" w:type="dxa"/>
            <w:vAlign w:val="bottom"/>
          </w:tcPr>
          <w:p>
            <w:pPr>
              <w:ind w:left="120"/>
              <w:spacing w:after="0"/>
              <w:rPr>
                <w:sz w:val="20"/>
                <w:szCs w:val="20"/>
                <w:color w:val="auto"/>
              </w:rPr>
            </w:pPr>
            <w:r>
              <w:rPr>
                <w:rFonts w:ascii="Arial" w:cs="Arial" w:eastAsia="Arial" w:hAnsi="Arial"/>
                <w:sz w:val="13"/>
                <w:szCs w:val="13"/>
                <w:color w:val="auto"/>
                <w:w w:val="93"/>
              </w:rPr>
              <w:t>1,526,160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1280" w:type="dxa"/>
            <w:vAlign w:val="bottom"/>
            <w:gridSpan w:val="4"/>
          </w:tcPr>
          <w:p>
            <w:pPr>
              <w:jc w:val="right"/>
              <w:ind w:right="40"/>
              <w:spacing w:after="0"/>
              <w:rPr>
                <w:sz w:val="20"/>
                <w:szCs w:val="20"/>
                <w:color w:val="auto"/>
              </w:rPr>
            </w:pPr>
            <w:r>
              <w:rPr>
                <w:rFonts w:ascii="Arial" w:cs="Arial" w:eastAsia="Arial" w:hAnsi="Arial"/>
                <w:sz w:val="13"/>
                <w:szCs w:val="13"/>
                <w:color w:val="auto"/>
              </w:rPr>
              <w:t>29.66% 2,227,979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13.40%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32.90%</w:t>
            </w:r>
          </w:p>
        </w:tc>
        <w:tc>
          <w:tcPr>
            <w:tcW w:w="68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25.55%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Thomas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Beetham</w:t>
            </w:r>
            <w:r>
              <w:rPr>
                <w:rFonts w:ascii="Arial" w:cs="Arial" w:eastAsia="Arial" w:hAnsi="Arial"/>
                <w:sz w:val="19"/>
                <w:szCs w:val="19"/>
                <w:color w:val="auto"/>
                <w:vertAlign w:val="superscript"/>
              </w:rPr>
              <w:t>(10)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580,330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580,330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w w:val="94"/>
              </w:rPr>
              <w:t>Carsten Boess</w:t>
            </w:r>
            <w:r>
              <w:rPr>
                <w:rFonts w:ascii="Arial" w:cs="Arial" w:eastAsia="Arial" w:hAnsi="Arial"/>
                <w:sz w:val="19"/>
                <w:szCs w:val="19"/>
                <w:color w:val="auto"/>
                <w:w w:val="94"/>
                <w:vertAlign w:val="superscript"/>
              </w:rPr>
              <w:t>(11)</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639,208</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9.51%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10.20%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2.29%</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9.13%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639,208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4.18%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10.20%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2.29%</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w w:val="97"/>
              </w:rPr>
              <w:t>Chris Heberlig</w:t>
            </w:r>
            <w:r>
              <w:rPr>
                <w:rFonts w:ascii="Arial" w:cs="Arial" w:eastAsia="Arial" w:hAnsi="Arial"/>
                <w:sz w:val="19"/>
                <w:szCs w:val="19"/>
                <w:color w:val="auto"/>
                <w:w w:val="97"/>
                <w:vertAlign w:val="superscript"/>
              </w:rPr>
              <w:t>(12)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607,093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607,093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Rasmus Holm-</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Jorgensen</w:t>
            </w:r>
            <w:r>
              <w:rPr>
                <w:rFonts w:ascii="Arial" w:cs="Arial" w:eastAsia="Arial" w:hAnsi="Arial"/>
                <w:sz w:val="19"/>
                <w:szCs w:val="19"/>
                <w:color w:val="auto"/>
                <w:vertAlign w:val="superscript"/>
              </w:rPr>
              <w:t>(13)</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457,868</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6.92%</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6.60%</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457,868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3.02%</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7.35%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Stephen</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Mahoney</w:t>
            </w:r>
            <w:r>
              <w:rPr>
                <w:rFonts w:ascii="Arial" w:cs="Arial" w:eastAsia="Arial" w:hAnsi="Arial"/>
                <w:sz w:val="19"/>
                <w:szCs w:val="19"/>
                <w:color w:val="auto"/>
                <w:vertAlign w:val="superscript"/>
              </w:rPr>
              <w:t>(14)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858,798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12.44%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858,798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14.14%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10.92%</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John F. Paolini,</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M.D., Ph.D.</w:t>
            </w:r>
            <w:r>
              <w:rPr>
                <w:rFonts w:ascii="Arial" w:cs="Arial" w:eastAsia="Arial" w:hAnsi="Arial"/>
                <w:sz w:val="19"/>
                <w:szCs w:val="19"/>
                <w:color w:val="auto"/>
                <w:vertAlign w:val="superscript"/>
              </w:rPr>
              <w:t>(15)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99,563</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1.56%</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99,563</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Felix J. Baker,</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Ph.D.</w:t>
            </w:r>
            <w:r>
              <w:rPr>
                <w:rFonts w:ascii="Arial" w:cs="Arial" w:eastAsia="Arial" w:hAnsi="Arial"/>
                <w:sz w:val="19"/>
                <w:szCs w:val="19"/>
                <w:color w:val="auto"/>
                <w:vertAlign w:val="superscript"/>
              </w:rPr>
              <w:t>(8)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328,988</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4.99% 7,753,392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328,988</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6.62% 16,057,618</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77.59%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773,778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7,753,392</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773,778</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14.30% 16,057,618</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77.59%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Stephen 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Biggar, M.D.,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gridSpan w:val="2"/>
          </w:tcPr>
          <w:p>
            <w:pPr>
              <w:ind w:left="60"/>
              <w:spacing w:after="0" w:line="141" w:lineRule="exact"/>
              <w:rPr>
                <w:sz w:val="20"/>
                <w:szCs w:val="20"/>
                <w:color w:val="auto"/>
              </w:rPr>
            </w:pPr>
            <w:r>
              <w:rPr>
                <w:rFonts w:ascii="Arial" w:cs="Arial" w:eastAsia="Arial" w:hAnsi="Arial"/>
                <w:sz w:val="13"/>
                <w:szCs w:val="13"/>
                <w:color w:val="auto"/>
              </w:rPr>
              <w:t>Ph.D.</w:t>
            </w:r>
          </w:p>
        </w:tc>
        <w:tc>
          <w:tcPr>
            <w:tcW w:w="64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Thomas R.</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Malley</w:t>
            </w:r>
            <w:r>
              <w:rPr>
                <w:rFonts w:ascii="Arial" w:cs="Arial" w:eastAsia="Arial" w:hAnsi="Arial"/>
                <w:sz w:val="19"/>
                <w:szCs w:val="19"/>
                <w:color w:val="auto"/>
                <w:vertAlign w:val="superscript"/>
              </w:rPr>
              <w:t>(16)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86,604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86,604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060" w:type="dxa"/>
            <w:vAlign w:val="bottom"/>
            <w:gridSpan w:val="3"/>
          </w:tcPr>
          <w:p>
            <w:pPr>
              <w:spacing w:after="0" w:line="145" w:lineRule="exact"/>
              <w:rPr>
                <w:sz w:val="20"/>
                <w:szCs w:val="20"/>
                <w:color w:val="auto"/>
              </w:rPr>
            </w:pPr>
            <w:r>
              <w:rPr>
                <w:rFonts w:ascii="Arial" w:cs="Arial" w:eastAsia="Arial" w:hAnsi="Arial"/>
                <w:sz w:val="13"/>
                <w:szCs w:val="13"/>
                <w:color w:val="auto"/>
              </w:rPr>
              <w:t>Tracey L. McCain</w:t>
            </w: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Kimberly J.</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Popovits</w:t>
            </w:r>
          </w:p>
        </w:tc>
        <w:tc>
          <w:tcPr>
            <w:tcW w:w="6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Barry D. Quart,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Pham. D.</w:t>
            </w:r>
            <w:r>
              <w:rPr>
                <w:rFonts w:ascii="Arial" w:cs="Arial" w:eastAsia="Arial" w:hAnsi="Arial"/>
                <w:sz w:val="19"/>
                <w:szCs w:val="19"/>
                <w:color w:val="auto"/>
                <w:vertAlign w:val="superscript"/>
              </w:rPr>
              <w:t>(17)</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14,181</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14,181</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All executive</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officers and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directors as a</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3"/>
                <w:szCs w:val="13"/>
                <w:b w:val="1"/>
                <w:bCs w:val="1"/>
                <w:color w:val="auto"/>
              </w:rPr>
              <w:t>group</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3"/>
                <w:szCs w:val="13"/>
                <w:b w:val="1"/>
                <w:bCs w:val="1"/>
                <w:color w:val="auto"/>
                <w:w w:val="96"/>
              </w:rPr>
              <w:t>(11 persons)</w:t>
            </w:r>
            <w:r>
              <w:rPr>
                <w:rFonts w:ascii="Arial" w:cs="Arial" w:eastAsia="Arial" w:hAnsi="Arial"/>
                <w:sz w:val="19"/>
                <w:szCs w:val="19"/>
                <w:b w:val="1"/>
                <w:bCs w:val="1"/>
                <w:color w:val="auto"/>
                <w:w w:val="96"/>
                <w:vertAlign w:val="superscript"/>
              </w:rPr>
              <w:t>(18)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4,803,537</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46.32% 7,753,392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59.66% 3,366,252</w:t>
            </w:r>
          </w:p>
        </w:tc>
        <w:tc>
          <w:tcPr>
            <w:tcW w:w="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67.76% 19,094,882</w:t>
            </w:r>
          </w:p>
        </w:tc>
        <w:tc>
          <w:tcPr>
            <w:tcW w:w="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92.26%</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59.01% 5,248,327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27.20%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7,753,392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59.66% 3,811,042</w:t>
            </w:r>
          </w:p>
        </w:tc>
        <w:tc>
          <w:tcPr>
            <w:tcW w:w="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70.41% 19,094,882</w:t>
            </w:r>
          </w:p>
        </w:tc>
        <w:tc>
          <w:tcPr>
            <w:tcW w:w="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2"/>
              </w:rPr>
              <w:t>92.26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50.84%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84" w:hanging="484"/>
        <w:spacing w:after="0"/>
        <w:tabs>
          <w:tab w:leader="none" w:pos="484"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beneficial ownership less than 1%</w:t>
      </w:r>
    </w:p>
    <w:p>
      <w:pPr>
        <w:spacing w:after="0" w:line="140" w:lineRule="exact"/>
        <w:rPr>
          <w:sz w:val="20"/>
          <w:szCs w:val="20"/>
          <w:color w:val="auto"/>
        </w:rPr>
      </w:pPr>
    </w:p>
    <w:p>
      <w:pPr>
        <w:ind w:left="484" w:right="140" w:hanging="484"/>
        <w:spacing w:after="0" w:line="255" w:lineRule="auto"/>
        <w:tabs>
          <w:tab w:leader="none" w:pos="484"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Consists of (a) 173,010 Class A common shares held directly by ArrowMark Fundamental Opportunity Fund, L.P. ("Opportunity Fund"), (b) 289,127 Class A common shares held directly by Meridian Small Cap Growth Fund ("Meridian"), (c) 224,726 Class A common shares held directly by Meridian Growth Fund ("Meridian Growth"), (d) 52,034 Class A common shares held directly by Lookfar Investments LLC ("Lookfar"), (e) 93,490 common shares held directly by Iron Horse Investments LLC ("Iron Horse"), (f) 185,279 common shares held directly by THB Iron Rose LLC ("Rose"), and (g) 2,741 Class A common shares held directly by THB Iron Rose LLC, Life Science Portfolio ("Life Science") (collectively, the "ArrowMark Funds"). ArrowMark Partners GP, LLC ("ArrowMark GP") is the general partner of Opportunity Fund and David Corkins is the managing member of ArrowMark GP. ArrowMark Colorado Holdings LLC ("ArrowMark Colorado") is investment advisor to Meridian, Meridian Growth, Lookfar, Iron Horse, Rose and Life Science (collectively, the "ArrowMark Colorado Funds"). Mr. Corkins is a managing member of ArrowMark Colorado and Mr. Yao is a portfolio manager of ArrowMark Colorado. Mr. Corkins may be considered the beneficial owner of the shares held by the ArrowMark Funds and Mr. Yao may be considered the beneficial owner of the shares held by ArrowMark Colorado. The principal business address of the ArrowMark Funds is 100 Fillmore Street, Suite 325, Denver, Colorado 80206.</w:t>
      </w:r>
    </w:p>
    <w:p>
      <w:pPr>
        <w:spacing w:after="0" w:line="129" w:lineRule="exact"/>
        <w:rPr>
          <w:rFonts w:ascii="Arial" w:cs="Arial" w:eastAsia="Arial" w:hAnsi="Arial"/>
          <w:sz w:val="12"/>
          <w:szCs w:val="12"/>
          <w:color w:val="auto"/>
        </w:rPr>
      </w:pPr>
    </w:p>
    <w:p>
      <w:pPr>
        <w:ind w:left="484" w:right="140" w:hanging="484"/>
        <w:spacing w:after="0" w:line="236" w:lineRule="auto"/>
        <w:tabs>
          <w:tab w:leader="none" w:pos="484" w:val="left"/>
        </w:tabs>
        <w:numPr>
          <w:ilvl w:val="0"/>
          <w:numId w:val="97"/>
        </w:numPr>
        <w:rPr>
          <w:rFonts w:ascii="Arial" w:cs="Arial" w:eastAsia="Arial" w:hAnsi="Arial"/>
          <w:sz w:val="13"/>
          <w:szCs w:val="13"/>
          <w:color w:val="auto"/>
        </w:rPr>
      </w:pPr>
      <w:r>
        <w:rPr>
          <w:rFonts w:ascii="Arial" w:cs="Arial" w:eastAsia="Arial" w:hAnsi="Arial"/>
          <w:sz w:val="13"/>
          <w:szCs w:val="13"/>
          <w:color w:val="auto"/>
        </w:rPr>
        <w:t>Sofinnova Management X, L.L.C. ("Sofinnova Management") is the general partner of Sofinnova Venture Partners X, L.P. ("Sofinnova X") and Anand Mehra, Michael Powell and James Healy are the managing members of Sofinnova Management. Sofinnova Management, Anand Mehra (a member of our board), Michael Powell and James Healy may be deemed to beneficially own the shares owned by Sofinnova X. Such entities and individuals disclaim beneficial ownership over all shares except to the extent of any pecuniary interest therein. The address for Sofinnova X and Sofinnova Management is 3000 Sand Hill Road, Building 4, Suite 250, Menlo Park, California 94025.</w:t>
      </w:r>
    </w:p>
    <w:p>
      <w:pPr>
        <w:spacing w:after="0" w:line="135" w:lineRule="exact"/>
        <w:rPr>
          <w:rFonts w:ascii="Arial" w:cs="Arial" w:eastAsia="Arial" w:hAnsi="Arial"/>
          <w:sz w:val="13"/>
          <w:szCs w:val="13"/>
          <w:color w:val="auto"/>
        </w:rPr>
      </w:pPr>
    </w:p>
    <w:p>
      <w:pPr>
        <w:ind w:left="484" w:right="160" w:hanging="484"/>
        <w:spacing w:after="0" w:line="257" w:lineRule="auto"/>
        <w:tabs>
          <w:tab w:leader="none" w:pos="484"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Consists of (a) 640,617 Class A common shares held directly by Cormorant Private Healthcare Fund I, L.P. ("Cormorant I"), (b) 161,962 Class A common shares held directly by Cormorant Global Healthcare Master Fund, LP ("Cormorant Master Fund"); and (c) 28,420 Class A common shares held directly by CRMA SPV, L.P. ("CRMA" and with Cormorant I and Cormorant Master Fund, the "Cormorant Funds"). Cormorant Global Healthcare GP, LLC ("Global GP") is the general partner of Cormorant Master Fund, Cormorant Private Healthcare GP, LLC ("Private GP") is the general partner of Cormorant I. Bihua Chen is the sole managing member of both Global GP and Private GP. Cormorant Asset Management LLP ("Cormorant Management") serves as the investment manager to CRMA, and Ms. Chen is the sole managing member of Cormorant Asset Management GP, LLC. Ms. Chen may be deemed to beneficially own the shares held by the Cormorant Funds. The address of the Cormorant Funds, Global GP, Private GP, Cormorant Management, and Ms. Chen is 200 Clarendon Street, 52nd Floor, Boston, MA 02116.</w:t>
      </w:r>
    </w:p>
    <w:p>
      <w:pPr>
        <w:spacing w:after="0" w:line="126" w:lineRule="exact"/>
        <w:rPr>
          <w:rFonts w:ascii="Arial" w:cs="Arial" w:eastAsia="Arial" w:hAnsi="Arial"/>
          <w:sz w:val="12"/>
          <w:szCs w:val="12"/>
          <w:color w:val="auto"/>
        </w:rPr>
      </w:pPr>
    </w:p>
    <w:p>
      <w:pPr>
        <w:ind w:left="484" w:right="140" w:hanging="484"/>
        <w:spacing w:after="0" w:line="236" w:lineRule="auto"/>
        <w:tabs>
          <w:tab w:leader="none" w:pos="484"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(a) 384,666 Class A common shares held by Edward Schuchman, Ph.D., as the trustee for the Desnick / Herzig 2012 GST Trust UAD 10/23/12 ("Trust") and New Direction IRA, Inc. FBO Robert Desnick Roth IRA ("New Direction"), (b) 214,101 Class B common shares held directly by New Direction and (c) 3,659 Class A common shares that Dr. Desnick has the right to acquire within 60 days following March 31, 2018 pursuant to the exercise of share options. Dr. Desnick directs the voting and investment of the shares held by Trust and New Direction and may be deemed to beneficially own the shares owned by Trust and New Direction.</w:t>
      </w:r>
    </w:p>
    <w:p>
      <w:pPr>
        <w:sectPr>
          <w:pgSz w:w="11900" w:h="16838" w:orient="portrait"/>
          <w:cols w:equalWidth="0" w:num="1">
            <w:col w:w="11524"/>
          </w:cols>
          <w:pgMar w:left="236" w:top="142" w:right="139" w:bottom="1440" w:gutter="0" w:footer="0" w:header="0"/>
        </w:sectPr>
      </w:pPr>
    </w:p>
    <w:p>
      <w:pPr>
        <w:spacing w:after="0" w:line="183" w:lineRule="exact"/>
        <w:rPr>
          <w:sz w:val="20"/>
          <w:szCs w:val="20"/>
          <w:color w:val="auto"/>
        </w:rPr>
      </w:pPr>
    </w:p>
    <w:p>
      <w:pPr>
        <w:jc w:val="center"/>
        <w:ind w:right="96"/>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26630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524"/>
          </w:cols>
          <w:pgMar w:left="236" w:top="142" w:right="139" w:bottom="1440" w:gutter="0" w:footer="0" w:header="0"/>
          <w:type w:val="continuous"/>
        </w:sectPr>
      </w:pPr>
    </w:p>
    <w:bookmarkStart w:id="179" w:name="page180"/>
    <w:bookmarkEnd w:id="179"/>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484" w:hanging="484"/>
        <w:spacing w:after="0" w:line="233"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304,279 Class A common shares held by Fidelity Mt. Vernon Street Trust: Fidelity Growth Company Fund, whose address is 525 William Penn Place Run Rm 040, Pittsburgh, PA 15259, ("Fidelity Growth Fund"), (b) 244,7213 Class A common shares held by Fidelity Growth Company Commingled Pool, whose address is c/o Brown Brothers Harriman &amp; Co., 140 Broadway, New York, NY 10005, ("Fidelity Commingled Fund"), and (c) 90,238 Class A common shares held by Fidelity Mt. Vernon Street Trust: Fidelity Series Growth Company Fund, whose address is PO Box 5756, Boston, MA 02206 (together with Fidelity Growth Fund and Fidelity Commingled Fund, the "Fidelity Growth Funds").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40" w:lineRule="exact"/>
        <w:rPr>
          <w:rFonts w:ascii="Arial" w:cs="Arial" w:eastAsia="Arial" w:hAnsi="Arial"/>
          <w:sz w:val="13"/>
          <w:szCs w:val="13"/>
          <w:color w:val="auto"/>
        </w:rPr>
      </w:pPr>
    </w:p>
    <w:p>
      <w:pPr>
        <w:ind w:left="484" w:right="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454,812 Class A common shares held directly by Venrock Healthcare Capital Partners II, L.P. ("VHCP II") and (b) 184,418 Class A common shares held directly by VHCP Co-Investment Holdings II, LLC ("Co-Invest II"). VHCP Management II, LLC ("VHCP Management II") is the general partner of VHCP II and the manager of Co-Invest II and may be deemed to beneficially own these shares. Drs. Bong Koh and Nimish Shah are the managing members of VHCP Management II and may be deemed to beneficially own the shares. Drs. Koh and Shah and VHCP Management II expressly disclaim beneficial ownership over the shares except to the extent of their indirect pecuniary interests therein. The address for VHCP II, Co-Invest and Drs. Koh and Shah is 530 Fifth Avenue, 22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Floor, New York, NY 10036.</w:t>
      </w:r>
    </w:p>
    <w:p>
      <w:pPr>
        <w:spacing w:after="0" w:line="76" w:lineRule="exact"/>
        <w:rPr>
          <w:rFonts w:ascii="Arial" w:cs="Arial" w:eastAsia="Arial" w:hAnsi="Arial"/>
          <w:sz w:val="13"/>
          <w:szCs w:val="13"/>
          <w:color w:val="auto"/>
        </w:rPr>
      </w:pPr>
    </w:p>
    <w:p>
      <w:pPr>
        <w:ind w:left="484" w:right="20" w:hanging="484"/>
        <w:spacing w:after="0" w:line="236"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Deerfield Mgmt, L.P. is the general partner of Deerfield Special Situations Fund, L.P. (the "Fund"). Deerfield Management Company, L.P. is the investment manager of the Fund. James E. Flynn is the sole member of the general partner of each of Deerfield Mgmt, L.P. and Deerfield Management Company, L.P. Deerfield Mgmt, L.P., Deerfield Management and Mr. Flynn may be deemed to be the beneficial owners of the shares owned by Fund. Deerfield Mgmt, L.P., Deerfield Management Company, L.P. and Mr. Flynn disclaim beneficial ownership of such shares except to the extent of its or his pecuniary interest therein. The address for the Fund is 780 Third Avenue, 37th Floor, New York, NY 10017.</w:t>
      </w:r>
    </w:p>
    <w:p>
      <w:pPr>
        <w:spacing w:after="0" w:line="135" w:lineRule="exact"/>
        <w:rPr>
          <w:rFonts w:ascii="Arial" w:cs="Arial" w:eastAsia="Arial" w:hAnsi="Arial"/>
          <w:sz w:val="13"/>
          <w:szCs w:val="13"/>
          <w:color w:val="auto"/>
        </w:rPr>
      </w:pPr>
    </w:p>
    <w:p>
      <w:pPr>
        <w:ind w:left="484" w:right="20" w:hanging="484"/>
        <w:spacing w:after="0" w:line="222"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7,018,874 Class A1 common shares held directly by Baker Brothers Life Sciences, L.P. ("BBLS"), (b) 734,581 Class A1 common shares held by 667, L.P. ("667" and with BBLS, the "Baker Funds"), (c) 14,658,102 Class B1 common shares held directly by BBLS, and (d) 1,399,516 Class B1 common shares held directly by 667. Baker Bros. Advisors LP ("Advisors") is the management company and investment advisor to BBLS and 667. Felix J. Baker is a managing member of Advisors and may be deemed to beneficially own the shares owned by the Baker Funds. Dr. Baker disclaims beneficial ownership of such shares except to the extent of any pecuniary interest therein. The address for the Baker Funds is 860 Washington Street, 3</w:t>
      </w:r>
      <w:r>
        <w:rPr>
          <w:rFonts w:ascii="Arial" w:cs="Arial" w:eastAsia="Arial" w:hAnsi="Arial"/>
          <w:sz w:val="19"/>
          <w:szCs w:val="19"/>
          <w:color w:val="auto"/>
          <w:vertAlign w:val="superscript"/>
        </w:rPr>
        <w:t>rd</w:t>
      </w:r>
      <w:r>
        <w:rPr>
          <w:rFonts w:ascii="Arial" w:cs="Arial" w:eastAsia="Arial" w:hAnsi="Arial"/>
          <w:sz w:val="13"/>
          <w:szCs w:val="13"/>
          <w:color w:val="auto"/>
        </w:rPr>
        <w:t xml:space="preserve"> Floor, New York, NY 10014 .</w:t>
      </w:r>
    </w:p>
    <w:p>
      <w:pPr>
        <w:spacing w:after="0" w:line="132"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245,685 Class A common shares held directly by Mr. Patel and 109,795 Class A common shares held by Mr. Patel as trustee for the Manisha S. Patel 2016 Irrevocable Trust,</w:t>
      </w:r>
    </w:p>
    <w:p>
      <w:pPr>
        <w:ind w:left="484"/>
        <w:spacing w:after="0"/>
        <w:rPr>
          <w:rFonts w:ascii="Arial" w:cs="Arial" w:eastAsia="Arial" w:hAnsi="Arial"/>
          <w:sz w:val="13"/>
          <w:szCs w:val="13"/>
          <w:color w:val="auto"/>
        </w:rPr>
      </w:pPr>
      <w:r>
        <w:rPr>
          <w:rFonts w:ascii="Arial" w:cs="Arial" w:eastAsia="Arial" w:hAnsi="Arial"/>
          <w:sz w:val="13"/>
          <w:szCs w:val="13"/>
          <w:color w:val="auto"/>
        </w:rPr>
        <w:t>(b) 1,526,160 Class B common shares, and (c) 346,339 Class A common shares that Mr. Patel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8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(b) 414,157 Class B common shares and (c) 86,584 Class A common shares that Mr. Beetham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20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(b) 473,035 Class B common shares, and (c) 86,584 Class A common shares that Mr. Boess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12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42,991 Class A common shares held directly by Mr. Heberlig and 36,598 Class A common shares held by Sandra C. Heberlig, Mr. Heberlig's spouse, as trustee for the Christopher J. Heberlig 2017 Irrevocable Trust, (b) 440,920 Class B common shares, and (c) 86,584 Class A common shares that Mr. Heberlig has the right to acquire within 60 days following March 31, 2018 pursuant to the exercise of share options.</w:t>
      </w:r>
    </w:p>
    <w:p>
      <w:pPr>
        <w:spacing w:after="0" w:line="136" w:lineRule="exact"/>
        <w:rPr>
          <w:rFonts w:ascii="Arial" w:cs="Arial" w:eastAsia="Arial" w:hAnsi="Arial"/>
          <w:sz w:val="13"/>
          <w:szCs w:val="13"/>
          <w:color w:val="auto"/>
        </w:rPr>
      </w:pPr>
    </w:p>
    <w:p>
      <w:pPr>
        <w:ind w:left="484" w:right="1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64,949 Class A common shares, (b) 340,960 Class B common shares, and (c) 51,959 Class A common shares that Mr. Holm-Jorgensen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2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held directly by Mr. Mahoney and 36,598 Class A common shares held by Krisha S. Mahoney, Mr. Mahoney's spouse, as trustee for the Stephen F. Mahoney 2016 Irrevocable Trust, (b) 656,027 Class B common shares, and (c) 86,584 Class A common shares that Mr. Mahoney has the right to acquire within 60 days following March 31, 2018 pursuant to the exercise of share options.</w:t>
      </w:r>
    </w:p>
    <w:p>
      <w:pPr>
        <w:spacing w:after="0" w:line="136"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99,563 Class A common shares that Dr. Paolini has the right to acquire within 60 days following March 31, 2018 pursuant to the exercise of share options.</w:t>
      </w:r>
    </w:p>
    <w:p>
      <w:pPr>
        <w:spacing w:after="0" w:line="140" w:lineRule="exact"/>
        <w:rPr>
          <w:rFonts w:ascii="Arial" w:cs="Arial" w:eastAsia="Arial" w:hAnsi="Arial"/>
          <w:sz w:val="13"/>
          <w:szCs w:val="13"/>
          <w:color w:val="auto"/>
        </w:rPr>
      </w:pPr>
    </w:p>
    <w:p>
      <w:pPr>
        <w:ind w:left="484" w:right="30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71,967 common shares held by Mossrock Capital, LLC ("Mossrock") and (b) 14,637 Class A common shares that Mr. Malley has the right to acquire within 60 days following March 31, 2018 pursuant to the exercise of share options. Mr. Malley is the president of Mossrock and may be deemed to beneficially own the shares owned by Mossrock. The address of Mossrock is 19 Martin Lane, Englewood, CO 80113.</w:t>
      </w:r>
    </w:p>
    <w:p>
      <w:pPr>
        <w:spacing w:after="0" w:line="136"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14,181 Class A common shares that Dr. Quart has the right to acquire within 60 days following March 31, 2018 pursuant to the exercise of share options.</w:t>
      </w:r>
    </w:p>
    <w:p>
      <w:pPr>
        <w:spacing w:after="0" w:line="139" w:lineRule="exact"/>
        <w:rPr>
          <w:rFonts w:ascii="Arial" w:cs="Arial" w:eastAsia="Arial" w:hAnsi="Arial"/>
          <w:sz w:val="13"/>
          <w:szCs w:val="13"/>
          <w:color w:val="auto"/>
        </w:rPr>
      </w:pPr>
    </w:p>
    <w:p>
      <w:pPr>
        <w:ind w:left="484" w:right="2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702,812 Class A common shares, (b) 7,753,392 Class A1 common shares, (c) 3,037,264 Class B common shares, (d)16,057,618 Class B1 common shares, and (e) 734,473 Class A common shares that all officers and directors as a group have the right to acquire within 60 days following March 31, 2018 pursuant to the exercise of share options.</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SHARE CAPITAL</w:t>
      </w:r>
    </w:p>
    <w:p>
      <w:pPr>
        <w:spacing w:after="0" w:line="194" w:lineRule="exact"/>
        <w:rPr>
          <w:sz w:val="20"/>
          <w:szCs w:val="20"/>
          <w:color w:val="auto"/>
        </w:rPr>
      </w:pPr>
    </w:p>
    <w:p>
      <w:pPr>
        <w:ind w:right="360" w:firstLine="436"/>
        <w:spacing w:after="0" w:line="249" w:lineRule="auto"/>
        <w:rPr>
          <w:sz w:val="20"/>
          <w:szCs w:val="20"/>
          <w:color w:val="auto"/>
        </w:rPr>
      </w:pPr>
      <w:r>
        <w:rPr>
          <w:rFonts w:ascii="Arial" w:cs="Arial" w:eastAsia="Arial" w:hAnsi="Arial"/>
          <w:sz w:val="16"/>
          <w:szCs w:val="16"/>
          <w:i w:val="1"/>
          <w:iCs w:val="1"/>
          <w:color w:val="auto"/>
        </w:rPr>
        <w:t>The following description of our share capital and provisions of our memorandum of association and amended and restated bye-laws are summaries. You should also refer to our memorandum of association and amended and restated bye-laws, which are filed as exhibits to the registration statement of which this prospectus is part.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0" w:lineRule="exact"/>
        <w:rPr>
          <w:sz w:val="20"/>
          <w:szCs w:val="20"/>
          <w:color w:val="auto"/>
        </w:rPr>
      </w:pPr>
    </w:p>
    <w:p>
      <w:pPr>
        <w:ind w:right="300" w:firstLine="436"/>
        <w:spacing w:after="0" w:line="239" w:lineRule="auto"/>
        <w:rPr>
          <w:sz w:val="20"/>
          <w:szCs w:val="20"/>
          <w:color w:val="auto"/>
        </w:rPr>
      </w:pPr>
      <w:r>
        <w:rPr>
          <w:rFonts w:ascii="Arial" w:cs="Arial" w:eastAsia="Arial" w:hAnsi="Arial"/>
          <w:sz w:val="16"/>
          <w:szCs w:val="16"/>
          <w:color w:val="auto"/>
        </w:rPr>
        <w:t>We are an exempted company incorporated under the laws of Bermuda. We are registered with the Registrar of Companies in Bermuda under registration number 50484. We were incorporated on July 21, 2015. Our registered office is located in Bermuda at Clarendon House, 2 Church Street, Hamilton HM11, Bermuda.</w:t>
      </w:r>
    </w:p>
    <w:p>
      <w:pPr>
        <w:spacing w:after="0" w:line="186" w:lineRule="exact"/>
        <w:rPr>
          <w:sz w:val="20"/>
          <w:szCs w:val="20"/>
          <w:color w:val="auto"/>
        </w:rPr>
      </w:pPr>
    </w:p>
    <w:p>
      <w:pPr>
        <w:ind w:right="300" w:firstLine="433"/>
        <w:spacing w:after="0" w:line="241" w:lineRule="auto"/>
        <w:rPr>
          <w:sz w:val="20"/>
          <w:szCs w:val="20"/>
          <w:color w:val="auto"/>
        </w:rPr>
      </w:pPr>
      <w:r>
        <w:rPr>
          <w:rFonts w:ascii="Arial" w:cs="Arial" w:eastAsia="Arial" w:hAnsi="Arial"/>
          <w:sz w:val="16"/>
          <w:szCs w:val="16"/>
          <w:color w:val="auto"/>
        </w:rPr>
        <w:t>The objects of our business are unrestricted, and we have the capacity of a natural person. We can therefore undertake activities without restriction on our capacity.</w:t>
      </w:r>
    </w:p>
    <w:p>
      <w:pPr>
        <w:spacing w:after="0" w:line="185"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Our board of directors and shareholders have approved certain amendments to our bye-laws that will become effective immediately following the closing of this offering. The following description assumes that such amendments have become effective.</w:t>
      </w:r>
    </w:p>
    <w:p>
      <w:pPr>
        <w:spacing w:after="0" w:line="185"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Since our incorporation, other than a subdivision of our designated and issued share capital, there have been no material changes to our share capital, mergers, amalgamations or consolidations of us or any of our subsidiaries, no material changes in the mode of conducting our business, no material changes in the types of products produced or services rendered. There have been no bankruptcy, receivership or similar proceedings with respect to us or our subsidiaries.</w:t>
      </w:r>
    </w:p>
    <w:p>
      <w:pPr>
        <w:spacing w:after="0" w:line="186" w:lineRule="exact"/>
        <w:rPr>
          <w:sz w:val="20"/>
          <w:szCs w:val="20"/>
          <w:color w:val="auto"/>
        </w:rPr>
      </w:pPr>
    </w:p>
    <w:p>
      <w:pPr>
        <w:ind w:right="340" w:firstLine="433"/>
        <w:spacing w:after="0" w:line="241" w:lineRule="auto"/>
        <w:rPr>
          <w:sz w:val="20"/>
          <w:szCs w:val="20"/>
          <w:color w:val="auto"/>
        </w:rPr>
      </w:pPr>
      <w:r>
        <w:rPr>
          <w:rFonts w:ascii="Arial" w:cs="Arial" w:eastAsia="Arial" w:hAnsi="Arial"/>
          <w:sz w:val="16"/>
          <w:szCs w:val="16"/>
          <w:color w:val="auto"/>
        </w:rPr>
        <w:t>There have been no public takeover offers by third parties for our shares nor any public takeover offers by us for the shares of another company that have occurred during the last or current financial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10" w:lineRule="exact"/>
        <w:rPr>
          <w:sz w:val="20"/>
          <w:szCs w:val="20"/>
          <w:color w:val="auto"/>
        </w:rPr>
      </w:pPr>
    </w:p>
    <w:p>
      <w:pPr>
        <w:ind w:right="520" w:firstLine="436"/>
        <w:spacing w:after="0" w:line="239" w:lineRule="auto"/>
        <w:rPr>
          <w:sz w:val="20"/>
          <w:szCs w:val="20"/>
          <w:color w:val="auto"/>
        </w:rPr>
      </w:pPr>
      <w:r>
        <w:rPr>
          <w:rFonts w:ascii="Arial" w:cs="Arial" w:eastAsia="Arial" w:hAnsi="Arial"/>
          <w:sz w:val="16"/>
          <w:szCs w:val="16"/>
          <w:color w:val="auto"/>
        </w:rPr>
        <w:t>Following this offering, our authorized share capital will consist of 200,000,000 shares, par value $0.000273235 per share, and there will be 14,748,346 Class A common shares, 4,638,855 Class B common shares, 12,995,954 Class A1 common shares and 16,057,618 Class B1 common shares issued and outstanding.</w:t>
      </w:r>
    </w:p>
    <w:p>
      <w:pPr>
        <w:spacing w:after="0" w:line="186"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Pursuant to our amended and restated bye-laws, subject to the requirements of Nasdaq and subject to any resolution of the shareholders to the contrary, our board of directors is authorized to issue any of our designated but unissued shares. There are no limitations on the right of non-Bermudians or non-residents of Bermuda to hold or vote our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Following this offering, we will have four classes of shares: Class A, Class A1, Class B and Class B1. Class A and Class B common shares are voting common shares, or together the voting common shares, and Class A1 and Class B1 are non-voting common shares. Except as described in this prospectus with respect to voting rights conversion and transferability each common share will have the same rights and powers of, rank equally to, share ratably with and will be identical in all respects and as to all matters with each other common share. 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preferred shares. None of our common shares have pre-emptive, redemption or sinking fund rights.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Shares</w:t>
      </w:r>
    </w:p>
    <w:p>
      <w:pPr>
        <w:spacing w:after="0" w:line="208"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The shares being offered in this offering are our Class A common shares. As of March 31, 2018, there were 724,550 Class A common shares issued and outstanding. All Class A common shares are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Common Shares</w:t>
      </w:r>
    </w:p>
    <w:p>
      <w:pPr>
        <w:spacing w:after="0" w:line="208" w:lineRule="exact"/>
        <w:rPr>
          <w:sz w:val="20"/>
          <w:szCs w:val="20"/>
          <w:color w:val="auto"/>
        </w:rPr>
      </w:pPr>
    </w:p>
    <w:p>
      <w:pPr>
        <w:ind w:firstLine="427"/>
        <w:spacing w:after="0" w:line="238" w:lineRule="auto"/>
        <w:rPr>
          <w:sz w:val="20"/>
          <w:szCs w:val="20"/>
          <w:color w:val="auto"/>
        </w:rPr>
      </w:pPr>
      <w:r>
        <w:rPr>
          <w:rFonts w:ascii="Arial" w:cs="Arial" w:eastAsia="Arial" w:hAnsi="Arial"/>
          <w:sz w:val="16"/>
          <w:szCs w:val="16"/>
          <w:color w:val="auto"/>
        </w:rPr>
        <w:t>As of March 31, 2018, there were 3,568,353 Class B common shares outstanding. Each holder of Class B common shares may convert any portion of its Class B common shares into Class A common shares or Class B1 common shares at any time. In addition, each Class B common share automatically converts into one Class A common share upon transfer, except for transfers to or between affiliated holders. Our Class B common shares also have greater voting power than our Class A common shares, as described in "— Voting Rights."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A1 Common Shares</w:t>
      </w:r>
    </w:p>
    <w:p>
      <w:pPr>
        <w:spacing w:after="0" w:line="208"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of March 31, 2018, there were no Class A1 common shares issued and outstanding. No Class A1 common shares may be issued until the effectiveness of the registration statement of which this prospectus forms a part. Following this offering, each holder of Class A1 common shares may elect to convert any portion of its Class A1 common shares into voting Class A common shares at any time,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A holder of Class A1 common shares may increase, decrease or waive this limitation on ownership by providing us with 61-days' notice. In addition, each Class A1 common share automatically converts into one Class A common share upon transfer, except for transfers to or between affiliated 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B1 Common Shares</w:t>
      </w:r>
    </w:p>
    <w:p>
      <w:pPr>
        <w:spacing w:after="0" w:line="208"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of March 31, 2018, there were no Class B1 common shares issued and outstanding. No Class B1 common shares may be issued until the effectiveness of the registration statement of which this prospectus forms a part. Following this offering, each holder of Class B1 common shares may elect to convert any portion of its Class B1 common shares into Class A common shares or Class B common shares at any time,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A holder of Class B1 common shares may increase, decrease or waive this limitation on ownership by providing us with 61-days' notice. In addition, each Class B1 common share automatically converts into one Class A common share upon transfer, except for transfers to or between affiliated 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Under Bermuda law and our amended and restated bye-laws, our board of directors is authorized to issue preferred shares in one or more series without shareholder approval. Our board of directors has the discretion under the bye-laws to determine the rights, preferences, privileges and restrictions, including voting rights, dividend rights, conversion rights, redemption privileges and liquidation preferences, of each series of preferred shares, without any further shareholder approval. The rights with respect to a series of preferred shares may be greater than the rights attached to our Class A common shares. It is not possible to state the actual effect of the issuance of any preferred shares on the rights of holders of our common shares until our board of directors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2" w:name="page183"/>
    <w:bookmarkEnd w:id="1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41" w:lineRule="auto"/>
        <w:rPr>
          <w:sz w:val="20"/>
          <w:szCs w:val="20"/>
          <w:color w:val="auto"/>
        </w:rPr>
      </w:pPr>
      <w:r>
        <w:rPr>
          <w:rFonts w:ascii="Arial" w:cs="Arial" w:eastAsia="Arial" w:hAnsi="Arial"/>
          <w:sz w:val="16"/>
          <w:szCs w:val="16"/>
          <w:color w:val="auto"/>
        </w:rPr>
        <w:t>determines the specific rights attached to those preferred shares. The effect of issuing preferred shares could include, among other things, one or more of the following:</w:t>
      </w:r>
    </w:p>
    <w:p>
      <w:pPr>
        <w:spacing w:after="0" w:line="185" w:lineRule="exact"/>
        <w:rPr>
          <w:sz w:val="20"/>
          <w:szCs w:val="20"/>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restricting dividends in respect of our Class A common shares;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diluting the voting power of our Class A common shares or providing that holders of preferred shares have the right to vote on matters as a class;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impairing the liquidation rights of our common shares; or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delaying or preventing a change of control of us.</w:t>
      </w:r>
    </w:p>
    <w:p>
      <w:pPr>
        <w:spacing w:after="0" w:line="190"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Upon the consummation of this offering, there will be no preferred shares outstanding, and we have no present plans to issue any preferred shares following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Unless a different majority is required by Bermuda law or by our amended and restated bye-laws, resolutions to be approved by holders of voting common shares require approval by a simple majority of votes cast at a meeting at which a quorum is present. Holders of our voting common shares vote together as a single class on all matters presented to the shareholders for their vote or approval, including the election of directors. Any individual who is a shareholder and who is present and entitled to vote at a meeting may vote in person, as may any corporate shareholder that is represented by a duly authorized representative at a meeting of shareholders. Our amended and restated bye-laws also permit attendance at general meetings by proxy, provided the instrument appointing the proxy is in the form specified in the bye-laws or such other form as the board of directors may determine.</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Each Class A common share is entitled to one vote per share and each Class B common share is entitled to ten votes per share. Each Class A1 common share and Class B1 common share is non-voting. Immediately following this offering, the holders of Class A common shares will account for 24.1% of our aggregate voting power and the holders of Class B common shares will account for the remaining 75.9% of our aggregate voting power. Our bye-laws will generally provide that holders of our voting common shares are entitled to vote, on a non-cumulative basis, at all annual general and special general meetings of shareholders with respect to matters on which voting common shares are eligible to vote. However, these percentages may change depending on any conversion of Class A1 and Class B1 common shares into voting common shares, to the extent any are issued, and any conversion of Class B common shares into Class A common shares. See " — Common Shares"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Under Bermuda law and our amended and restated bye-laws, we may not declare or pay dividends if there are reasonable grounds for believing that: (i) we would after the payment be unable to pay our liabilities as they become due; or (ii) that the realizable value of our assets would thereby be less than our liabilities. Under our bye-laws, each common share is entitled to dividends if, as and when dividends are declared by our board of directors, subject to any preferred dividend right of the holders of any preferred shares. There are no restrictions on our ability to transfer funds (other than funds denominated in Bermuda dollars) in and out of Bermuda or to pay dividends to U.S. residents who are holders of our common shares.</w:t>
      </w:r>
    </w:p>
    <w:p>
      <w:pPr>
        <w:spacing w:after="0" w:line="189" w:lineRule="exact"/>
        <w:rPr>
          <w:sz w:val="20"/>
          <w:szCs w:val="20"/>
          <w:color w:val="auto"/>
        </w:rPr>
      </w:pPr>
    </w:p>
    <w:p>
      <w:pPr>
        <w:ind w:right="360" w:firstLine="436"/>
        <w:spacing w:after="0" w:line="241" w:lineRule="auto"/>
        <w:rPr>
          <w:sz w:val="20"/>
          <w:szCs w:val="20"/>
          <w:color w:val="auto"/>
        </w:rPr>
      </w:pPr>
      <w:r>
        <w:rPr>
          <w:rFonts w:ascii="Arial" w:cs="Arial" w:eastAsia="Arial" w:hAnsi="Arial"/>
          <w:sz w:val="16"/>
          <w:szCs w:val="16"/>
          <w:color w:val="auto"/>
        </w:rPr>
        <w:t>We intend to retain future earnings, if any, to finance the operation and expansion of our business and do not anticipate paying any cash dividends on our Class A common shares in the foreseeable future. Any future determination related to our dividend policy will be made at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3" w:name="page184"/>
    <w:bookmarkEnd w:id="1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discretion of our board of directors after considering our financial condition, results of operations, capital requirements, business prospects and other factors the board of directors deems relevant.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holding company and have no direct operations. As a result, we will depend upon distributions from our subsidiaries to pay any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Variation of Rights</w:t>
      </w:r>
    </w:p>
    <w:p>
      <w:pPr>
        <w:spacing w:after="0" w:line="210"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 (ii) with the sanction of a resolution passed by a majority of the votes cast at a general meeting of the relevant class of shareholders at which a quorum consisting of at least two persons holding or representing one-third of the issued shares of the relevant class is present. Our amended and restated bye-laws specify that the creation or issue of shares ranking equally with existing shares or the purchase or redemption by us of our shares will not, unless expressly provided by the terms of issue of existing shares, vary the rights attached to existing shares. In addition, the creation or issue of preferred shares ranking prior to common shares will not be deemed to vary the rights attached to common shares or, subject to the terms of any other series of preferred shares, to vary the rights attached to any other series of preferred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10" w:lineRule="exact"/>
        <w:rPr>
          <w:sz w:val="20"/>
          <w:szCs w:val="20"/>
          <w:color w:val="auto"/>
        </w:rPr>
      </w:pPr>
    </w:p>
    <w:p>
      <w:pPr>
        <w:ind w:right="240" w:firstLine="436"/>
        <w:spacing w:after="0" w:line="237" w:lineRule="auto"/>
        <w:rPr>
          <w:sz w:val="20"/>
          <w:szCs w:val="20"/>
          <w:color w:val="auto"/>
        </w:rPr>
      </w:pPr>
      <w:r>
        <w:rPr>
          <w:rFonts w:ascii="Arial" w:cs="Arial" w:eastAsia="Arial" w:hAnsi="Arial"/>
          <w:sz w:val="16"/>
          <w:szCs w:val="16"/>
          <w:color w:val="auto"/>
        </w:rPr>
        <w:t>Our board of directors may in its absolute discretion and without assigning any reason refuse to register the transfer of a share that it is not fully paid. The board of directors may also refuse to recognize an instrument of transfer of a share unless it is accompanied by the relevant share certificate and such other evidence of the transferor's right to make the transfer as the board of directors shall reasonably require. Subject to these restrictions, a holder of common shares may transfer the title to all or any of such holder's common shares by completing a form of transfer in the form set out in the bye-laws (or as near thereto as circumstances admit) or in such other common form as the board of directors may accept. The instrument of transfer must be signed by the transferor and transferee, although in the case of a fully paid share the board of directors may accept the instrument signed only by the transferor.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Shareholders</w:t>
      </w:r>
    </w:p>
    <w:p>
      <w:pPr>
        <w:spacing w:after="0" w:line="210" w:lineRule="exact"/>
        <w:rPr>
          <w:sz w:val="20"/>
          <w:szCs w:val="20"/>
          <w:color w:val="auto"/>
        </w:rPr>
      </w:pPr>
    </w:p>
    <w:p>
      <w:pPr>
        <w:ind w:right="300" w:firstLine="436"/>
        <w:spacing w:after="0" w:line="262" w:lineRule="auto"/>
        <w:rPr>
          <w:sz w:val="20"/>
          <w:szCs w:val="20"/>
          <w:color w:val="auto"/>
        </w:rPr>
      </w:pPr>
      <w:r>
        <w:rPr>
          <w:rFonts w:ascii="Arial" w:cs="Arial" w:eastAsia="Arial" w:hAnsi="Arial"/>
          <w:sz w:val="15"/>
          <w:szCs w:val="15"/>
          <w:color w:val="auto"/>
        </w:rPr>
        <w:t>Under the Companies Act, a company is required to convene at least one general meeting of shareholders each calendar year, which is referred to as the annual general meeting. However, the members may by resolution waive this requirement, either for a specific year or period of time, or indefinitely. When the requirement has been so waived, any member may, on notice to the company, terminate the waiver, in which case an annual general meeting must be called.</w:t>
      </w:r>
    </w:p>
    <w:p>
      <w:pPr>
        <w:spacing w:after="0" w:line="171"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Companies Act provides that a special general meeting of shareholders may be called by the board of directors of a company and must be called upon the request of shareholders holding not less than 10% of the paid-up capital of the company carrying the right to vote at general meetings. The Companies Act also requires that shareholders be given at least five days' advance notice of a general meeting, but the accidental omission to give notice to any person does not invalidate the proceedings at a meeting. Our bye-laws provide that our President or Chairman or any two directors or any director and secretary may convene an annual general meeting or a special general meeting. Under our bye-laws, at least twenty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entitled to attend and vote at such meeting; or (ii)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throughout the meeting and representing in person or by proxy a majority of the voting power of the issued and outstanding voting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Books and Records and Dissemination of Information</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a company, minutes of general meetings and a company's audited financial statements, which must be presented to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and Removal of Directors</w:t>
      </w:r>
    </w:p>
    <w:p>
      <w:pPr>
        <w:spacing w:after="0" w:line="210"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Our amended and restated bye-laws provide that our board of directors shall consist of not less than five members and not more than such number of directors as the board of directors determine. Upon the closing of this offering, our board of directors will consist of seven directors. Our board of directors will be divided into three classes that are, as nearly as possible, of equal size. Each class of directors will be elected for a three-year term of office, but the terms will be staggered so that the term of only one class of directors expires at each annual general meeting. Following the election of all of the directors at the first general meeting of shareholders following this offering, the initial terms of the Class I, Class II and Class III directors will expire in 2022, 2020 and 2021, respectively. At each succeeding annual general meeting, successors to the class of directors whose term expires at the annual general meeting will be elected for a three-year term.</w:t>
      </w:r>
    </w:p>
    <w:p>
      <w:pPr>
        <w:spacing w:after="0" w:line="175" w:lineRule="exact"/>
        <w:rPr>
          <w:sz w:val="20"/>
          <w:szCs w:val="20"/>
          <w:color w:val="auto"/>
        </w:rPr>
      </w:pPr>
    </w:p>
    <w:p>
      <w:pPr>
        <w:ind w:right="20" w:firstLine="427"/>
        <w:spacing w:after="0" w:line="254" w:lineRule="auto"/>
        <w:rPr>
          <w:sz w:val="20"/>
          <w:szCs w:val="20"/>
          <w:color w:val="auto"/>
        </w:rPr>
      </w:pPr>
      <w:r>
        <w:rPr>
          <w:rFonts w:ascii="Arial" w:cs="Arial" w:eastAsia="Arial" w:hAnsi="Arial"/>
          <w:sz w:val="15"/>
          <w:szCs w:val="15"/>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ten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27"/>
        <w:spacing w:after="0" w:line="239" w:lineRule="auto"/>
        <w:rPr>
          <w:sz w:val="20"/>
          <w:szCs w:val="20"/>
          <w:color w:val="auto"/>
        </w:rPr>
      </w:pPr>
      <w:r>
        <w:rPr>
          <w:rFonts w:ascii="Arial" w:cs="Arial" w:eastAsia="Arial" w:hAnsi="Arial"/>
          <w:sz w:val="16"/>
          <w:szCs w:val="16"/>
          <w:color w:val="auto"/>
        </w:rPr>
        <w:t>A director may be removed, only with cause, by the shareholders,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removal.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of Board of Directors</w:t>
      </w:r>
    </w:p>
    <w:p>
      <w:pPr>
        <w:spacing w:after="0" w:line="210"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Our amended and restated bye-laws provide that our business is to be managed and conducted by our board of directors. Bermuda law permits individual and corporate directors, and there is no requirement in our amended and restated bye-laws or Bermuda law that directors hold any of our shares. There is also no requirement in our amended and restated bye-laws or under Bermuda law that our directors must retire at a certain age.</w:t>
      </w:r>
    </w:p>
    <w:p>
      <w:pPr>
        <w:spacing w:after="0" w:line="186" w:lineRule="exact"/>
        <w:rPr>
          <w:sz w:val="20"/>
          <w:szCs w:val="20"/>
          <w:color w:val="auto"/>
        </w:rPr>
      </w:pPr>
    </w:p>
    <w:p>
      <w:pPr>
        <w:jc w:val="both"/>
        <w:ind w:right="280" w:firstLine="433"/>
        <w:spacing w:after="0" w:line="239" w:lineRule="auto"/>
        <w:rPr>
          <w:sz w:val="20"/>
          <w:szCs w:val="20"/>
          <w:color w:val="auto"/>
        </w:rPr>
      </w:pPr>
      <w:r>
        <w:rPr>
          <w:rFonts w:ascii="Arial" w:cs="Arial" w:eastAsia="Arial" w:hAnsi="Arial"/>
          <w:sz w:val="16"/>
          <w:szCs w:val="16"/>
          <w:color w:val="auto"/>
        </w:rPr>
        <w:t>The remuneration of our directors is determined by the board of directors and each such director, other than directors who are employees of the Company, shall be paid a fee at a rate determined by the board of directors. The directors may also be paid all travel, hotel and other expenses properly incurred by them in connection with our business or their duties as directors.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 director who has a direct or indirect interest in any contract or arrangement with the Company must disclose such interest as required by the Companies Act.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Such an interested director is not entitled to vote on or participate in any discussion in respect of any such contract or arrangement in which he or she is interested.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of Directors and Officers</w:t>
      </w:r>
    </w:p>
    <w:p>
      <w:pPr>
        <w:spacing w:after="0" w:line="21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judgment is awarded in their favor or in which they are acquitted or granted relief by the Supreme Court of Bermuda pursuant to section 281 of the Companies Act.</w:t>
      </w:r>
    </w:p>
    <w:p>
      <w:pPr>
        <w:spacing w:after="0" w:line="189"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adopted provisions in our amended and restated bye-laws that provide that we shall indemnify our officers and directors in respect of their actions and omissions, except in respect of their fraud or dishonesty.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or her in respect of any negligence, default, breach of duty or breach of trust, whether or not the Company may otherwise indemnify such officer or director. We will purchase and maintain a directors' and officers' liability policy for such a purpose.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Memorandum of Association and Bye-laws</w:t>
      </w:r>
    </w:p>
    <w:p>
      <w:pPr>
        <w:spacing w:after="0" w:line="210"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Bermuda law provides that the memorandum of association of a company may be amended by a resolution passed at a general meeting of shareholders. Amendments to most provisions of our bye-laws require an affirmative vote of a majority of our board of directors and a majority of the issued and outstanding shares carrying the right to vote at general meetings at the relevant time. In addition, amendments to certain sections of our bye-laws containing anti-takeover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120"/>
        <w:spacing w:after="0" w:line="239" w:lineRule="auto"/>
        <w:rPr>
          <w:sz w:val="20"/>
          <w:szCs w:val="20"/>
          <w:color w:val="auto"/>
        </w:rPr>
      </w:pPr>
      <w:r>
        <w:rPr>
          <w:rFonts w:ascii="Arial" w:cs="Arial" w:eastAsia="Arial" w:hAnsi="Arial"/>
          <w:sz w:val="16"/>
          <w:szCs w:val="16"/>
          <w:color w:val="auto"/>
        </w:rPr>
        <w:t>require an affirmative vote of at least 66% of the directors then in office and at least 66% of the voting power of the issued and outstanding shares carrying the right to vote at general meetings at the relevant time. These provisions make it more difficult for any person to remove or amend any provisions in our bye-laws that may have an anti-takeover effect.</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Under Bermuda law, the holders of an aggregate of not less than 20% in par value of the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Amalgamations and Mergers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to be approved by the company's board of directors and by its shareholders. Unless the company's bye-laws provide otherwise, the approval of 75% of the shareholders voting at such meeting is required to approve the amalgamation or merger, and the quorum for such meeting must be two or more persons holding or representing more than one-third of the issued shares of the company. Our amended and restated bye-laws provide that the approval of the affirmative vote of a majority of votes cast at a meeting to approve the amalgamation or merger shall be sufficient, and the quorum for such meeting shall be two or more persons holding or representing a majority of the voting power of the issued and outstanding voting shares.</w:t>
      </w:r>
    </w:p>
    <w:p>
      <w:pPr>
        <w:spacing w:after="0" w:line="188"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10" w:lineRule="exact"/>
        <w:rPr>
          <w:sz w:val="20"/>
          <w:szCs w:val="20"/>
          <w:color w:val="auto"/>
        </w:rPr>
      </w:pPr>
    </w:p>
    <w:p>
      <w:pPr>
        <w:ind w:right="420" w:firstLine="427"/>
        <w:spacing w:after="0" w:line="238" w:lineRule="auto"/>
        <w:rPr>
          <w:sz w:val="20"/>
          <w:szCs w:val="20"/>
          <w:color w:val="auto"/>
        </w:rPr>
      </w:pPr>
      <w:r>
        <w:rPr>
          <w:rFonts w:ascii="Arial" w:cs="Arial" w:eastAsia="Arial" w:hAnsi="Arial"/>
          <w:sz w:val="16"/>
          <w:szCs w:val="16"/>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187" w:lineRule="exact"/>
        <w:rPr>
          <w:sz w:val="20"/>
          <w:szCs w:val="20"/>
          <w:color w:val="auto"/>
        </w:rPr>
      </w:pPr>
    </w:p>
    <w:p>
      <w:pPr>
        <w:ind w:left="960" w:right="400" w:hanging="481"/>
        <w:spacing w:after="0" w:line="241" w:lineRule="auto"/>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185" w:lineRule="exact"/>
        <w:rPr>
          <w:rFonts w:ascii="Arial" w:cs="Arial" w:eastAsia="Arial" w:hAnsi="Arial"/>
          <w:sz w:val="16"/>
          <w:szCs w:val="16"/>
          <w:color w:val="auto"/>
        </w:rPr>
      </w:pPr>
    </w:p>
    <w:p>
      <w:pPr>
        <w:ind w:left="960" w:right="100" w:hanging="481"/>
        <w:spacing w:after="0" w:line="241" w:lineRule="auto"/>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shareholder becoming an interested shareholder, the interested shareholder owned at least 85% of the voting power of our issued and outstanding voting shares at the time the transaction commenced;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0" w:hanging="481"/>
        <w:spacing w:after="0" w:line="210" w:lineRule="auto"/>
        <w:tabs>
          <w:tab w:leader="none" w:pos="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after the date of the transaction that resulted in the shareholder becoming an interested shareholder, the business combination is approved by our board of directors and authorized at an annual or special general meeting of shareholders by the affirmative vote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issued and outstanding voting shares that are not owned by the interested shareholder.</w:t>
      </w:r>
    </w:p>
    <w:p>
      <w:pPr>
        <w:spacing w:after="0" w:line="188"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Suits</w:t>
      </w:r>
    </w:p>
    <w:p>
      <w:pPr>
        <w:spacing w:after="0" w:line="210"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9"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86" w:lineRule="exact"/>
        <w:rPr>
          <w:sz w:val="20"/>
          <w:szCs w:val="20"/>
          <w:color w:val="auto"/>
        </w:rPr>
      </w:pPr>
    </w:p>
    <w:p>
      <w:pPr>
        <w:ind w:right="60" w:firstLine="436"/>
        <w:spacing w:after="0" w:line="238" w:lineRule="auto"/>
        <w:rPr>
          <w:sz w:val="20"/>
          <w:szCs w:val="20"/>
          <w:color w:val="auto"/>
        </w:rPr>
      </w:pPr>
      <w:r>
        <w:rPr>
          <w:rFonts w:ascii="Arial" w:cs="Arial" w:eastAsia="Arial" w:hAnsi="Arial"/>
          <w:sz w:val="16"/>
          <w:szCs w:val="16"/>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Profits and Reserves</w:t>
      </w:r>
    </w:p>
    <w:p>
      <w:pPr>
        <w:spacing w:after="0" w:line="21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Untraced Shareholders</w:t>
      </w:r>
    </w:p>
    <w:p>
      <w:pPr>
        <w:spacing w:after="0" w:line="210"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00"/>
        <w:spacing w:after="0" w:line="273" w:lineRule="auto"/>
        <w:rPr>
          <w:sz w:val="20"/>
          <w:szCs w:val="20"/>
          <w:color w:val="auto"/>
        </w:rPr>
      </w:pPr>
      <w:r>
        <w:rPr>
          <w:rFonts w:ascii="Arial" w:cs="Arial" w:eastAsia="Arial" w:hAnsi="Arial"/>
          <w:sz w:val="15"/>
          <w:szCs w:val="15"/>
          <w:color w:val="auto"/>
        </w:rPr>
        <w:t>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Provisions of Bermuda Law</w:t>
      </w:r>
    </w:p>
    <w:p>
      <w:pPr>
        <w:spacing w:after="0" w:line="210"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Bermudan dollar, and there are no restrictions on our ability to transfer funds (other than funds denominated in Bermudan dollars) in and out of Bermuda or to pay dividends to U.S. residents who are holders of our common shares.</w:t>
      </w:r>
    </w:p>
    <w:p>
      <w:pPr>
        <w:spacing w:after="0" w:line="186" w:lineRule="exact"/>
        <w:rPr>
          <w:sz w:val="20"/>
          <w:szCs w:val="20"/>
          <w:color w:val="auto"/>
        </w:rPr>
      </w:pPr>
    </w:p>
    <w:p>
      <w:pPr>
        <w:ind w:right="20" w:firstLine="433"/>
        <w:spacing w:after="0" w:line="236"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the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common shares up to the amount of our designated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93"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0"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Upon the closing of this offering, holders of 35,670,093 Class A common shares (including Class A common shares issuable upon the conversion of our Class A1 common shares, Class B common shares, and Class B1 common shares), which we refer to as registrable securities, or their transferees will be entitled to the following rights with respect to the registration of such shares for public resale under the Securities Act pursuant to an amended and restated investors rights agreement by and among us and certain of our shareholders, until such shares can otherwise be sold without restriction under Rule 144, or until the rights otherwise terminate pursuant to the terms of the investors' rights agreement. The registration of our common shares as a result of the following rights being exercised would enable holders to trade these shares without restriction under the Securities Act when the applicable registration statement is declared effective.</w:t>
      </w:r>
    </w:p>
    <w:p>
      <w:pPr>
        <w:spacing w:after="0" w:line="175"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If at any time beginning 180 days after the closing date of this offering the holders of a majority of the registrable securities request in writing that we effect a registration with respect to all or part of such registrable securities then outstanding, we may be required to register their shares. We are obligated to effect at most one registration in response to these demand registration rights.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9" w:name="page190"/>
    <w:bookmarkEnd w:id="1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If at any time after this offering we propose to register any of our Class A common shares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208" w:lineRule="exact"/>
        <w:rPr>
          <w:sz w:val="20"/>
          <w:szCs w:val="20"/>
          <w:color w:val="auto"/>
        </w:rPr>
      </w:pPr>
    </w:p>
    <w:p>
      <w:pPr>
        <w:ind w:right="180" w:firstLine="436"/>
        <w:spacing w:after="0" w:line="237" w:lineRule="auto"/>
        <w:rPr>
          <w:sz w:val="20"/>
          <w:szCs w:val="20"/>
          <w:color w:val="auto"/>
        </w:rPr>
      </w:pPr>
      <w:r>
        <w:rPr>
          <w:rFonts w:ascii="Arial" w:cs="Arial" w:eastAsia="Arial" w:hAnsi="Arial"/>
          <w:sz w:val="16"/>
          <w:szCs w:val="16"/>
          <w:color w:val="auto"/>
        </w:rPr>
        <w:t>If, at any time after we become entitled under the Securities Act to register our shares on a registration statement on Form S-3, 25% of the holders of the registrable securities then outstanding on an as-converted into Class A common shares basis request in writing that we effect a registration with respect to registrable securities at an aggregate price to the public in the offering of at least $5.0 million, we will be required to effect such registration within 20 days after the date of such request; provided, however, that we will not be required to effect such a registration if, within any twelve-month period, we have already effected two registrations on Form S-3 for the holders of registrable securities. On the day we are eligible to use a Form S-3 registration statement, we are obligated to register any then outstanding registrable securities held by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08"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blue-sky fees and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Registration Rights</w:t>
      </w:r>
    </w:p>
    <w:p>
      <w:pPr>
        <w:spacing w:after="0" w:line="208" w:lineRule="exact"/>
        <w:rPr>
          <w:sz w:val="20"/>
          <w:szCs w:val="20"/>
          <w:color w:val="auto"/>
        </w:rPr>
      </w:pPr>
    </w:p>
    <w:p>
      <w:pPr>
        <w:ind w:right="280" w:firstLine="433"/>
        <w:spacing w:after="0" w:line="239" w:lineRule="auto"/>
        <w:rPr>
          <w:sz w:val="20"/>
          <w:szCs w:val="20"/>
          <w:color w:val="auto"/>
        </w:rPr>
      </w:pPr>
      <w:r>
        <w:rPr>
          <w:rFonts w:ascii="Arial" w:cs="Arial" w:eastAsia="Arial" w:hAnsi="Arial"/>
          <w:sz w:val="16"/>
          <w:szCs w:val="16"/>
          <w:color w:val="auto"/>
        </w:rPr>
        <w:t>The registration rights terminate upon the earlier of the closing of a deemed liquidation event, as defined in our bye-laws, or, with respect to the registration rights of an individual holder, when the holder can sell all of such holder's registrable securities in a 90-day period without restriction under Rule 144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Corporate Anti-Takeover Provisions</w:t>
      </w:r>
    </w:p>
    <w:p>
      <w:pPr>
        <w:spacing w:after="0" w:line="210"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Certain provisions in our amended and restated bye-laws may be deemed to have an anti-takeover effect and may delay, deter or prevent a tender offer or takeover attempt that a shareholder might consider to be in its best interests, including attempts that might result in a premium being paid over the market price for the Class A common shares. These provisions are also designed, in part, to encourage persons seeking to acquire control of us to first negotiate with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Shares</w:t>
      </w:r>
    </w:p>
    <w:p>
      <w:pPr>
        <w:spacing w:after="0" w:line="208"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Pursuant to our amended and restated bye-laws, preferred shares may be issued from time to time, and the board of directors is authorized to determine the rights, preferences, powers, qualifications, limitations and restrictions.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Upon consummation of this offering, in accordance with the terms of our bye-laws, our board of directors will be divided into three classes, class I, class II and class III, with members of each class serving staggered three-year terms after their initial terms of office following their election at the first general meeting of shareholders following this offering. Our amended and restated bye-laws further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classified board of directors could have the effect of delaying or discouraging an acquisition of us or a change in our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Upon consummation of this offering, in accordance with the terms of our amended and restated bye-laws, our directors may be removed only for cause by the affirmative vote of a majority of the votes entitled to be cast by our shareholders entitled to vote at an annual general election of directors. Any vacancy on our board, including a vacancy resulting from an enlargement of our board or from removal for cause not filled by the shareholders at the time, may be filled only by vote of a majority of our directors then in office.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Advance Notice Requirements for Shareholder Proposals and Director Nominations</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Our amended and restated bye-laws provide that shareholders seeking to nominate candidates for election as directors or to bring business before an annual meeting of shareholders must provide timely notice of their proposal. Generally, to be timely, a shareholder's notice must be received at our principal executive offices not less than 90 days or more than 120 days prior to the first anniversary date of the last annual general meeting. Our amended and restated bye-laws also specify requirements as to the form and content of a shareholder's notice. These provisions may impede shareholders' ability to bring matters before an annual meeting of shareholders or make nominations for directors at an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Choice of Jurisdiction</w:t>
      </w:r>
    </w:p>
    <w:p>
      <w:pPr>
        <w:spacing w:after="0" w:line="20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jurisdiction, any dispute that arises concerning the Companies Act or out of or in connection with our bye-laws, including any question regarding the existence and scope of any bye-law and/or whether there has been a breach of the Companies Act or the bye-laws by any of our officers or directors (whether or not such a claim is brought in the name of a shareholder or in the name of our company) shall be subject to the jurisdiction of the Supreme Court of Bermuda.</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Certain Bye-Laws</w:t>
      </w:r>
    </w:p>
    <w:p>
      <w:pPr>
        <w:spacing w:after="0" w:line="208" w:lineRule="exact"/>
        <w:rPr>
          <w:sz w:val="20"/>
          <w:szCs w:val="20"/>
          <w:color w:val="auto"/>
        </w:rPr>
      </w:pPr>
    </w:p>
    <w:p>
      <w:pPr>
        <w:ind w:right="200" w:firstLine="427"/>
        <w:spacing w:after="0" w:line="241" w:lineRule="auto"/>
        <w:rPr>
          <w:sz w:val="20"/>
          <w:szCs w:val="20"/>
          <w:color w:val="auto"/>
        </w:rPr>
      </w:pPr>
      <w:r>
        <w:rPr>
          <w:rFonts w:ascii="Arial" w:cs="Arial" w:eastAsia="Arial" w:hAnsi="Arial"/>
          <w:sz w:val="16"/>
          <w:szCs w:val="16"/>
          <w:color w:val="auto"/>
        </w:rPr>
        <w:t>Amendments to certain sections of our amended and restated bye-laws containing anti-takeover provisions will require an affirmative vote of at least 66% of the directors and at least 66% of the voting power of the issued and outstanding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Registrar and Transfer Agent</w:t>
      </w:r>
    </w:p>
    <w:p>
      <w:pPr>
        <w:spacing w:after="0" w:line="210" w:lineRule="exact"/>
        <w:rPr>
          <w:sz w:val="20"/>
          <w:szCs w:val="20"/>
          <w:color w:val="auto"/>
        </w:rPr>
      </w:pPr>
    </w:p>
    <w:p>
      <w:pPr>
        <w:jc w:val="both"/>
        <w:ind w:right="140" w:firstLine="427"/>
        <w:spacing w:after="0" w:line="239" w:lineRule="auto"/>
        <w:rPr>
          <w:sz w:val="20"/>
          <w:szCs w:val="20"/>
          <w:color w:val="auto"/>
        </w:rPr>
      </w:pPr>
      <w:r>
        <w:rPr>
          <w:rFonts w:ascii="Arial" w:cs="Arial" w:eastAsia="Arial" w:hAnsi="Arial"/>
          <w:sz w:val="16"/>
          <w:szCs w:val="16"/>
          <w:color w:val="auto"/>
        </w:rPr>
        <w:t>A register of holders of the Class A common shares will be maintained by Conyers Corporate Services (Bermuda) Limited in Bermuda, and a branch register will be maintained in the United States by American Stock Transfer &amp; Trust Company LLC, which will also serve as transfer agent. The transfer agent's address is 6201 15th Avenue, Brooklyn, NY 11219.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Class A common shares have been approved for listing on The Nasdaq Global Select Market under the symbol "KNSA."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SHARES ELIGIBLE FOR FUTURE SALE</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Prior to this offering, there has been no public market for our Class A common shares. Future sales of substantial amounts of Class A common shares in the public market after this offering, or the perception that such sales may occur, could adversely affect the market price of our Class A common shares and could impair our future ability to raise equity capital.</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Upon the closing of this offering, we will have outstanding an aggregate of 14,748,346 Class A common shares, 12,995,954 Class A1 common shares, 4,638,855 Class B common shares and 16,057,618 Class B1 common shares, assuming the issuance of 8,477,777 Class A common shares offered by us in this offering, the conversion of all our outstanding preferred shares into 5,546,019 Class A common shares, 12,995,954 Class A1 common shares, 1,070,502 Class B common shares and 16,057,618 Class B1 common shares upon the closing of this offering, and no exercise of options after March 31, 2018. Of these shares, all Class A common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88" w:lineRule="exact"/>
        <w:rPr>
          <w:sz w:val="20"/>
          <w:szCs w:val="20"/>
          <w:color w:val="auto"/>
        </w:rPr>
      </w:pPr>
    </w:p>
    <w:p>
      <w:pPr>
        <w:ind w:firstLine="433"/>
        <w:spacing w:after="0" w:line="256" w:lineRule="auto"/>
        <w:rPr>
          <w:sz w:val="20"/>
          <w:szCs w:val="20"/>
          <w:color w:val="auto"/>
        </w:rPr>
      </w:pPr>
      <w:r>
        <w:rPr>
          <w:rFonts w:ascii="Arial" w:cs="Arial" w:eastAsia="Arial" w:hAnsi="Arial"/>
          <w:sz w:val="15"/>
          <w:szCs w:val="15"/>
          <w:color w:val="auto"/>
        </w:rPr>
        <w:t>The aggregate remaining 39,962,996 Class A common shares, Class A1 common shares, Class B common shares and Class B1 common shares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all of these shares will be subject to the 180-day lock-up period under the lock-up agreements described below. Upon expiration of the lock-up period, we estimate that 39,962,996 Class A common shares will be available for sale in the public market (including Class A common shares issuable upon the conversion of our Class A1 common shares, Class B common shares, and Class B1 common shares), subject in some cases to applicable volume limitations under Rule 144.</w:t>
      </w:r>
    </w:p>
    <w:p>
      <w:pPr>
        <w:spacing w:after="0" w:line="175"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In addition, of the 4,702,190 Class A common shares that were subject to share options outstanding as of March 31, 2018, options to purchase 955,119 Class A common shares were vested as of March 31, 2018 and, upon exercise, these shares will be eligible for sale subject to the lock-up agreements described below and Rules 144 and 701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1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and all of our equity holders as of the date of this prospectus, including each of our executive officers and directors, have entered into or will enter into lock-up agreements with the underwriters or otherwise agree, subject to certain exceptions, that we and they will not, directly or indirectly, offer, sell, contract to sell, pledge, grant any option to purchase, make any short sale or otherwise dispose of or hedge any of our common shares, any options or warrants to purchase our common shares, or any securities convertible into, or exchangeable for or that represent the right to receive our common shares, without the prior written consent of Goldman Sachs &amp; Co. LLC and J.P. Morgan Securities LLC for a period of 180 days from the date of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Affiliate Resales of Restricted Securities</w:t>
      </w:r>
    </w:p>
    <w:p>
      <w:pPr>
        <w:spacing w:after="0" w:line="208"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an affiliate of ours, or who was an affiliate at any time during the 90 days before a sale, who has beneficially owned our Class A common shares for at least six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months would be entitled to sell in "broker's transactions" or certain "riskless principal transactions" or to market makers, a number of shares within any three-month period that does not exceed the greater of:</w:t>
      </w:r>
    </w:p>
    <w:p>
      <w:pPr>
        <w:spacing w:after="0" w:line="185" w:lineRule="exact"/>
        <w:rPr>
          <w:sz w:val="20"/>
          <w:szCs w:val="20"/>
          <w:color w:val="auto"/>
        </w:rPr>
      </w:pPr>
    </w:p>
    <w:p>
      <w:pPr>
        <w:ind w:left="960" w:hanging="481"/>
        <w:spacing w:after="0"/>
        <w:tabs>
          <w:tab w:leader="none" w:pos="9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1% of the number of our Class A common shares then outstanding, which will equal approximately 147,483 shares immediately after this offering; or</w:t>
      </w:r>
    </w:p>
    <w:p>
      <w:pPr>
        <w:spacing w:after="0" w:line="201" w:lineRule="exact"/>
        <w:rPr>
          <w:rFonts w:ascii="Arial" w:cs="Arial" w:eastAsia="Arial" w:hAnsi="Arial"/>
          <w:sz w:val="15"/>
          <w:szCs w:val="15"/>
          <w:color w:val="auto"/>
        </w:rPr>
      </w:pPr>
    </w:p>
    <w:p>
      <w:pPr>
        <w:ind w:left="960" w:right="20" w:hanging="481"/>
        <w:spacing w:after="0" w:line="241" w:lineRule="auto"/>
        <w:tabs>
          <w:tab w:leader="none" w:pos="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average weekly trading volume in our Class A common shares on The Nasdaq Global Select Market during the four calendar weeks preceding the filing of a notice on Form 144 with respect to such sale.</w:t>
      </w:r>
    </w:p>
    <w:p>
      <w:pPr>
        <w:spacing w:after="0" w:line="185" w:lineRule="exact"/>
        <w:rPr>
          <w:sz w:val="20"/>
          <w:szCs w:val="20"/>
          <w:color w:val="auto"/>
        </w:rPr>
      </w:pPr>
    </w:p>
    <w:p>
      <w:pPr>
        <w:ind w:right="100" w:firstLine="427"/>
        <w:spacing w:after="0" w:line="239"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Non-Affiliate Resales of Restricted Securities</w:t>
      </w:r>
    </w:p>
    <w:p>
      <w:pPr>
        <w:spacing w:after="0" w:line="20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our Class A common shares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Non-affiliate resales are not subject to the manner of sale, volume limitation or notice filing provisions of Rule 144.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 connection with a compensatory share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9" w:lineRule="exact"/>
        <w:rPr>
          <w:sz w:val="20"/>
          <w:szCs w:val="20"/>
          <w:color w:val="auto"/>
        </w:rPr>
      </w:pPr>
    </w:p>
    <w:p>
      <w:pPr>
        <w:jc w:val="both"/>
        <w:ind w:right="180" w:firstLine="433"/>
        <w:spacing w:after="0" w:line="239"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Plans</w:t>
      </w:r>
    </w:p>
    <w:p>
      <w:pPr>
        <w:spacing w:after="0" w:line="210"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Class A common shares subject to outstanding share options and Class A common shares issued or issuable under our share plans. We expect to file the registration statement covering shares offered pursuant to our share plans shortly after the date of this prospectus, permitting the resale of such shares by non-affiliates in the public market without restriction under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3" w:name="page194"/>
    <w:bookmarkEnd w:id="1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and the sale by affiliates in the public market, subject to compliance with the resale provisions of Rule 144.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Upon the closing of this offering, the holders of 35,670,093 Class A common shares (including Class A common shares issuable upon the conversion of our Class A1 common shares, Class B common shares, and Class B1 common shares), or their transferees, will be entitled to various rights with respect to the registration under the Securities Act of these shares and any common shares issued as a dividend or other distribution with respect to these Class A common shares. Registration of these shares under the Securities Act would result in these shares becoming fully tradable without restriction under the Securities Act immediately upon the effectiveness of the registration statement, except for shares purchased by affiliates. See "Description of Share Capital — Registration Rights" for additional information.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BERMUDA COMPANY CONSIDERATIONS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corporate affairs will be governed by our memorandum of association and our amended and restated bye-laws that will become effective immediately following the closing of this offering and by the corporate law of Bermuda. The provisions of the Companies Act, which applies to us, differ in certain material respects from laws generally applicable to U.S. companies incorporated in the State of Delaware and their stockholders. The following is a summary of significant differences between the Companies Act and Bermuda common law applicable to us and our shareholders and the provisions of the Delaware General Corporation Law applicable to U.S. companies organized under the laws of Delaware and their stockholders.</w:t>
      </w:r>
    </w:p>
    <w:p>
      <w:pPr>
        <w:spacing w:after="0" w:line="169" w:lineRule="exact"/>
        <w:rPr>
          <w:sz w:val="20"/>
          <w:szCs w:val="20"/>
          <w:color w:val="auto"/>
        </w:rPr>
      </w:pPr>
    </w:p>
    <w:p>
      <w:pPr>
        <w:ind w:left="3000"/>
        <w:spacing w:after="0"/>
        <w:tabs>
          <w:tab w:leader="none" w:pos="7740" w:val="left"/>
        </w:tabs>
        <w:rPr>
          <w:sz w:val="20"/>
          <w:szCs w:val="20"/>
          <w:color w:val="auto"/>
        </w:rPr>
      </w:pPr>
      <w:r>
        <w:rPr>
          <w:rFonts w:ascii="Arial" w:cs="Arial" w:eastAsia="Arial" w:hAnsi="Arial"/>
          <w:sz w:val="16"/>
          <w:szCs w:val="16"/>
          <w:b w:val="1"/>
          <w:bCs w:val="1"/>
          <w:color w:val="auto"/>
        </w:rPr>
        <w:t>Bermuda</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80580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0580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 Meetings</w:t>
      </w:r>
    </w:p>
    <w:p>
      <w:pPr>
        <w:sectPr>
          <w:pgSz w:w="11900" w:h="16838" w:orient="portrait"/>
          <w:cols w:equalWidth="0" w:num="1">
            <w:col w:w="11260"/>
          </w:cols>
          <w:pgMar w:left="240" w:top="142" w:right="399" w:bottom="1440" w:gutter="0" w:footer="0" w:header="0"/>
        </w:sectPr>
      </w:pPr>
    </w:p>
    <w:p>
      <w:pPr>
        <w:spacing w:after="0" w:line="195" w:lineRule="exact"/>
        <w:rPr>
          <w:sz w:val="20"/>
          <w:szCs w:val="20"/>
          <w:color w:val="auto"/>
        </w:rPr>
      </w:pPr>
    </w:p>
    <w:p>
      <w:pPr>
        <w:ind w:left="1300" w:hanging="158"/>
        <w:spacing w:after="0" w:line="238"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May be called by the board of directors and must be called upon the request of shareholders holding not less than 10% of the paid-up capital of the company carrying the right to vote at general meetings.</w:t>
      </w:r>
    </w:p>
    <w:p>
      <w:pPr>
        <w:spacing w:after="0" w:line="174" w:lineRule="exact"/>
        <w:rPr>
          <w:rFonts w:ascii="Arial" w:cs="Arial" w:eastAsia="Arial" w:hAnsi="Arial"/>
          <w:sz w:val="16"/>
          <w:szCs w:val="16"/>
          <w:color w:val="auto"/>
        </w:rPr>
      </w:pPr>
    </w:p>
    <w:p>
      <w:pPr>
        <w:ind w:left="1300" w:hanging="158"/>
        <w:spacing w:after="0"/>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May be held in or outside Bermuda.</w:t>
      </w:r>
    </w:p>
    <w:p>
      <w:pPr>
        <w:spacing w:after="0" w:line="177" w:lineRule="exact"/>
        <w:rPr>
          <w:rFonts w:ascii="Arial" w:cs="Arial" w:eastAsia="Arial" w:hAnsi="Arial"/>
          <w:sz w:val="16"/>
          <w:szCs w:val="16"/>
          <w:color w:val="auto"/>
        </w:rPr>
      </w:pPr>
    </w:p>
    <w:p>
      <w:pPr>
        <w:ind w:left="1300" w:hanging="158"/>
        <w:spacing w:after="0"/>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Notice: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53" w:right="1400" w:hanging="153"/>
        <w:spacing w:after="0" w:line="262" w:lineRule="auto"/>
        <w:tabs>
          <w:tab w:leader="none" w:pos="15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May be held at such time or place as designated in the certificate of incorporation or the bylaws, or if not so designated, as determined by the board of directors.</w:t>
      </w:r>
    </w:p>
    <w:p>
      <w:pPr>
        <w:spacing w:after="0" w:line="339" w:lineRule="exact"/>
        <w:rPr>
          <w:rFonts w:ascii="Arial" w:cs="Arial" w:eastAsia="Arial" w:hAnsi="Arial"/>
          <w:sz w:val="15"/>
          <w:szCs w:val="15"/>
          <w:color w:val="auto"/>
        </w:rPr>
      </w:pPr>
    </w:p>
    <w:p>
      <w:pPr>
        <w:ind w:left="153" w:hanging="153"/>
        <w:spacing w:after="0"/>
        <w:tabs>
          <w:tab w:leader="none" w:pos="1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May be held in or outside of Delaware.</w:t>
      </w:r>
    </w:p>
    <w:p>
      <w:pPr>
        <w:spacing w:after="0" w:line="177" w:lineRule="exact"/>
        <w:rPr>
          <w:rFonts w:ascii="Arial" w:cs="Arial" w:eastAsia="Arial" w:hAnsi="Arial"/>
          <w:sz w:val="16"/>
          <w:szCs w:val="16"/>
          <w:color w:val="auto"/>
        </w:rPr>
      </w:pPr>
    </w:p>
    <w:p>
      <w:pPr>
        <w:ind w:left="153" w:hanging="153"/>
        <w:spacing w:after="0"/>
        <w:tabs>
          <w:tab w:leader="none" w:pos="1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Notice:</w:t>
      </w:r>
    </w:p>
    <w:p>
      <w:pPr>
        <w:spacing w:after="0" w:line="178" w:lineRule="exact"/>
        <w:rPr>
          <w:sz w:val="20"/>
          <w:szCs w:val="20"/>
          <w:color w:val="auto"/>
        </w:rPr>
      </w:pPr>
    </w:p>
    <w:p>
      <w:pPr>
        <w:sectPr>
          <w:pgSz w:w="11900" w:h="16838" w:orient="portrait"/>
          <w:cols w:equalWidth="0" w:num="2">
            <w:col w:w="5440" w:space="467"/>
            <w:col w:w="5353"/>
          </w:cols>
          <w:pgMar w:left="240" w:top="142" w:right="399" w:bottom="1440" w:gutter="0" w:footer="0" w:header="0"/>
          <w:type w:val="continuous"/>
        </w:sectPr>
      </w:pPr>
    </w:p>
    <w:p>
      <w:pPr>
        <w:ind w:left="1680" w:right="320" w:hanging="152"/>
        <w:spacing w:after="0" w:line="238" w:lineRule="auto"/>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Shareholders must be given at least five days' advance notice of a general meeting, but the unintentional failure to give notice to any person does not invalidate the proceedings at a meeting.</w:t>
      </w:r>
    </w:p>
    <w:p>
      <w:pPr>
        <w:spacing w:after="0" w:line="174" w:lineRule="exact"/>
        <w:rPr>
          <w:rFonts w:ascii="Arial" w:cs="Arial" w:eastAsia="Arial" w:hAnsi="Arial"/>
          <w:sz w:val="16"/>
          <w:szCs w:val="16"/>
          <w:color w:val="auto"/>
        </w:rPr>
      </w:pPr>
    </w:p>
    <w:p>
      <w:pPr>
        <w:ind w:left="1680" w:right="380" w:hanging="152"/>
        <w:spacing w:after="0" w:line="238" w:lineRule="auto"/>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Notice of general meetings must specify the place, the day and hour of the meeting and in the case of special general meetings, the general nature of the business to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7" w:right="980" w:hanging="167"/>
        <w:spacing w:after="0" w:line="241" w:lineRule="auto"/>
        <w:tabs>
          <w:tab w:leader="none" w:pos="16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Written notice shall be given not less than ten nor more than 60 days before the meeting.</w:t>
      </w:r>
    </w:p>
    <w:p>
      <w:pPr>
        <w:spacing w:after="0" w:line="200" w:lineRule="exact"/>
        <w:rPr>
          <w:rFonts w:ascii="Arial" w:cs="Arial" w:eastAsia="Arial" w:hAnsi="Arial"/>
          <w:sz w:val="16"/>
          <w:szCs w:val="16"/>
          <w:color w:val="auto"/>
        </w:rPr>
      </w:pPr>
    </w:p>
    <w:p>
      <w:pPr>
        <w:spacing w:after="0" w:line="335" w:lineRule="exact"/>
        <w:rPr>
          <w:rFonts w:ascii="Arial" w:cs="Arial" w:eastAsia="Arial" w:hAnsi="Arial"/>
          <w:sz w:val="16"/>
          <w:szCs w:val="16"/>
          <w:color w:val="auto"/>
        </w:rPr>
      </w:pPr>
    </w:p>
    <w:p>
      <w:pPr>
        <w:ind w:left="167" w:right="1000" w:hanging="167"/>
        <w:spacing w:after="0" w:line="254" w:lineRule="auto"/>
        <w:tabs>
          <w:tab w:leader="none" w:pos="1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Whenever stockholders are required to take any action at a meeting, a written notice of the meeting shall be given which shall state the place, if any, date and hour of the meeting, the means of remote communication, if any, the record date for determining the stockholders entitled to vote at the meeting if such date is different from the record date for determining stockholders entitled to notice, and in the case of a special meeting, the purpose for which the meeting is called.</w:t>
      </w:r>
    </w:p>
    <w:p>
      <w:pPr>
        <w:sectPr>
          <w:pgSz w:w="11900" w:h="16838" w:orient="portrait"/>
          <w:cols w:equalWidth="0" w:num="2">
            <w:col w:w="5840" w:space="453"/>
            <w:col w:w="4967"/>
          </w:cols>
          <w:pgMar w:left="240" w:top="142" w:right="399" w:bottom="1440" w:gutter="0" w:footer="0" w:header="0"/>
          <w:type w:val="continuous"/>
        </w:sectPr>
      </w:pPr>
    </w:p>
    <w:bookmarkStart w:id="195" w:name="page196"/>
    <w:bookmarkEnd w:id="1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Shareholders' Voting Rights</w:t>
      </w:r>
    </w:p>
    <w:p>
      <w:pPr>
        <w:spacing w:after="0" w:line="196" w:lineRule="exact"/>
        <w:rPr>
          <w:sz w:val="20"/>
          <w:szCs w:val="20"/>
          <w:color w:val="auto"/>
        </w:rPr>
      </w:pPr>
    </w:p>
    <w:p>
      <w:pPr>
        <w:ind w:left="1300" w:right="60" w:hanging="158"/>
        <w:spacing w:after="0" w:line="239"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Shareholders may act by written consent to elect directors. Shareholders may not act by written consent to remove a director or auditor.</w:t>
      </w:r>
    </w:p>
    <w:p>
      <w:pPr>
        <w:spacing w:after="0" w:line="174" w:lineRule="exact"/>
        <w:rPr>
          <w:rFonts w:ascii="Arial" w:cs="Arial" w:eastAsia="Arial" w:hAnsi="Arial"/>
          <w:sz w:val="16"/>
          <w:szCs w:val="16"/>
          <w:color w:val="auto"/>
        </w:rPr>
      </w:pPr>
    </w:p>
    <w:p>
      <w:pPr>
        <w:ind w:left="1300" w:hanging="158"/>
        <w:spacing w:after="0" w:line="237"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Generally, except as otherwise provided in the bye-laws, or the Companies Act, any action or resolution requiring approval of the shareholders may be passed by a simple majority of votes cast. Any person authorized to vote may authorize another person or persons to act for him or her by proxy.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53" w:right="60" w:hanging="153"/>
        <w:spacing w:after="0" w:line="239" w:lineRule="auto"/>
        <w:tabs>
          <w:tab w:leader="none" w:pos="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 limited exceptions, stockholders may act by written consent to elect directors unless prohibited by the certificate of incorporation.</w:t>
      </w:r>
    </w:p>
    <w:p>
      <w:pPr>
        <w:spacing w:after="0" w:line="174" w:lineRule="exact"/>
        <w:rPr>
          <w:rFonts w:ascii="Arial" w:cs="Arial" w:eastAsia="Arial" w:hAnsi="Arial"/>
          <w:sz w:val="16"/>
          <w:szCs w:val="16"/>
          <w:color w:val="auto"/>
        </w:rPr>
      </w:pPr>
    </w:p>
    <w:p>
      <w:pPr>
        <w:ind w:left="153" w:hanging="153"/>
        <w:spacing w:after="0" w:line="241" w:lineRule="auto"/>
        <w:tabs>
          <w:tab w:leader="none" w:pos="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person authorized to vote may authorize another person or persons to act for him or her by proxy.</w:t>
      </w:r>
    </w:p>
    <w:p>
      <w:pPr>
        <w:spacing w:after="0" w:line="896" w:lineRule="exact"/>
        <w:rPr>
          <w:sz w:val="20"/>
          <w:szCs w:val="20"/>
          <w:color w:val="auto"/>
        </w:rPr>
      </w:pPr>
    </w:p>
    <w:p>
      <w:pPr>
        <w:sectPr>
          <w:pgSz w:w="11900" w:h="16838" w:orient="portrait"/>
          <w:cols w:equalWidth="0" w:num="2">
            <w:col w:w="5440" w:space="467"/>
            <w:col w:w="4373"/>
          </w:cols>
          <w:pgMar w:left="240" w:top="142" w:right="1379" w:bottom="1440" w:gutter="0" w:footer="0" w:header="0"/>
        </w:sectPr>
      </w:pPr>
    </w:p>
    <w:p>
      <w:pPr>
        <w:ind w:left="1300" w:hanging="158"/>
        <w:spacing w:after="0" w:line="237" w:lineRule="auto"/>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voting rights of shareholders are regulated by a company's bye-laws and, in certain circumstances, by the Companies Act. The bye-laws may specify the number to constitute a quorum and if the bye-laws permit, a general meeting of the shareholders of a company may be held with only one individual present if the requirement for a quorum is satisfied.</w:t>
      </w:r>
    </w:p>
    <w:p>
      <w:pPr>
        <w:spacing w:after="0" w:line="20" w:lineRule="exact"/>
        <w:rPr>
          <w:sz w:val="20"/>
          <w:szCs w:val="20"/>
          <w:color w:val="auto"/>
        </w:rPr>
      </w:pPr>
      <w:r>
        <w:rPr>
          <w:sz w:val="20"/>
          <w:szCs w:val="20"/>
          <w:color w:val="auto"/>
        </w:rPr>
        <w:br w:type="column"/>
      </w:r>
    </w:p>
    <w:p>
      <w:pPr>
        <w:ind w:left="153" w:right="100" w:hanging="153"/>
        <w:spacing w:after="0" w:line="237" w:lineRule="auto"/>
        <w:tabs>
          <w:tab w:leader="none" w:pos="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stock corporations, the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p>
      <w:pPr>
        <w:spacing w:after="0" w:line="357" w:lineRule="exact"/>
        <w:rPr>
          <w:rFonts w:ascii="Arial" w:cs="Arial" w:eastAsia="Arial" w:hAnsi="Arial"/>
          <w:sz w:val="16"/>
          <w:szCs w:val="16"/>
          <w:color w:val="auto"/>
        </w:rPr>
      </w:pPr>
    </w:p>
    <w:p>
      <w:pPr>
        <w:ind w:left="153" w:right="120" w:hanging="153"/>
        <w:spacing w:after="0" w:line="239" w:lineRule="auto"/>
        <w:tabs>
          <w:tab w:leader="none" w:pos="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When a quorum is once present to organize a meeting, it is not broken by the subsequent withdrawal of any stockholders.</w:t>
      </w:r>
    </w:p>
    <w:p>
      <w:pPr>
        <w:spacing w:after="0" w:line="174" w:lineRule="exact"/>
        <w:rPr>
          <w:sz w:val="20"/>
          <w:szCs w:val="20"/>
          <w:color w:val="auto"/>
        </w:rPr>
      </w:pPr>
    </w:p>
    <w:p>
      <w:pPr>
        <w:sectPr>
          <w:pgSz w:w="11900" w:h="16838" w:orient="portrait"/>
          <w:cols w:equalWidth="0" w:num="2">
            <w:col w:w="5520" w:space="387"/>
            <w:col w:w="4373"/>
          </w:cols>
          <w:pgMar w:left="240" w:top="142" w:right="1379" w:bottom="1440" w:gutter="0" w:footer="0" w:header="0"/>
          <w:type w:val="continuous"/>
        </w:sectPr>
      </w:pPr>
    </w:p>
    <w:p>
      <w:pPr>
        <w:ind w:left="1140"/>
        <w:spacing w:after="0"/>
        <w:rPr>
          <w:sz w:val="20"/>
          <w:szCs w:val="20"/>
          <w:color w:val="auto"/>
        </w:rPr>
      </w:pPr>
      <w:r>
        <w:rPr>
          <w:rFonts w:ascii="Arial" w:cs="Arial" w:eastAsia="Arial" w:hAnsi="Arial"/>
          <w:sz w:val="15"/>
          <w:szCs w:val="15"/>
          <w:color w:val="auto"/>
        </w:rPr>
        <w:t>• The bye-laws may provide for cumulative voting.</w:t>
      </w:r>
    </w:p>
    <w:p>
      <w:pPr>
        <w:spacing w:after="0" w:line="20" w:lineRule="exact"/>
        <w:rPr>
          <w:sz w:val="20"/>
          <w:szCs w:val="20"/>
          <w:color w:val="auto"/>
        </w:rPr>
      </w:pPr>
      <w:r>
        <w:rPr>
          <w:sz w:val="20"/>
          <w:szCs w:val="20"/>
          <w:color w:val="auto"/>
        </w:rPr>
        <w:br w:type="column"/>
      </w:r>
    </w:p>
    <w:p>
      <w:pPr>
        <w:ind w:left="480" w:right="180" w:hanging="153"/>
        <w:spacing w:after="0" w:line="241" w:lineRule="auto"/>
        <w:tabs>
          <w:tab w:leader="none" w:pos="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certificate of incorporation may provide for cumulative voting.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4860" w:space="720"/>
            <w:col w:w="4700"/>
          </w:cols>
          <w:pgMar w:left="240" w:top="142" w:right="137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184"/>
        </w:trPr>
        <w:tc>
          <w:tcPr>
            <w:tcW w:w="55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382"/>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Bermuda</w:t>
            </w:r>
          </w:p>
        </w:tc>
        <w:tc>
          <w:tcPr>
            <w:tcW w:w="380" w:type="dxa"/>
            <w:vAlign w:val="bottom"/>
          </w:tcPr>
          <w:p>
            <w:pPr>
              <w:spacing w:after="0"/>
              <w:rPr>
                <w:sz w:val="24"/>
                <w:szCs w:val="24"/>
                <w:color w:val="auto"/>
              </w:rPr>
            </w:pPr>
          </w:p>
        </w:tc>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6"/>
                <w:szCs w:val="16"/>
                <w:b w:val="1"/>
                <w:bCs w:val="1"/>
                <w:color w:val="auto"/>
              </w:rPr>
              <w:t>Delaware</w:t>
            </w:r>
          </w:p>
        </w:tc>
      </w:tr>
      <w:tr>
        <w:trPr>
          <w:trHeight w:val="206"/>
        </w:trPr>
        <w:tc>
          <w:tcPr>
            <w:tcW w:w="114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Mergers or Sale of Assets</w:t>
            </w:r>
          </w:p>
        </w:tc>
        <w:tc>
          <w:tcPr>
            <w:tcW w:w="380" w:type="dxa"/>
            <w:vAlign w:val="bottom"/>
          </w:tcPr>
          <w:p>
            <w:pPr>
              <w:spacing w:after="0"/>
              <w:rPr>
                <w:sz w:val="17"/>
                <w:szCs w:val="17"/>
                <w:color w:val="auto"/>
              </w:rPr>
            </w:pPr>
          </w:p>
        </w:tc>
        <w:tc>
          <w:tcPr>
            <w:tcW w:w="4380" w:type="dxa"/>
            <w:vAlign w:val="bottom"/>
          </w:tcPr>
          <w:p>
            <w:pPr>
              <w:spacing w:after="0"/>
              <w:rPr>
                <w:sz w:val="17"/>
                <w:szCs w:val="17"/>
                <w:color w:val="auto"/>
              </w:rPr>
            </w:pPr>
          </w:p>
        </w:tc>
      </w:tr>
    </w:tbl>
    <w:p>
      <w:pPr>
        <w:spacing w:after="0" w:line="159" w:lineRule="exact"/>
        <w:rPr>
          <w:sz w:val="20"/>
          <w:szCs w:val="20"/>
          <w:color w:val="auto"/>
        </w:rPr>
      </w:pPr>
    </w:p>
    <w:p>
      <w:pPr>
        <w:sectPr>
          <w:pgSz w:w="11900" w:h="16838" w:orient="portrait"/>
          <w:cols w:equalWidth="0" w:num="1">
            <w:col w:w="10280"/>
          </w:cols>
          <w:pgMar w:left="240" w:top="113" w:right="1379" w:bottom="1440" w:gutter="0" w:footer="0" w:header="0"/>
        </w:sectPr>
      </w:pPr>
    </w:p>
    <w:p>
      <w:pPr>
        <w:ind w:left="1300" w:hanging="158"/>
        <w:spacing w:after="0" w:line="236"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w:t>
      </w:r>
    </w:p>
    <w:p>
      <w:pPr>
        <w:spacing w:after="0" w:line="181" w:lineRule="exact"/>
        <w:rPr>
          <w:rFonts w:ascii="Arial" w:cs="Arial" w:eastAsia="Arial" w:hAnsi="Arial"/>
          <w:sz w:val="16"/>
          <w:szCs w:val="16"/>
          <w:color w:val="auto"/>
        </w:rPr>
      </w:pPr>
    </w:p>
    <w:p>
      <w:pPr>
        <w:ind w:left="1300" w:right="40" w:hanging="158"/>
        <w:spacing w:after="0" w:line="237"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Every company may at any meeting of its board of directors sell, lease or exchange all or substantially all of its property and assets as its board of directors deems expedient and in the best interests of the company to do so when authorized by a resolution adopted by the holders of a majority of issued and outstanding shares of a company entitled to vote.</w:t>
      </w:r>
    </w:p>
    <w:p>
      <w:pPr>
        <w:spacing w:after="0" w:line="175" w:lineRule="exact"/>
        <w:rPr>
          <w:rFonts w:ascii="Arial" w:cs="Arial" w:eastAsia="Arial" w:hAnsi="Arial"/>
          <w:sz w:val="16"/>
          <w:szCs w:val="16"/>
          <w:color w:val="auto"/>
        </w:rPr>
      </w:pPr>
    </w:p>
    <w:p>
      <w:pPr>
        <w:ind w:left="1300" w:right="220" w:hanging="158"/>
        <w:spacing w:after="0" w:line="254" w:lineRule="auto"/>
        <w:tabs>
          <w:tab w:leader="none" w:pos="13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company that is the wholly owned subsidiary of a holding company, or one or more companies which are wholly owned subsidiaries of the same holding company, may amalgamate or merge without the vote or consent of shareholders provided that the approval of the board of directors is obtained and that a director or officer of each such company signs a statutory solvency declaration in respect of the relevant company.</w:t>
      </w:r>
    </w:p>
    <w:p>
      <w:pPr>
        <w:spacing w:after="0" w:line="200" w:lineRule="exact"/>
        <w:rPr>
          <w:rFonts w:ascii="Arial" w:cs="Arial" w:eastAsia="Arial" w:hAnsi="Arial"/>
          <w:sz w:val="15"/>
          <w:szCs w:val="15"/>
          <w:color w:val="auto"/>
        </w:rPr>
      </w:pPr>
    </w:p>
    <w:p>
      <w:pPr>
        <w:spacing w:after="0" w:line="329" w:lineRule="exact"/>
        <w:rPr>
          <w:rFonts w:ascii="Arial" w:cs="Arial" w:eastAsia="Arial" w:hAnsi="Arial"/>
          <w:sz w:val="15"/>
          <w:szCs w:val="15"/>
          <w:color w:val="auto"/>
        </w:rPr>
      </w:pPr>
    </w:p>
    <w:p>
      <w:pPr>
        <w:ind w:left="1300" w:right="40" w:hanging="158"/>
        <w:spacing w:after="0" w:line="262" w:lineRule="auto"/>
        <w:tabs>
          <w:tab w:leader="none" w:pos="13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mortgage, charge or pledge of a company's property and assets may be authorized without the consent of shareholders subject to any restrictions under the bye-laws.</w:t>
      </w:r>
    </w:p>
    <w:p>
      <w:pPr>
        <w:spacing w:after="0" w:line="20" w:lineRule="exact"/>
        <w:rPr>
          <w:sz w:val="20"/>
          <w:szCs w:val="20"/>
          <w:color w:val="auto"/>
        </w:rPr>
      </w:pPr>
      <w:r>
        <w:rPr>
          <w:sz w:val="20"/>
          <w:szCs w:val="20"/>
          <w:color w:val="auto"/>
        </w:rPr>
        <w:br w:type="column"/>
      </w:r>
    </w:p>
    <w:p>
      <w:pPr>
        <w:ind w:left="153" w:right="60" w:hanging="153"/>
        <w:spacing w:after="0" w:line="237"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two or more corporations existing under the laws of the state may merge into a single corporation pursuant to a board resolution and upon the majority vote by stockholders of each constituent corporation at an annual or special meeting.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153" w:right="140" w:hanging="153"/>
        <w:spacing w:after="0" w:line="237"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a corporation entitled to vote.</w:t>
      </w:r>
    </w:p>
    <w:p>
      <w:pPr>
        <w:spacing w:after="0" w:line="357" w:lineRule="exact"/>
        <w:rPr>
          <w:rFonts w:ascii="Arial" w:cs="Arial" w:eastAsia="Arial" w:hAnsi="Arial"/>
          <w:sz w:val="16"/>
          <w:szCs w:val="16"/>
          <w:color w:val="auto"/>
        </w:rPr>
      </w:pPr>
    </w:p>
    <w:p>
      <w:pPr>
        <w:ind w:left="153" w:right="80" w:hanging="153"/>
        <w:spacing w:after="0" w:line="254" w:lineRule="auto"/>
        <w:tabs>
          <w:tab w:leader="none" w:pos="1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corporation owning at least 90% of the outstanding shares of each class of another corporation may merge the other corporation into itself and assume all of its obligations without the vote or consent of stockholders if one of the two corporations is a Delaware entity and the laws or a foreign corporation do not prohibit such merger. However, in a case where the parent corporation is not the surviving corporation, the proposed merger shall be approved by a majority of the outstanding stock of the parent corporation entitled to vote at a duly called stockholder meeting.</w:t>
      </w:r>
    </w:p>
    <w:p>
      <w:pPr>
        <w:spacing w:after="0" w:line="164" w:lineRule="exact"/>
        <w:rPr>
          <w:rFonts w:ascii="Arial" w:cs="Arial" w:eastAsia="Arial" w:hAnsi="Arial"/>
          <w:sz w:val="15"/>
          <w:szCs w:val="15"/>
          <w:color w:val="auto"/>
        </w:rPr>
      </w:pPr>
    </w:p>
    <w:p>
      <w:pPr>
        <w:ind w:left="153" w:right="340" w:hanging="153"/>
        <w:spacing w:after="0" w:line="238"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mortgage or pledge of a corporation's property and assets may be authorized without the vote or consent of stockholders, except to the extent that the certificate of incorporation otherwise provides.</w:t>
      </w:r>
    </w:p>
    <w:p>
      <w:pPr>
        <w:spacing w:after="0" w:line="187" w:lineRule="exact"/>
        <w:rPr>
          <w:sz w:val="20"/>
          <w:szCs w:val="20"/>
          <w:color w:val="auto"/>
        </w:rPr>
      </w:pPr>
    </w:p>
    <w:p>
      <w:pPr>
        <w:sectPr>
          <w:pgSz w:w="11900" w:h="16838" w:orient="portrait"/>
          <w:cols w:equalWidth="0" w:num="2">
            <w:col w:w="5480" w:space="427"/>
            <w:col w:w="4373"/>
          </w:cols>
          <w:pgMar w:left="240" w:top="113" w:right="137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13" w:right="1379" w:bottom="1440" w:gutter="0" w:footer="0" w:header="0"/>
          <w:type w:val="continuous"/>
        </w:sectPr>
      </w:pPr>
    </w:p>
    <w:bookmarkStart w:id="197" w:name="page198"/>
    <w:bookmarkEnd w:id="1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Directors</w:t>
      </w:r>
    </w:p>
    <w:p>
      <w:pPr>
        <w:spacing w:after="0" w:line="195" w:lineRule="exact"/>
        <w:rPr>
          <w:sz w:val="20"/>
          <w:szCs w:val="20"/>
          <w:color w:val="auto"/>
        </w:rPr>
      </w:pPr>
    </w:p>
    <w:p>
      <w:pPr>
        <w:ind w:left="1300" w:hanging="158"/>
        <w:spacing w:after="0"/>
        <w:tabs>
          <w:tab w:leader="none" w:pos="13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board of directors must consist of at least one director.</w:t>
      </w:r>
    </w:p>
    <w:p>
      <w:pPr>
        <w:spacing w:after="0" w:line="189" w:lineRule="exact"/>
        <w:rPr>
          <w:rFonts w:ascii="Arial" w:cs="Arial" w:eastAsia="Arial" w:hAnsi="Arial"/>
          <w:sz w:val="15"/>
          <w:szCs w:val="15"/>
          <w:color w:val="auto"/>
        </w:rPr>
      </w:pPr>
    </w:p>
    <w:p>
      <w:pPr>
        <w:ind w:left="1300" w:hanging="158"/>
        <w:spacing w:after="0" w:line="238" w:lineRule="auto"/>
        <w:tabs>
          <w:tab w:leader="none" w:pos="13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number of directors is fixed by the bye-laws, and any changes to such number must be approved by the board of directors and/or the shareholders in accordance with the company's bye-laws.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8890</wp:posOffset>
            </wp:positionV>
            <wp:extent cx="278066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480" w:hanging="153"/>
        <w:spacing w:after="0"/>
        <w:tabs>
          <w:tab w:leader="none" w:pos="4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board of directors must consist of at least one member.</w:t>
      </w:r>
    </w:p>
    <w:p>
      <w:pPr>
        <w:spacing w:after="0" w:line="189" w:lineRule="exact"/>
        <w:rPr>
          <w:rFonts w:ascii="Arial" w:cs="Arial" w:eastAsia="Arial" w:hAnsi="Arial"/>
          <w:sz w:val="15"/>
          <w:szCs w:val="15"/>
          <w:color w:val="auto"/>
        </w:rPr>
      </w:pPr>
    </w:p>
    <w:p>
      <w:pPr>
        <w:ind w:left="480" w:right="60" w:hanging="153"/>
        <w:spacing w:after="0" w:line="258" w:lineRule="auto"/>
        <w:tabs>
          <w:tab w:leader="none" w:pos="4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Number of board members shall be fixed by the bylaws, unless the certificate of incorporation fixes the number of directors, in which case a change in the number shall be made only by amendment of the certificate of incorporation.</w:t>
      </w:r>
    </w:p>
    <w:p>
      <w:pPr>
        <w:spacing w:after="0" w:line="162" w:lineRule="exact"/>
        <w:rPr>
          <w:rFonts w:ascii="Arial" w:cs="Arial" w:eastAsia="Arial" w:hAnsi="Arial"/>
          <w:sz w:val="15"/>
          <w:szCs w:val="15"/>
          <w:color w:val="auto"/>
        </w:rPr>
      </w:pPr>
    </w:p>
    <w:p>
      <w:pPr>
        <w:ind w:left="480" w:hanging="153"/>
        <w:spacing w:after="0"/>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Removal:</w:t>
      </w:r>
    </w:p>
    <w:p>
      <w:pPr>
        <w:spacing w:after="0" w:line="177" w:lineRule="exact"/>
        <w:rPr>
          <w:rFonts w:ascii="Arial" w:cs="Arial" w:eastAsia="Arial" w:hAnsi="Arial"/>
          <w:sz w:val="16"/>
          <w:szCs w:val="16"/>
          <w:color w:val="auto"/>
        </w:rPr>
      </w:pPr>
    </w:p>
    <w:p>
      <w:pPr>
        <w:ind w:left="640" w:hanging="152"/>
        <w:spacing w:after="0" w:line="238" w:lineRule="auto"/>
        <w:tabs>
          <w:tab w:leader="none" w:pos="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or all of the directors may be removed, with or without cause, by the holders of a majority of the shares entitled to vote unless the certificate of incorporation otherwise provides.</w:t>
      </w:r>
    </w:p>
    <w:p>
      <w:pPr>
        <w:spacing w:after="0" w:line="174" w:lineRule="exact"/>
        <w:rPr>
          <w:rFonts w:ascii="Arial" w:cs="Arial" w:eastAsia="Arial" w:hAnsi="Arial"/>
          <w:sz w:val="16"/>
          <w:szCs w:val="16"/>
          <w:color w:val="auto"/>
        </w:rPr>
      </w:pPr>
    </w:p>
    <w:p>
      <w:pPr>
        <w:ind w:left="640" w:right="100" w:hanging="152"/>
        <w:spacing w:after="0" w:line="241" w:lineRule="auto"/>
        <w:tabs>
          <w:tab w:leader="none" w:pos="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the case of a classified board, stockholders may effect removal of any or all directors only for cause.</w:t>
      </w:r>
    </w:p>
    <w:p>
      <w:pPr>
        <w:spacing w:after="0" w:line="173" w:lineRule="exact"/>
        <w:rPr>
          <w:rFonts w:ascii="Arial" w:cs="Arial" w:eastAsia="Arial" w:hAnsi="Arial"/>
          <w:sz w:val="16"/>
          <w:szCs w:val="16"/>
          <w:color w:val="auto"/>
        </w:rPr>
      </w:pPr>
    </w:p>
    <w:p>
      <w:pPr>
        <w:ind w:left="640" w:hanging="152"/>
        <w:spacing w:after="0" w:line="258" w:lineRule="auto"/>
        <w:tabs>
          <w:tab w:leader="none" w:pos="6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In the case of a corporation with cumulative voting, if less than the entire board is to be removed, no director may be removed without cause if the votes against removal would be sufficient to elect such director using cumulative voting.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5400" w:space="180"/>
            <w:col w:w="4680"/>
          </w:cols>
          <w:pgMar w:left="240" w:top="143" w:right="1399" w:bottom="1440" w:gutter="0" w:footer="0" w:header="0"/>
        </w:sectPr>
      </w:pPr>
    </w:p>
    <w:bookmarkStart w:id="198" w:name="page199"/>
    <w:bookmarkEnd w:id="1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Duties of Directors</w:t>
      </w:r>
    </w:p>
    <w:p>
      <w:pPr>
        <w:spacing w:after="0" w:line="195" w:lineRule="exact"/>
        <w:rPr>
          <w:sz w:val="20"/>
          <w:szCs w:val="20"/>
          <w:color w:val="auto"/>
        </w:rPr>
      </w:pPr>
    </w:p>
    <w:p>
      <w:pPr>
        <w:ind w:left="1300" w:right="20" w:hanging="158"/>
        <w:spacing w:after="0" w:line="236"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Companies Act authorizes the directors of a company, subject to its bye-laws, to exercise all powers of the company except those that are required by the Companies Act or the company's bye-laws to be exercised by the shareholders of the company. At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spacing w:after="0" w:line="181" w:lineRule="exact"/>
        <w:rPr>
          <w:rFonts w:ascii="Arial" w:cs="Arial" w:eastAsia="Arial" w:hAnsi="Arial"/>
          <w:sz w:val="16"/>
          <w:szCs w:val="16"/>
          <w:color w:val="auto"/>
        </w:rPr>
      </w:pPr>
    </w:p>
    <w:p>
      <w:pPr>
        <w:ind w:left="1460" w:right="46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act in good faith in the best interests of the company;</w:t>
      </w:r>
    </w:p>
    <w:p>
      <w:pPr>
        <w:spacing w:after="0" w:line="173" w:lineRule="exact"/>
        <w:rPr>
          <w:rFonts w:ascii="Arial" w:cs="Arial" w:eastAsia="Arial" w:hAnsi="Arial"/>
          <w:sz w:val="16"/>
          <w:szCs w:val="16"/>
          <w:color w:val="auto"/>
        </w:rPr>
      </w:pPr>
    </w:p>
    <w:p>
      <w:pPr>
        <w:ind w:left="1460" w:right="30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not to make a personal profit from opportunities that arise from the office of director;</w:t>
      </w:r>
    </w:p>
    <w:p>
      <w:pPr>
        <w:spacing w:after="0" w:line="173" w:lineRule="exact"/>
        <w:rPr>
          <w:rFonts w:ascii="Arial" w:cs="Arial" w:eastAsia="Arial" w:hAnsi="Arial"/>
          <w:sz w:val="16"/>
          <w:szCs w:val="16"/>
          <w:color w:val="auto"/>
        </w:rPr>
      </w:pPr>
    </w:p>
    <w:p>
      <w:pPr>
        <w:ind w:left="1460" w:hanging="157"/>
        <w:spacing w:after="0"/>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avoid conflicts of interest; and</w:t>
      </w:r>
    </w:p>
    <w:p>
      <w:pPr>
        <w:spacing w:after="0" w:line="177" w:lineRule="exact"/>
        <w:rPr>
          <w:rFonts w:ascii="Arial" w:cs="Arial" w:eastAsia="Arial" w:hAnsi="Arial"/>
          <w:sz w:val="16"/>
          <w:szCs w:val="16"/>
          <w:color w:val="auto"/>
        </w:rPr>
      </w:pPr>
    </w:p>
    <w:p>
      <w:pPr>
        <w:ind w:left="1460" w:right="14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exercise powers for the purpose for which such powers were intended.</w:t>
      </w:r>
    </w:p>
    <w:p>
      <w:pPr>
        <w:spacing w:after="0" w:line="173" w:lineRule="exact"/>
        <w:rPr>
          <w:rFonts w:ascii="Arial" w:cs="Arial" w:eastAsia="Arial" w:hAnsi="Arial"/>
          <w:sz w:val="16"/>
          <w:szCs w:val="16"/>
          <w:color w:val="auto"/>
        </w:rPr>
      </w:pPr>
    </w:p>
    <w:p>
      <w:pPr>
        <w:ind w:left="1300" w:right="20" w:hanging="158"/>
        <w:spacing w:after="0" w:line="241"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Companies Act imposes a duty on directors and officers of a Bermuda company:</w:t>
      </w:r>
    </w:p>
    <w:p>
      <w:pPr>
        <w:spacing w:after="0" w:line="173" w:lineRule="exact"/>
        <w:rPr>
          <w:rFonts w:ascii="Arial" w:cs="Arial" w:eastAsia="Arial" w:hAnsi="Arial"/>
          <w:sz w:val="16"/>
          <w:szCs w:val="16"/>
          <w:color w:val="auto"/>
        </w:rPr>
      </w:pPr>
    </w:p>
    <w:p>
      <w:pPr>
        <w:ind w:left="1460" w:right="26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act honestly and in good faith with a view to the best interests of the company; and</w:t>
      </w:r>
    </w:p>
    <w:p>
      <w:pPr>
        <w:spacing w:after="0" w:line="173" w:lineRule="exact"/>
        <w:rPr>
          <w:rFonts w:ascii="Arial" w:cs="Arial" w:eastAsia="Arial" w:hAnsi="Arial"/>
          <w:sz w:val="16"/>
          <w:szCs w:val="16"/>
          <w:color w:val="auto"/>
        </w:rPr>
      </w:pPr>
    </w:p>
    <w:p>
      <w:pPr>
        <w:ind w:left="1460" w:right="120" w:hanging="157"/>
        <w:spacing w:after="0" w:line="239"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exercise the care, diligence and skill that a reasonably prudent person would exercise in comparable circumstances.</w:t>
      </w:r>
    </w:p>
    <w:p>
      <w:pPr>
        <w:spacing w:after="0" w:line="174" w:lineRule="exact"/>
        <w:rPr>
          <w:rFonts w:ascii="Arial" w:cs="Arial" w:eastAsia="Arial" w:hAnsi="Arial"/>
          <w:sz w:val="16"/>
          <w:szCs w:val="16"/>
          <w:color w:val="auto"/>
        </w:rPr>
      </w:pPr>
    </w:p>
    <w:p>
      <w:pPr>
        <w:ind w:left="1300" w:hanging="158"/>
        <w:spacing w:after="0" w:line="256" w:lineRule="auto"/>
        <w:tabs>
          <w:tab w:leader="none" w:pos="13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Companies Act also imposes various duties on directors and officers of a company with respect to certain matters of management and administration of the company. Under Bermuda law, directors and officers generally owe fiduciary duties to the company itself, not to the company's individual shareholders, creditors or any class thereof.</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153" w:hanging="153"/>
        <w:spacing w:after="0" w:line="252" w:lineRule="auto"/>
        <w:tabs>
          <w:tab w:leader="none" w:pos="153" w:val="left"/>
        </w:tabs>
        <w:numPr>
          <w:ilvl w:val="0"/>
          <w:numId w:val="117"/>
        </w:numPr>
        <w:rPr>
          <w:rFonts w:ascii="Arial" w:cs="Arial" w:eastAsia="Arial" w:hAnsi="Arial"/>
          <w:sz w:val="15"/>
          <w:szCs w:val="15"/>
          <w:color w:val="auto"/>
        </w:rPr>
      </w:pPr>
      <w:r>
        <w:rPr>
          <w:rFonts w:ascii="Arial" w:cs="Arial" w:eastAsia="Arial" w:hAnsi="Arial"/>
          <w:sz w:val="15"/>
          <w:szCs w:val="15"/>
          <w:color w:val="auto"/>
        </w:rPr>
        <w:t>Under Delaware law, the business and affairs of a corporation are managed by or under the direction of its board of directors except as may be otherwise provided in its certificate of incorporation. In exercising their powers, directors are charged with a fiduciary duty of care to protect the interests of the corporation and a fiduciary duty of loyalty to act in the best interests of its stockholders. The duty of care requires that a director act in good faith, with the care that an ordinarily prudent person would exercise under similar circumstances. Under this duty, a director must inform himself of, and disclose to stockholders,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stockholders take precedence over any interest possessed by a director, officer or controlling shareholder and not shared by the stockholders generally.</w:t>
      </w:r>
    </w:p>
    <w:p>
      <w:pPr>
        <w:spacing w:after="0" w:line="358" w:lineRule="exact"/>
        <w:rPr>
          <w:rFonts w:ascii="Arial" w:cs="Arial" w:eastAsia="Arial" w:hAnsi="Arial"/>
          <w:sz w:val="15"/>
          <w:szCs w:val="15"/>
          <w:color w:val="auto"/>
        </w:rPr>
      </w:pPr>
    </w:p>
    <w:p>
      <w:pPr>
        <w:ind w:left="153" w:right="60" w:hanging="153"/>
        <w:spacing w:after="0" w:line="237" w:lineRule="auto"/>
        <w:tabs>
          <w:tab w:leader="none" w:pos="1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633" w:lineRule="exact"/>
        <w:rPr>
          <w:sz w:val="20"/>
          <w:szCs w:val="20"/>
          <w:color w:val="auto"/>
        </w:rPr>
      </w:pPr>
    </w:p>
    <w:p>
      <w:pPr>
        <w:sectPr>
          <w:pgSz w:w="11900" w:h="16838" w:orient="portrait"/>
          <w:cols w:equalWidth="0" w:num="2">
            <w:col w:w="5520" w:space="387"/>
            <w:col w:w="4373"/>
          </w:cols>
          <w:pgMar w:left="240" w:top="143" w:right="1379" w:bottom="1440" w:gutter="0" w:footer="0" w:header="0"/>
        </w:sectPr>
      </w:pPr>
    </w:p>
    <w:p>
      <w:pPr>
        <w:ind w:left="5580"/>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type w:val="continuous"/>
        </w:sectPr>
      </w:pPr>
    </w:p>
    <w:bookmarkStart w:id="199" w:name="page200"/>
    <w:bookmarkEnd w:id="1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jc w:val="both"/>
        <w:ind w:left="3000"/>
        <w:spacing w:after="0"/>
        <w:tabs>
          <w:tab w:leader="none" w:pos="7740" w:val="left"/>
        </w:tabs>
        <w:rPr>
          <w:sz w:val="20"/>
          <w:szCs w:val="20"/>
          <w:color w:val="auto"/>
        </w:rPr>
      </w:pPr>
      <w:r>
        <w:rPr>
          <w:rFonts w:ascii="Arial" w:cs="Arial" w:eastAsia="Arial" w:hAnsi="Arial"/>
          <w:sz w:val="16"/>
          <w:szCs w:val="16"/>
          <w:b w:val="1"/>
          <w:bCs w:val="1"/>
          <w:color w:val="auto"/>
        </w:rPr>
        <w:t>Bermuda</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80580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0580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Takeovers</w:t>
      </w:r>
    </w:p>
    <w:p>
      <w:pPr>
        <w:sectPr>
          <w:pgSz w:w="11900" w:h="16838" w:orient="portrait"/>
          <w:cols w:equalWidth="0" w:num="1">
            <w:col w:w="10260"/>
          </w:cols>
          <w:pgMar w:left="240" w:top="143" w:right="1399" w:bottom="1440" w:gutter="0" w:footer="0" w:header="0"/>
        </w:sectPr>
      </w:pPr>
    </w:p>
    <w:p>
      <w:pPr>
        <w:spacing w:after="0" w:line="195" w:lineRule="exact"/>
        <w:rPr>
          <w:sz w:val="20"/>
          <w:szCs w:val="20"/>
          <w:color w:val="auto"/>
        </w:rPr>
      </w:pPr>
    </w:p>
    <w:p>
      <w:pPr>
        <w:jc w:val="both"/>
        <w:ind w:left="1300" w:right="80" w:hanging="158"/>
        <w:spacing w:after="0" w:line="239" w:lineRule="auto"/>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 acquiring party is generally able to acquire compulsorily the common shares of minority holders of a company in the following ways:</w:t>
      </w:r>
    </w:p>
    <w:p>
      <w:pPr>
        <w:spacing w:after="0" w:line="174" w:lineRule="exact"/>
        <w:rPr>
          <w:rFonts w:ascii="Arial" w:cs="Arial" w:eastAsia="Arial" w:hAnsi="Arial"/>
          <w:sz w:val="16"/>
          <w:szCs w:val="16"/>
          <w:color w:val="auto"/>
        </w:rPr>
      </w:pPr>
    </w:p>
    <w:p>
      <w:pPr>
        <w:ind w:left="1460" w:hanging="157"/>
        <w:spacing w:after="0" w:line="253" w:lineRule="auto"/>
        <w:tabs>
          <w:tab w:leader="none" w:pos="146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By a procedure under the Companies Act known as a "scheme of arrangement." A scheme of arrangement could be effected by obtaining the agreement of the company and of holders of common shares, representing in the aggregate a majority in number and at least 75% in value of the common shareholders present and voting at a court ordered meeting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common shares could be compelled to sell their shares under the terms of the scheme of arrangement.</w:t>
      </w:r>
    </w:p>
    <w:p>
      <w:pPr>
        <w:spacing w:after="0" w:line="168" w:lineRule="exact"/>
        <w:rPr>
          <w:rFonts w:ascii="Arial" w:cs="Arial" w:eastAsia="Arial" w:hAnsi="Arial"/>
          <w:sz w:val="15"/>
          <w:szCs w:val="15"/>
          <w:color w:val="auto"/>
        </w:rPr>
      </w:pPr>
    </w:p>
    <w:p>
      <w:pPr>
        <w:ind w:left="1460" w:hanging="157"/>
        <w:spacing w:after="0" w:line="236" w:lineRule="auto"/>
        <w:tabs>
          <w:tab w:leader="none" w:pos="14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53" w:hanging="153"/>
        <w:spacing w:after="0" w:line="237" w:lineRule="auto"/>
        <w:tabs>
          <w:tab w:leader="none" w:pos="1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Delaware law provides that a parent corporation, by resolution of its board of directors and without any stockholder vote, may merge with any subsidiary of which it owns at least 90% of each class of its capital stock. Upon any such merger, and in the event the parent corporate does not own all of the stock of the subsidiary, dissenting stockholders of the subsidiary are entitled to certain appraisal rights.</w:t>
      </w:r>
    </w:p>
    <w:p>
      <w:pPr>
        <w:spacing w:after="0" w:line="174" w:lineRule="exact"/>
        <w:rPr>
          <w:rFonts w:ascii="Arial" w:cs="Arial" w:eastAsia="Arial" w:hAnsi="Arial"/>
          <w:sz w:val="16"/>
          <w:szCs w:val="16"/>
          <w:color w:val="auto"/>
        </w:rPr>
      </w:pPr>
    </w:p>
    <w:p>
      <w:pPr>
        <w:ind w:left="153" w:right="80" w:hanging="153"/>
        <w:spacing w:after="0" w:line="237" w:lineRule="auto"/>
        <w:tabs>
          <w:tab w:leader="none" w:pos="1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Delaware law also provides, subject to certain exceptions, that if a person acquires 15% of voting stock of a company or is an affiliate or associate of the corporation and owned 15% of voting stock within a 3-year period, the person is an "interested stockholder" and may not engage in "business combinations" with the company for a period of three years from the time the person acquired 15% or more of voting stock.</w:t>
      </w:r>
    </w:p>
    <w:p>
      <w:pPr>
        <w:spacing w:after="0" w:line="3443" w:lineRule="exact"/>
        <w:rPr>
          <w:sz w:val="20"/>
          <w:szCs w:val="20"/>
          <w:color w:val="auto"/>
        </w:rPr>
      </w:pPr>
    </w:p>
    <w:p>
      <w:pPr>
        <w:sectPr>
          <w:pgSz w:w="11900" w:h="16838" w:orient="portrait"/>
          <w:cols w:equalWidth="0" w:num="2">
            <w:col w:w="5500" w:space="407"/>
            <w:col w:w="4353"/>
          </w:cols>
          <w:pgMar w:left="240" w:top="143" w:right="139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type w:val="continuous"/>
        </w:sectPr>
      </w:pPr>
    </w:p>
    <w:bookmarkStart w:id="200" w:name="page201"/>
    <w:bookmarkEnd w:id="2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jc w:val="both"/>
        <w:ind w:left="3000"/>
        <w:spacing w:after="0"/>
        <w:tabs>
          <w:tab w:leader="none" w:pos="7740" w:val="left"/>
        </w:tabs>
        <w:rPr>
          <w:sz w:val="20"/>
          <w:szCs w:val="20"/>
          <w:color w:val="auto"/>
        </w:rPr>
      </w:pPr>
      <w:r>
        <w:rPr>
          <w:rFonts w:ascii="Arial" w:cs="Arial" w:eastAsia="Arial" w:hAnsi="Arial"/>
          <w:sz w:val="16"/>
          <w:szCs w:val="16"/>
          <w:b w:val="1"/>
          <w:bCs w:val="1"/>
          <w:color w:val="auto"/>
        </w:rPr>
        <w:t>Bermuda</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80580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05805" cy="15240"/>
                    </a:xfrm>
                    <a:prstGeom prst="rect">
                      <a:avLst/>
                    </a:prstGeom>
                    <a:noFill/>
                  </pic:spPr>
                </pic:pic>
              </a:graphicData>
            </a:graphic>
          </wp:anchor>
        </w:drawing>
      </w:r>
    </w:p>
    <w:p>
      <w:pPr>
        <w:spacing w:after="0" w:line="9" w:lineRule="exact"/>
        <w:rPr>
          <w:sz w:val="20"/>
          <w:szCs w:val="20"/>
          <w:color w:val="auto"/>
        </w:rPr>
      </w:pPr>
    </w:p>
    <w:p>
      <w:pPr>
        <w:ind w:left="1460" w:right="4760" w:hanging="157"/>
        <w:spacing w:after="0" w:line="253"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ectPr>
          <w:pgSz w:w="11900" w:h="16838" w:orient="portrait"/>
          <w:cols w:equalWidth="0" w:num="1">
            <w:col w:w="10260"/>
          </w:cols>
          <w:pgMar w:left="240" w:top="143" w:right="1399" w:bottom="1440" w:gutter="0" w:footer="0" w:header="0"/>
        </w:sectPr>
      </w:pPr>
    </w:p>
    <w:p>
      <w:pPr>
        <w:spacing w:after="0" w:line="3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Dissenter's Rights of Appraisal</w:t>
      </w:r>
    </w:p>
    <w:p>
      <w:pPr>
        <w:spacing w:after="0" w:line="196" w:lineRule="exact"/>
        <w:rPr>
          <w:sz w:val="20"/>
          <w:szCs w:val="20"/>
          <w:color w:val="auto"/>
        </w:rPr>
      </w:pPr>
    </w:p>
    <w:p>
      <w:pPr>
        <w:ind w:left="1300" w:hanging="158"/>
        <w:spacing w:after="0" w:line="238" w:lineRule="auto"/>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dissenting shareholder (that did not vote in favor of the amalgamation or merger) of a Bermuda exempted company is entitled to be paid the fair value of his or her shares in an amalgamation or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 w:hanging="153"/>
        <w:spacing w:after="0" w:line="239" w:lineRule="auto"/>
        <w:tabs>
          <w:tab w:leader="none" w:pos="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 limited exceptions, appraisal rights shall be available for the shares of any class or series of stock of a corporation in a merger or consolidation.</w:t>
      </w:r>
    </w:p>
    <w:p>
      <w:pPr>
        <w:spacing w:after="0" w:line="355" w:lineRule="exact"/>
        <w:rPr>
          <w:rFonts w:ascii="Arial" w:cs="Arial" w:eastAsia="Arial" w:hAnsi="Arial"/>
          <w:sz w:val="16"/>
          <w:szCs w:val="16"/>
          <w:color w:val="auto"/>
        </w:rPr>
      </w:pPr>
    </w:p>
    <w:p>
      <w:pPr>
        <w:ind w:left="480" w:right="100" w:hanging="153"/>
        <w:spacing w:after="0" w:line="237" w:lineRule="auto"/>
        <w:tabs>
          <w:tab w:leader="none" w:pos="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certificate of incorporation may provide that appraisal rights are available for shares as a result of an amendment to the certificate of incorporation, any merger or consolidation or the sale of all or substantially all of the assets.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5460" w:space="120"/>
            <w:col w:w="4680"/>
          </w:cols>
          <w:pgMar w:left="240" w:top="143" w:right="1399" w:bottom="1440" w:gutter="0" w:footer="0" w:header="0"/>
          <w:type w:val="continuous"/>
        </w:sectPr>
      </w:pPr>
    </w:p>
    <w:bookmarkStart w:id="201" w:name="page202"/>
    <w:bookmarkEnd w:id="2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Dissolution</w:t>
      </w:r>
    </w:p>
    <w:p>
      <w:pPr>
        <w:spacing w:after="0" w:line="195" w:lineRule="exact"/>
        <w:rPr>
          <w:sz w:val="20"/>
          <w:szCs w:val="20"/>
          <w:color w:val="auto"/>
        </w:rPr>
      </w:pPr>
    </w:p>
    <w:p>
      <w:pPr>
        <w:ind w:left="1300" w:hanging="158"/>
        <w:spacing w:after="0" w:line="236" w:lineRule="auto"/>
        <w:tabs>
          <w:tab w:leader="none" w:pos="13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Under Bermuda law, a solvent company may be wound up by way of a shareholders' voluntary liquidation. Prior to the company entering liquidation, a majority of the directors shall each make a statutory declaration, which states that the directors have made a full enquiry into the affairs of the company and have formed the opinion that the company will be able to pay its debts within a period of 12 months of the commencement of the winding up and must file the statutory declaration with the Registrar of Companies in Bermuda. The general meeting will be convened primarily for the purposes of passing a resolution that the company be wound up voluntarily and appointing a liquidator. The winding up of the company is deemed to commence at the time of the passing of the resolution.</w:t>
      </w:r>
    </w:p>
    <w:p>
      <w:pPr>
        <w:spacing w:after="0" w:line="34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Shareholders' Derivative Actions</w:t>
      </w:r>
    </w:p>
    <w:p>
      <w:pPr>
        <w:spacing w:after="0" w:line="196" w:lineRule="exact"/>
        <w:rPr>
          <w:sz w:val="20"/>
          <w:szCs w:val="20"/>
          <w:color w:val="auto"/>
        </w:rPr>
      </w:pPr>
    </w:p>
    <w:p>
      <w:pPr>
        <w:ind w:left="1300" w:hanging="158"/>
        <w:spacing w:after="0" w:line="253" w:lineRule="auto"/>
        <w:tabs>
          <w:tab w:leader="none" w:pos="1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Class actions and derivative actions are generally not available to shareholders under Bermuda law.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153" w:hanging="153"/>
        <w:spacing w:after="0"/>
        <w:tabs>
          <w:tab w:leader="none" w:pos="15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Under Delaware law, a corporation may voluntarily dissolve</w:t>
      </w:r>
    </w:p>
    <w:p>
      <w:pPr>
        <w:spacing w:after="0" w:line="8" w:lineRule="exact"/>
        <w:rPr>
          <w:rFonts w:ascii="Arial" w:cs="Arial" w:eastAsia="Arial" w:hAnsi="Arial"/>
          <w:sz w:val="15"/>
          <w:szCs w:val="15"/>
          <w:color w:val="auto"/>
        </w:rPr>
      </w:pPr>
    </w:p>
    <w:p>
      <w:pPr>
        <w:ind w:left="153" w:right="39" w:firstLine="8"/>
        <w:spacing w:after="0" w:line="237" w:lineRule="auto"/>
        <w:tabs>
          <w:tab w:leader="none" w:pos="38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a majority of the board of directors adopts a resolution to that effect and the holders of a majority of the issued and outstanding shares entitled to vote thereon vote for such dissolution; or (2) if all stockholders entitled to vote thereon consent in writing to such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3" w:right="39" w:hanging="153"/>
        <w:spacing w:after="0" w:line="237" w:lineRule="auto"/>
        <w:tabs>
          <w:tab w:leader="none" w:pos="15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derivative suit instituted by a stockholder of a corporation, it shall be averred in the complaint that the plaintiff was a stockholder of the corporation at the time of the transaction of which such stockholder complains or that such stockholder's stock thereafter devolved upon the stockholder by operation of law.</w:t>
      </w:r>
    </w:p>
    <w:p>
      <w:pPr>
        <w:spacing w:after="0" w:line="1454" w:lineRule="exact"/>
        <w:rPr>
          <w:sz w:val="20"/>
          <w:szCs w:val="20"/>
          <w:color w:val="auto"/>
        </w:rPr>
      </w:pPr>
    </w:p>
    <w:p>
      <w:pPr>
        <w:sectPr>
          <w:pgSz w:w="11900" w:h="16838" w:orient="portrait"/>
          <w:cols w:equalWidth="0" w:num="2">
            <w:col w:w="5520" w:space="387"/>
            <w:col w:w="4312"/>
          </w:cols>
          <w:pgMar w:left="240" w:top="143" w:right="1440" w:bottom="1440" w:gutter="0" w:footer="0" w:header="0"/>
        </w:sectPr>
      </w:pPr>
    </w:p>
    <w:p>
      <w:pPr>
        <w:ind w:left="5580"/>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type w:val="continuous"/>
        </w:sectPr>
      </w:pPr>
    </w:p>
    <w:bookmarkStart w:id="202" w:name="page203"/>
    <w:bookmarkEnd w:id="2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MATERIAL BERMUDA AND U.S. FEDERAL INCOME TAX CONSIDERATIONS</w:t>
      </w:r>
    </w:p>
    <w:p>
      <w:pPr>
        <w:spacing w:after="0" w:line="194" w:lineRule="exact"/>
        <w:rPr>
          <w:sz w:val="20"/>
          <w:szCs w:val="20"/>
          <w:color w:val="auto"/>
        </w:rPr>
      </w:pPr>
    </w:p>
    <w:p>
      <w:pPr>
        <w:ind w:right="20" w:firstLine="436"/>
        <w:spacing w:after="0" w:line="262" w:lineRule="auto"/>
        <w:rPr>
          <w:sz w:val="20"/>
          <w:szCs w:val="20"/>
          <w:color w:val="auto"/>
        </w:rPr>
      </w:pPr>
      <w:r>
        <w:rPr>
          <w:rFonts w:ascii="Arial" w:cs="Arial" w:eastAsia="Arial" w:hAnsi="Arial"/>
          <w:sz w:val="16"/>
          <w:szCs w:val="16"/>
          <w:i w:val="1"/>
          <w:iCs w:val="1"/>
          <w:color w:val="auto"/>
        </w:rPr>
        <w:t>The following is a discussion of the material Bermuda and U.S. federal income tax considerations that may be relevant to an investment decision by a potential investor with respect to our common shares.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Bermuda Tax Considerations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the Company</w:t>
      </w:r>
    </w:p>
    <w:p>
      <w:pPr>
        <w:spacing w:after="0" w:line="208" w:lineRule="exact"/>
        <w:rPr>
          <w:sz w:val="20"/>
          <w:szCs w:val="20"/>
          <w:color w:val="auto"/>
        </w:rPr>
      </w:pPr>
    </w:p>
    <w:p>
      <w:pPr>
        <w:ind w:right="20" w:firstLine="436"/>
        <w:spacing w:after="0" w:line="254" w:lineRule="auto"/>
        <w:rPr>
          <w:sz w:val="20"/>
          <w:szCs w:val="20"/>
          <w:color w:val="auto"/>
        </w:rPr>
      </w:pPr>
      <w:r>
        <w:rPr>
          <w:rFonts w:ascii="Arial" w:cs="Arial" w:eastAsia="Arial" w:hAnsi="Arial"/>
          <w:sz w:val="15"/>
          <w:szCs w:val="15"/>
          <w:color w:val="auto"/>
        </w:rPr>
        <w:t>Under current Bermuda law, there is no income, corporate or profits tax or withholding tax, capital gains tax or capital transfer tax, estate or inheritance tax payable by us or our shareholders, other than shareholders ordinarily resident in Bermuda, if any. The Company has received from the Minister of Finance under The Exempted Undertaking Tax Protection Act 1966, as amended, an assurance that, in the event that Bermuda enacts legislation imposing tax computed on profits, income, any capital asset, gain or appreciation, or any tax in the nature of estate duty or inheritance, then the imposition of any such tax will not be applicable to the Company or to any of their operations or their shares, debentures or other obligations, until March 31, 2035. This assurance is subject to the proviso that it is not to be construed so as to prevent the application of any tax or duty to such persons as are ordinarily resident in Bermuda or to prevent the application of any tax payable in accordance with the provisions of the Land Tax Act 1967 or otherwise payable in relation to any property leased to the Company. The Company pays annual Bermuda government fees which fees are calculated on a sliding scale based on the assessable capital of the company. In addition, all entities employing individuals in Bermuda are required to pay a payroll tax and there are other sundry taxes payable, directly or indirectly, to the Bermuda government.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Shareholders</w:t>
      </w:r>
    </w:p>
    <w:p>
      <w:pPr>
        <w:spacing w:after="0" w:line="208"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Currently, there is no Bermuda income, corporate or profits tax or withholding tax, capital gains tax or capital transfer tax, estate or inheritance tax payable by holders of our shares, other than shareholders ordinarily resident in Bermuda, if 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U.S. Federal Income Tax Considerations to U.S. Holders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following discussion describes the material U.S. federal income tax consequences to U.S. Holders (as defined below) under present law of an investment in the Class A common shares. The effects of any applicable state or local laws, or other U.S. federal tax laws such as estate and gift tax laws, or the alternative minimum tax or the Medicare contribution tax on net investment income, are not discussed. This summary applies only to investors who acquire the Class A common shares in exchange for cash, hold the Class A common shares as capital assets (generally, property held for investment) and who have the U.S. dollar as their functional currency. This discussion is based on the U.S. Internal Revenue Code of 1986, as amended, or the Code, U.S. Treasury regulations promulgated thereunder, judicial decisions, published rulings and administrative pronouncements of the U.S. Internal Revenue Service, or the IRS, all as in effect as of the date of this prospectus. All of the foregoing authorities are subject to change, which change could apply retroactively and could affect the tax consequences described below.</w:t>
      </w:r>
    </w:p>
    <w:p>
      <w:pPr>
        <w:spacing w:after="0" w:line="187" w:lineRule="exact"/>
        <w:rPr>
          <w:sz w:val="20"/>
          <w:szCs w:val="20"/>
          <w:color w:val="auto"/>
        </w:rPr>
      </w:pPr>
    </w:p>
    <w:p>
      <w:pPr>
        <w:ind w:right="280" w:firstLine="433"/>
        <w:spacing w:after="0" w:line="241" w:lineRule="auto"/>
        <w:rPr>
          <w:sz w:val="20"/>
          <w:szCs w:val="20"/>
          <w:color w:val="auto"/>
        </w:rPr>
      </w:pPr>
      <w:r>
        <w:rPr>
          <w:rFonts w:ascii="Arial" w:cs="Arial" w:eastAsia="Arial" w:hAnsi="Arial"/>
          <w:sz w:val="16"/>
          <w:szCs w:val="16"/>
          <w:color w:val="auto"/>
        </w:rPr>
        <w:t>The following discussion does not address all U.S. federal income tax consequences relevant to a holder's particular circumstances or to holders subject to particular rules, including:</w:t>
      </w:r>
    </w:p>
    <w:p>
      <w:pPr>
        <w:spacing w:after="0" w:line="185" w:lineRule="exact"/>
        <w:rPr>
          <w:sz w:val="20"/>
          <w:szCs w:val="20"/>
          <w:color w:val="auto"/>
        </w:rPr>
      </w:pPr>
    </w:p>
    <w:p>
      <w:pPr>
        <w:ind w:left="960" w:hanging="481"/>
        <w:spacing w:after="0"/>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U.S. expatriates and certain former citizens or long-term residents of the United States;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persons whose functional currency is not the U.S. dollar;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03" w:name="page204"/>
    <w:bookmarkEnd w:id="2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60" w:hanging="481"/>
        <w:spacing w:after="0" w:line="24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holding Class A common shares as part of a hedge, straddle or other risk reduction strategy or as part of a conversion transaction or other integrated investment;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brokers, dealers or traders in securities, commodities or currencies;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 corporations or entities or arrangements treated as partnerships for U.S. federal income tax purposes;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individual retirement accounts or other tax deferred accounts;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who acquired the Class A common shares pursuant to the exercise of any employee share option or otherwise as compensation;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that own or are deemed to own 10% or more of our stock by vote or value;</w:t>
      </w:r>
    </w:p>
    <w:p>
      <w:pPr>
        <w:spacing w:after="0" w:line="177" w:lineRule="exact"/>
        <w:rPr>
          <w:rFonts w:ascii="Arial" w:cs="Arial" w:eastAsia="Arial" w:hAnsi="Arial"/>
          <w:sz w:val="16"/>
          <w:szCs w:val="16"/>
          <w:color w:val="auto"/>
        </w:rPr>
      </w:pPr>
    </w:p>
    <w:p>
      <w:pPr>
        <w:ind w:left="960" w:right="240" w:hanging="481"/>
        <w:spacing w:after="0" w:line="24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the Class A common shares being taken into account in an applicable financial statement;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that hold Class A common shares through a permanent establishment or fixed base outside the United States;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deemed to sell Class A common shares under the constructive sale provisions of the Code.</w:t>
      </w:r>
    </w:p>
    <w:p>
      <w:pPr>
        <w:spacing w:after="0" w:line="19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believe we are a "controlled foreign corporation" for U.S. federal income tax purposes, and therefore, if you are a U.S. shareholder owning 10% or more of our stock by vote or value directly, indirectly or constructively, the U.S. federal income tax consequences to you of owning our Class A common shares may be significantly different than those described below. If you own 10% or more of our stock by vote or value directly, indirectly or constructively, you should consult your tax advisors regarding the U.S. federal income tax consequence of your investment in our Class A common shares.</w:t>
      </w:r>
    </w:p>
    <w:p>
      <w:pPr>
        <w:spacing w:after="0" w:line="167" w:lineRule="exact"/>
        <w:rPr>
          <w:sz w:val="20"/>
          <w:szCs w:val="20"/>
          <w:color w:val="auto"/>
        </w:rPr>
      </w:pPr>
    </w:p>
    <w:p>
      <w:pPr>
        <w:jc w:val="both"/>
        <w:ind w:right="560"/>
        <w:spacing w:after="0" w:line="251" w:lineRule="auto"/>
        <w:rPr>
          <w:sz w:val="20"/>
          <w:szCs w:val="20"/>
          <w:color w:val="auto"/>
        </w:rPr>
      </w:pPr>
      <w:r>
        <w:rPr>
          <w:rFonts w:ascii="Arial" w:cs="Arial" w:eastAsia="Arial" w:hAnsi="Arial"/>
          <w:sz w:val="16"/>
          <w:szCs w:val="16"/>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CLASS A COMMON SHARES.</w:t>
      </w:r>
    </w:p>
    <w:p>
      <w:pPr>
        <w:spacing w:after="0" w:line="179"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For purposes of this discussion, a "U.S. Holder" is a beneficial owner of Class A common shares that, for U.S. federal income tax purposes, is or is treated as any of the following:</w:t>
      </w:r>
    </w:p>
    <w:p>
      <w:pPr>
        <w:spacing w:after="0" w:line="185" w:lineRule="exact"/>
        <w:rPr>
          <w:sz w:val="20"/>
          <w:szCs w:val="20"/>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89" w:lineRule="exact"/>
        <w:rPr>
          <w:rFonts w:ascii="Arial" w:cs="Arial" w:eastAsia="Arial" w:hAnsi="Arial"/>
          <w:sz w:val="16"/>
          <w:szCs w:val="16"/>
          <w:color w:val="auto"/>
        </w:rPr>
      </w:pPr>
    </w:p>
    <w:p>
      <w:pPr>
        <w:ind w:left="960" w:right="100" w:hanging="481"/>
        <w:spacing w:after="0" w:line="241" w:lineRule="auto"/>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corporation (or another entity taxable as a corporation) created or organized under the laws of the United States, any state thereof, or the District of Columbia;</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trust that (1) is subject to the supervision of a U.S. court and the control of one or more "United States persons" (within the meaning of</w:t>
      </w:r>
    </w:p>
    <w:p>
      <w:pPr>
        <w:ind w:left="960"/>
        <w:spacing w:after="0"/>
        <w:rPr>
          <w:rFonts w:ascii="Arial" w:cs="Arial" w:eastAsia="Arial" w:hAnsi="Arial"/>
          <w:sz w:val="16"/>
          <w:szCs w:val="16"/>
          <w:color w:val="auto"/>
        </w:rPr>
      </w:pPr>
      <w:r>
        <w:rPr>
          <w:rFonts w:ascii="Arial" w:cs="Arial" w:eastAsia="Arial" w:hAnsi="Arial"/>
          <w:sz w:val="16"/>
          <w:szCs w:val="16"/>
          <w:color w:val="auto"/>
        </w:rPr>
        <w:t>Section 7701(a)(30) of the Code), or (2) has a valid election in effect to be treated as a United States person for U.S. federal income tax purposes.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4" w:name="page205"/>
    <w:bookmarkEnd w:id="2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If you are an entity taxable as a partnership for U.S. federal income tax purposes that holds Class A common shares, your tax treatment generally will depend on your status and the activities of the partnership. Partnerships holding Class A common shares and the partners in such partnerships should consult their tax advisors regarding the U.S. federal income tax consequences applicable to them.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Dividends and Other Distributions on the Class A Common Shares</w:t>
      </w:r>
    </w:p>
    <w:p>
      <w:pPr>
        <w:spacing w:after="0" w:line="210"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discussion in this section "Taxation of Dividends and Other Distributions on the Class A Common Shares" is subject to the discussion regarding passive foreign investment companies below. As discussed above under "Dividend Policy," the Company does not currently intend to declare dividends on the Class A common shares in the foreseeable future. In the event the Company does pay dividends, the gross amount of any distribution to you with respect to the Class A common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Class A common shares, and to the extent the amount of the distribution exceeds your tax basis, the excess will be taxed as capital gain. We do not intend to calculate our earnings and profits under U.S. federal income tax principles. Therefore, a U.S. Holder should expect that distributions will generally be reported as ordinary dividend income for such purposes. Dividends we pay will not be eligible for the dividends-received deduction available to corporations in respect of dividends received from U.S. corporations.</w:t>
      </w:r>
    </w:p>
    <w:p>
      <w:pPr>
        <w:spacing w:after="0" w:line="18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Subject to certain limitations, dividends paid by qualified foreign corporations to certain non-corporate U.S. Holders may be taxable at preferential tax rates. A non-U.S. corporation is generally treated as a qualified foreign corporation with respect to dividends paid on stock that is readily tradable on a securities market in the United States, such as Nasdaq, on which the Company has been approved to list the Class A common shares. However, the preferential tax rates discussed above will not apply if we are treated as a passive foreign investment company with respect to the U.S. Holder for the taxable year in which a dividend is paid or the preceding year. Non-corporate U.S. Holders should consult their tax advisers regarding the availability of the reduced tax rate on dividends. Dividends will be included in a U.S. Holder's income on the date of the U.S. Holder's receipt of the dividend.</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Dividends will generally constitute foreign source income for foreign tax credit limitation purposes. Any tax withheld with respect to distributions on the Class A common shares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the Class A common shares generally will constitute "passive category income." The rules with respect to the foreign tax credit are complex and may depend upon a U.S. Holder's particular circumstances. You should consult your tax advisor regarding the availability of the foreign tax credit under your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Disposition of the Class A Common Shares</w:t>
      </w:r>
    </w:p>
    <w:p>
      <w:pPr>
        <w:spacing w:after="0" w:line="210"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discussion in this section "Taxation of Dispositions of Class A Common Shares" is subject to the discussion regarding passive foreign investment companies below. You will recognize gain or loss on any sale, exchange or other taxable disposition of Class A common shares equal to the difference between the amount realized (in U.S. dollars) on the disposition and your tax basis (in U.S. dollars) in the Class A common shares. Any such gain or loss will be capital gain or loss,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5" w:name="page206"/>
    <w:bookmarkEnd w:id="2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will be long-term capital gain or loss if you have held the Class A common shares for more than one year at the time of the disposition. Otherwise, such gain or loss will be short-term capital gain or loss. Long-term capital gains recognized by certain non-corporate U.S. Holders, including individuals, generally will be taxable at reduced rates.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Passive Foreign Investment Company</w:t>
      </w:r>
    </w:p>
    <w:p>
      <w:pPr>
        <w:spacing w:after="0" w:line="210"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Because we do not expect to earn revenue from our business operations during the current taxable year, and because our sole source of income currently is interest on bank accounts, we believe we will likely be a PFIC for our current taxable year. A non-U.S. corporation will be classified as a PFIC for any taxable year in which, after applying certain look-through rules, either:</w:t>
      </w:r>
    </w:p>
    <w:p>
      <w:pPr>
        <w:spacing w:after="0" w:line="186" w:lineRule="exact"/>
        <w:rPr>
          <w:sz w:val="20"/>
          <w:szCs w:val="20"/>
          <w:color w:val="auto"/>
        </w:rPr>
      </w:pPr>
    </w:p>
    <w:p>
      <w:pPr>
        <w:ind w:left="960" w:hanging="481"/>
        <w:spacing w:after="0"/>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at least 75% of its gross income for such taxable year is passive income, or</w:t>
      </w:r>
    </w:p>
    <w:p>
      <w:pPr>
        <w:spacing w:after="0" w:line="189"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at least 50% of the value of its assets (based on an average of the quarterly values of the assets during a taxable year) is attributable to assets that produce or are held for the production of passive income.</w:t>
      </w:r>
    </w:p>
    <w:p>
      <w:pPr>
        <w:spacing w:after="0" w:line="185"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7" w:lineRule="exact"/>
        <w:rPr>
          <w:sz w:val="20"/>
          <w:szCs w:val="20"/>
          <w:color w:val="auto"/>
        </w:rPr>
      </w:pPr>
    </w:p>
    <w:p>
      <w:pPr>
        <w:ind w:right="80" w:firstLine="427"/>
        <w:spacing w:after="0" w:line="238" w:lineRule="auto"/>
        <w:rPr>
          <w:sz w:val="20"/>
          <w:szCs w:val="20"/>
          <w:color w:val="auto"/>
        </w:rPr>
      </w:pPr>
      <w:r>
        <w:rPr>
          <w:rFonts w:ascii="Arial" w:cs="Arial" w:eastAsia="Arial" w:hAnsi="Arial"/>
          <w:sz w:val="16"/>
          <w:szCs w:val="16"/>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Class A common shares, our PFIC status will depend in large part on the market price of the Class A common shares, which may fluctuate significantly. In addition, changes in the composition of our income or assets may cause us to become a PFIC.</w:t>
      </w:r>
    </w:p>
    <w:p>
      <w:pPr>
        <w:spacing w:after="0" w:line="187"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If we are classified as a PFIC in any year with respect to which a U.S. Holder owns Class A common shares, we will continue to be treated as a PFIC with respect to such U.S. Holder in all succeeding years during which the U.S. Holder owns the Class A common shares, regardless of whether we continue to meet the tests described above unless we cease to be a PFIC and the U.S. Holder (1) has made a "deemed sale" election under the PFIC rules, (2) the U.S. Holder has a valid mark-to-market election in effect (as described below) or (3) the U.S. Holder makes a QEF Election (defined below) with respect to all taxable years in which we are a PFIC during such U.S. Holder's holding period in which we are a PFIC or makes a purging election to cause a deemed sale of the PFIC shares at their fair market value in conjunction with a QEF Election (see discussion below regarding such elections). If a U.S. Holder makes a deemed sale election, such U.S. Holder will be deemed to have sold the common shares held by such U.S. Holder at their fair market value, and any gain from such deemed sale would be subject to the rules described below. After the deemed sale election, so long as we do not become a PFIC in a subsequent taxable year, a U.S. Holder's Class A common shares subject to such election will not be treated as shares in a PFIC, and the rules described below with respect to any "excess distributions" or any gain from an actual sale or other disposition of the Class A common shares will not apply. U.S. Holders should consult their tax advisors as to the possibility and consequences of making a deemed sale election if we cease to be a PFIC.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6" w:name="page207"/>
    <w:bookmarkEnd w:id="2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you receive and any gain you realize from a sale or other disposition (including a pledge) of Class A common shares, unless you (i) make a QEF Election (as defined below) with respect to all taxable years of your holding period during which we are a PFIC (as discussed below) or make a purging election to cause a deemed sale of the PFIC shares at their fair market value in conjunction with a QEF Election (see discussion below regarding such elections) or (ii) make a "mark-to-market" election as discussed below. Distributions you receive in a taxable year that are greater than 125% of the average annual distributions you received during the shorter of the three preceding taxable years or your holding period for the Class A common shares will be treated as an excess distribution. Under these special tax rules, if you receive any excess distribution or realize any gain from a sale or other disposition of the Class A common shares:</w:t>
      </w:r>
    </w:p>
    <w:p>
      <w:pPr>
        <w:spacing w:after="0" w:line="188" w:lineRule="exact"/>
        <w:rPr>
          <w:sz w:val="20"/>
          <w:szCs w:val="20"/>
          <w:color w:val="auto"/>
        </w:rPr>
      </w:pPr>
    </w:p>
    <w:p>
      <w:pPr>
        <w:ind w:left="960" w:hanging="481"/>
        <w:spacing w:after="0"/>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excess distribution or gain will be allocated ratably over your holding period for the Class A common shares,</w:t>
      </w:r>
    </w:p>
    <w:p>
      <w:pPr>
        <w:spacing w:after="0" w:line="189" w:lineRule="exact"/>
        <w:rPr>
          <w:rFonts w:ascii="Arial" w:cs="Arial" w:eastAsia="Arial" w:hAnsi="Arial"/>
          <w:sz w:val="16"/>
          <w:szCs w:val="16"/>
          <w:color w:val="auto"/>
        </w:rPr>
      </w:pPr>
    </w:p>
    <w:p>
      <w:pPr>
        <w:ind w:left="960" w:right="20" w:hanging="481"/>
        <w:spacing w:after="0" w:line="241"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taxable year before the first taxable year in which we were a PFIC, will be treated as ordinary income, and</w:t>
      </w:r>
    </w:p>
    <w:p>
      <w:pPr>
        <w:spacing w:after="0" w:line="173" w:lineRule="exact"/>
        <w:rPr>
          <w:rFonts w:ascii="Arial" w:cs="Arial" w:eastAsia="Arial" w:hAnsi="Arial"/>
          <w:sz w:val="16"/>
          <w:szCs w:val="16"/>
          <w:color w:val="auto"/>
        </w:rPr>
      </w:pPr>
    </w:p>
    <w:p>
      <w:pPr>
        <w:ind w:left="960" w:right="440" w:hanging="481"/>
        <w:spacing w:after="0" w:line="241"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in effect for that year and an interest charge generally applicable to underpayments of tax will be imposed on the resulting tax attributable to each such year.</w:t>
      </w:r>
    </w:p>
    <w:p>
      <w:pPr>
        <w:spacing w:after="0" w:line="185" w:lineRule="exact"/>
        <w:rPr>
          <w:sz w:val="20"/>
          <w:szCs w:val="20"/>
          <w:color w:val="auto"/>
        </w:rPr>
      </w:pPr>
    </w:p>
    <w:p>
      <w:pPr>
        <w:jc w:val="both"/>
        <w:ind w:right="420" w:firstLine="433"/>
        <w:spacing w:after="0" w:line="239" w:lineRule="auto"/>
        <w:rPr>
          <w:sz w:val="20"/>
          <w:szCs w:val="20"/>
          <w:color w:val="auto"/>
        </w:rPr>
      </w:pPr>
      <w:r>
        <w:rPr>
          <w:rFonts w:ascii="Arial" w:cs="Arial" w:eastAsia="Arial" w:hAnsi="Arial"/>
          <w:sz w:val="16"/>
          <w:szCs w:val="16"/>
          <w:color w:val="auto"/>
        </w:rPr>
        <w:t>The tax liability for amounts allocated to years before the year of disposition or "excess distribution" cannot be offset by any net operating losses for such years, and gains (but not losses) realized on the sale of Class A common shares cannot be treated as capital, even if you hold the Class A common shares as capital assets.</w:t>
      </w:r>
    </w:p>
    <w:p>
      <w:pPr>
        <w:spacing w:after="0" w:line="186"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If we are treated as a PFIC with respect to you for any taxable year, to the extent any of our subsidiaries are also PFICs, you will be deemed to own your proportionate share of any such lower-tier PFICs,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of our subsidiaries.</w:t>
      </w:r>
    </w:p>
    <w:p>
      <w:pPr>
        <w:spacing w:after="0" w:line="189" w:lineRule="exact"/>
        <w:rPr>
          <w:sz w:val="20"/>
          <w:szCs w:val="20"/>
          <w:color w:val="auto"/>
        </w:rPr>
      </w:pPr>
    </w:p>
    <w:p>
      <w:pPr>
        <w:ind w:right="40" w:firstLine="427"/>
        <w:spacing w:after="0" w:line="236" w:lineRule="auto"/>
        <w:rPr>
          <w:sz w:val="20"/>
          <w:szCs w:val="20"/>
          <w:color w:val="auto"/>
        </w:rPr>
      </w:pPr>
      <w:r>
        <w:rPr>
          <w:rFonts w:ascii="Arial" w:cs="Arial" w:eastAsia="Arial" w:hAnsi="Arial"/>
          <w:sz w:val="16"/>
          <w:szCs w:val="16"/>
          <w:color w:val="auto"/>
        </w:rPr>
        <w:t>A U.S. Holder of "marketable stock" (as defined below) in a PFIC may make a mark-to-market election for such stock to elect out of the general tax treatment for PFICs discussed above. If you make a mark-to-market election for the Class A common shares, you will include in income for each year we are a PFIC an amount equal to the excess, if any, of the fair market value of the Class A common shares as of the close of your taxable year over your adjusted basis in such Class A common shares. Accordingly, a mark-to-market election may accelerate the recognition of income without a corresponding receipt of cash. You are allowed a deduction for the excess, if any, of the adjusted basis of the Class A common shares over their fair market value as of the close of the taxable year. However, deductions are allowable only to the extent of any net mark-to-market gains on the Class A common shares included in your income for prior taxable years. Amounts included in your income under a mark-to-market election, as well as gain on the actual sale or other disposition of Class A common shares, are treated as ordinary income. Ordinary loss treatment also applies to the deductible portion of any mark-to-market loss on Class A common shares, as well as to any loss realized on the actual sale or disposition of Class A common shares to the extent the amount of such loss does not exceed the net mark-to-market gains previously included for the Class A common shares. Your basis in the Class A common shares will be adjusted to reflect any such income or loss amounts. If you make a valid mark-to-market election, the tax rules that apply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7" w:name="page208"/>
    <w:bookmarkEnd w:id="2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to distributions by corporations which are not PFICs would apply to distributions by us, except the lower applicable tax rates for qualified dividend income would not apply. If we cease to be a PFIC when you have a mark-to-market election in effect, gain or loss realized by you on the sale of Class A common shares will be a capital gain or loss and taxed in the manner described above under "Taxation of Disposition of the Class A Common Shares."</w:t>
      </w:r>
    </w:p>
    <w:p>
      <w:pPr>
        <w:spacing w:after="0" w:line="186" w:lineRule="exact"/>
        <w:rPr>
          <w:sz w:val="20"/>
          <w:szCs w:val="20"/>
          <w:color w:val="auto"/>
        </w:rPr>
      </w:pPr>
    </w:p>
    <w:p>
      <w:pPr>
        <w:ind w:right="20" w:firstLine="433"/>
        <w:spacing w:after="0" w:line="236"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U.S. Treasury regulations. Any trades that have as their principal purpose meeting this requirement will be disregarded. The Class A common shares have been approved for listing on The Nasdaq Global Select Market and, accordingly, provided the Class A common shares are regularly traded, if you are a holder of Class A common shares, the mark-to-market election would be available to you if we are a PFIC. Once made, the election cannot be revoked without the consent of the IRS unless the Class A common shares cease to be marketable stock. If we are a PFIC for any year in which a U.S. Holder owns Class A common shares but before a mark-to-market election is made, the interest charge rules described above will apply to any mark-to market gain recognized in the year the election is made. If any of our subsidiaries are or become PFICs, the mark-to-market election will not be available with respect to shares of such subsidiaries that are treated as owned by you. Consequently, you could be subject to the PFIC rules with respect to income of the lower-tier PFICs the value of which already had been taken into account indirectly via mark-to-market adjustments. You should consult your tax advisor as to the availability and desirability of a mark-to-market election, as well as the impact of such election on interests in any lower-tier PFICs.</w:t>
      </w:r>
    </w:p>
    <w:p>
      <w:pPr>
        <w:spacing w:after="0" w:line="193"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Alternatively, a U.S. Holder can make an election, if we provide the necessary information, to treat us and each lower-tier PFIC (if any) as a qualified electing fund (a "QEF Election") in the first taxable year we (and any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we control to provide such information.</w:t>
      </w:r>
    </w:p>
    <w:p>
      <w:pPr>
        <w:spacing w:after="0" w:line="188"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Accordingly, a QEF election may accelerate the recognition of income without a corresponding receipt of cash. If a U.S. Holder makes a QEF Election with respect to us, any distributions paid by us out of our earnings and profits that were previously included in the holder's income under the QEF Election would not be taxable to the holder. A U.S. Holder will increase its tax basis in its Class A common shares by an amount equal to any income included under the QEF Election and will decrease its tax basis by any amount distributed that is not included in the holder's income. In addition, a U.S. Holder will recognize capital gain or loss on the disposition of Class A common shares in an amount equal to the difference between the amount realized and the holder's adjusted tax basis in the Class A common shares. U.S. Holders should note that if they make QEF Elections with respect to us and any lower-tier PFICs, they may be required to pay U.S. federal income tax with respect to their Class A common shares for any taxable year significantly in excess of any cash distributions received in such taxable year. U.S. Holders should consult their tax advisors regarding making QEF Elections in their particular circumstances.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08" w:name="page209"/>
    <w:bookmarkEnd w:id="2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If we are considered a PFIC, a U.S. Holder will also be subject to annual information reporting requirements. U.S. Holders should consult their tax advisors about the potential application of the PFIC rules to an investment in Class A common shares.</w:t>
      </w:r>
    </w:p>
    <w:p>
      <w:pPr>
        <w:spacing w:after="0" w:line="165"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YOU ARE STRONGLY URGED TO CONSULT YOUR TAX ADVISOR REGARDING THE APPLICATION OF THE PFIC RULES TO YOUR INVESTMENT IN OUR Class A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10" w:lineRule="exact"/>
        <w:rPr>
          <w:sz w:val="20"/>
          <w:szCs w:val="20"/>
          <w:color w:val="auto"/>
        </w:rPr>
      </w:pPr>
    </w:p>
    <w:p>
      <w:pPr>
        <w:ind w:right="280" w:firstLine="436"/>
        <w:spacing w:after="0" w:line="262" w:lineRule="auto"/>
        <w:rPr>
          <w:sz w:val="20"/>
          <w:szCs w:val="20"/>
          <w:color w:val="auto"/>
        </w:rPr>
      </w:pPr>
      <w:r>
        <w:rPr>
          <w:rFonts w:ascii="Arial" w:cs="Arial" w:eastAsia="Arial" w:hAnsi="Arial"/>
          <w:sz w:val="15"/>
          <w:szCs w:val="15"/>
          <w:color w:val="auto"/>
        </w:rPr>
        <w:t>Dividend payments with respect to Class A common shares and proceeds from the sale, exchange or other disposition of Class A common shares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171" w:lineRule="exact"/>
        <w:rPr>
          <w:sz w:val="20"/>
          <w:szCs w:val="20"/>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fails to furnish the holder's taxpayer identification number, which for an individual is ordinarily his or her social security number;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furnishes an incorrect taxpayer identification number;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is notified by the IRS that the holder previously failed to properly report payments of interest or dividends; or</w:t>
      </w:r>
    </w:p>
    <w:p>
      <w:pPr>
        <w:spacing w:after="0" w:line="177" w:lineRule="exact"/>
        <w:rPr>
          <w:rFonts w:ascii="Arial" w:cs="Arial" w:eastAsia="Arial" w:hAnsi="Arial"/>
          <w:sz w:val="16"/>
          <w:szCs w:val="16"/>
          <w:color w:val="auto"/>
        </w:rPr>
      </w:pPr>
    </w:p>
    <w:p>
      <w:pPr>
        <w:ind w:left="960" w:right="320" w:hanging="481"/>
        <w:spacing w:after="0" w:line="241" w:lineRule="auto"/>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fails to certify under penalties of perjury that the holder has furnished a correct taxpayer identification number and that the IRS has not notified the holder that the holder is subject to backup withholding.</w:t>
      </w:r>
    </w:p>
    <w:p>
      <w:pPr>
        <w:spacing w:after="0" w:line="185" w:lineRule="exact"/>
        <w:rPr>
          <w:sz w:val="20"/>
          <w:szCs w:val="20"/>
          <w:color w:val="auto"/>
        </w:rPr>
      </w:pPr>
    </w:p>
    <w:p>
      <w:pPr>
        <w:ind w:right="400" w:firstLine="436"/>
        <w:spacing w:after="0" w:line="239"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Reporting Requirements</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Certain U.S. Holders who are individuals (and certain entities) that hold an interest in "specified foreign financial assets" (which may include the Class A common shares) are required to report information relating to such assets, subject to certain exceptions (including an exception for Class A common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Class A common shares.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09" w:name="page210"/>
    <w:bookmarkEnd w:id="2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UNDERWRITING</w:t>
      </w:r>
    </w:p>
    <w:p>
      <w:pPr>
        <w:spacing w:after="0" w:line="210" w:lineRule="exact"/>
        <w:rPr>
          <w:sz w:val="20"/>
          <w:szCs w:val="20"/>
          <w:color w:val="auto"/>
        </w:rPr>
      </w:pPr>
    </w:p>
    <w:p>
      <w:pPr>
        <w:jc w:val="both"/>
        <w:ind w:right="300" w:firstLine="433"/>
        <w:spacing w:after="0" w:line="239" w:lineRule="auto"/>
        <w:rPr>
          <w:sz w:val="20"/>
          <w:szCs w:val="20"/>
          <w:color w:val="auto"/>
        </w:rPr>
      </w:pPr>
      <w:r>
        <w:rPr>
          <w:rFonts w:ascii="Arial" w:cs="Arial" w:eastAsia="Arial" w:hAnsi="Arial"/>
          <w:sz w:val="16"/>
          <w:szCs w:val="16"/>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r>
      <w:tr>
        <w:trPr>
          <w:trHeight w:val="174"/>
        </w:trPr>
        <w:tc>
          <w:tcPr>
            <w:tcW w:w="6620" w:type="dxa"/>
            <w:vAlign w:val="bottom"/>
            <w:gridSpan w:val="3"/>
          </w:tcPr>
          <w:p>
            <w:pPr>
              <w:ind w:left="2760"/>
              <w:spacing w:after="0" w:line="174" w:lineRule="exact"/>
              <w:rPr>
                <w:sz w:val="20"/>
                <w:szCs w:val="20"/>
                <w:color w:val="auto"/>
              </w:rPr>
            </w:pPr>
            <w:r>
              <w:rPr>
                <w:rFonts w:ascii="Arial" w:cs="Arial" w:eastAsia="Arial" w:hAnsi="Arial"/>
                <w:sz w:val="16"/>
                <w:szCs w:val="16"/>
                <w:b w:val="1"/>
                <w:bCs w:val="1"/>
                <w:color w:val="auto"/>
              </w:rPr>
              <w:t>Underwriters</w:t>
            </w:r>
          </w:p>
        </w:tc>
        <w:tc>
          <w:tcPr>
            <w:tcW w:w="138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8"/>
              </w:rPr>
              <w:t>of Shares</w:t>
            </w:r>
          </w:p>
        </w:tc>
      </w:tr>
      <w:tr>
        <w:trPr>
          <w:trHeight w:val="20"/>
        </w:trPr>
        <w:tc>
          <w:tcPr>
            <w:tcW w:w="27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9"/>
        </w:trPr>
        <w:tc>
          <w:tcPr>
            <w:tcW w:w="6620" w:type="dxa"/>
            <w:vAlign w:val="bottom"/>
            <w:gridSpan w:val="3"/>
            <w:shd w:val="clear" w:color="auto" w:fill="CCEEFF"/>
          </w:tcPr>
          <w:p>
            <w:pPr>
              <w:ind w:left="180"/>
              <w:spacing w:after="0" w:line="169" w:lineRule="exact"/>
              <w:rPr>
                <w:sz w:val="20"/>
                <w:szCs w:val="20"/>
                <w:color w:val="auto"/>
              </w:rPr>
            </w:pPr>
            <w:r>
              <w:rPr>
                <w:rFonts w:ascii="Arial" w:cs="Arial" w:eastAsia="Arial" w:hAnsi="Arial"/>
                <w:sz w:val="16"/>
                <w:szCs w:val="16"/>
                <w:color w:val="auto"/>
              </w:rPr>
              <w:t>Goldman Sachs &amp; Co. LLC</w:t>
            </w:r>
          </w:p>
        </w:tc>
        <w:tc>
          <w:tcPr>
            <w:tcW w:w="138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5"/>
              </w:rPr>
              <w:t>3,391,112</w:t>
            </w:r>
          </w:p>
        </w:tc>
      </w:tr>
      <w:tr>
        <w:trPr>
          <w:trHeight w:val="181"/>
        </w:trPr>
        <w:tc>
          <w:tcPr>
            <w:tcW w:w="6620" w:type="dxa"/>
            <w:vAlign w:val="bottom"/>
            <w:gridSpan w:val="3"/>
          </w:tcPr>
          <w:p>
            <w:pPr>
              <w:ind w:left="180"/>
              <w:spacing w:after="0" w:line="181" w:lineRule="exact"/>
              <w:rPr>
                <w:sz w:val="20"/>
                <w:szCs w:val="20"/>
                <w:color w:val="auto"/>
              </w:rPr>
            </w:pPr>
            <w:r>
              <w:rPr>
                <w:rFonts w:ascii="Arial" w:cs="Arial" w:eastAsia="Arial" w:hAnsi="Arial"/>
                <w:sz w:val="16"/>
                <w:szCs w:val="16"/>
                <w:color w:val="auto"/>
              </w:rPr>
              <w:t>J.P. Morgan Securities LLC</w:t>
            </w:r>
          </w:p>
        </w:tc>
        <w:tc>
          <w:tcPr>
            <w:tcW w:w="1380" w:type="dxa"/>
            <w:vAlign w:val="bottom"/>
          </w:tcPr>
          <w:p>
            <w:pPr>
              <w:jc w:val="center"/>
              <w:spacing w:after="0" w:line="181" w:lineRule="exact"/>
              <w:rPr>
                <w:sz w:val="20"/>
                <w:szCs w:val="20"/>
                <w:color w:val="auto"/>
              </w:rPr>
            </w:pPr>
            <w:r>
              <w:rPr>
                <w:rFonts w:ascii="Arial" w:cs="Arial" w:eastAsia="Arial" w:hAnsi="Arial"/>
                <w:sz w:val="16"/>
                <w:szCs w:val="16"/>
                <w:color w:val="auto"/>
                <w:w w:val="95"/>
              </w:rPr>
              <w:t>3,391,111</w:t>
            </w:r>
          </w:p>
        </w:tc>
      </w:tr>
      <w:tr>
        <w:trPr>
          <w:trHeight w:val="181"/>
        </w:trPr>
        <w:tc>
          <w:tcPr>
            <w:tcW w:w="6620" w:type="dxa"/>
            <w:vAlign w:val="bottom"/>
            <w:gridSpan w:val="3"/>
            <w:shd w:val="clear" w:color="auto" w:fill="CCEEFF"/>
          </w:tcPr>
          <w:p>
            <w:pPr>
              <w:ind w:left="180"/>
              <w:spacing w:after="0" w:line="181" w:lineRule="exact"/>
              <w:rPr>
                <w:sz w:val="20"/>
                <w:szCs w:val="20"/>
                <w:color w:val="auto"/>
              </w:rPr>
            </w:pPr>
            <w:r>
              <w:rPr>
                <w:rFonts w:ascii="Arial" w:cs="Arial" w:eastAsia="Arial" w:hAnsi="Arial"/>
                <w:sz w:val="16"/>
                <w:szCs w:val="16"/>
                <w:color w:val="auto"/>
              </w:rPr>
              <w:t>JMP Securities LLC</w:t>
            </w:r>
          </w:p>
        </w:tc>
        <w:tc>
          <w:tcPr>
            <w:tcW w:w="13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6"/>
              </w:rPr>
              <w:t>847,777</w:t>
            </w:r>
          </w:p>
        </w:tc>
      </w:tr>
      <w:tr>
        <w:trPr>
          <w:trHeight w:val="181"/>
        </w:trPr>
        <w:tc>
          <w:tcPr>
            <w:tcW w:w="6620" w:type="dxa"/>
            <w:vAlign w:val="bottom"/>
            <w:gridSpan w:val="3"/>
          </w:tcPr>
          <w:p>
            <w:pPr>
              <w:ind w:left="180"/>
              <w:spacing w:after="0" w:line="181" w:lineRule="exact"/>
              <w:rPr>
                <w:sz w:val="20"/>
                <w:szCs w:val="20"/>
                <w:color w:val="auto"/>
              </w:rPr>
            </w:pPr>
            <w:r>
              <w:rPr>
                <w:rFonts w:ascii="Arial" w:cs="Arial" w:eastAsia="Arial" w:hAnsi="Arial"/>
                <w:sz w:val="16"/>
                <w:szCs w:val="16"/>
                <w:color w:val="auto"/>
              </w:rPr>
              <w:t>Wedbush Securities Inc.</w:t>
            </w:r>
          </w:p>
        </w:tc>
        <w:tc>
          <w:tcPr>
            <w:tcW w:w="13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w w:val="96"/>
              </w:rPr>
              <w:t>847,777</w:t>
            </w:r>
          </w:p>
        </w:tc>
      </w:tr>
      <w:tr>
        <w:trPr>
          <w:trHeight w:val="173"/>
        </w:trPr>
        <w:tc>
          <w:tcPr>
            <w:tcW w:w="6620" w:type="dxa"/>
            <w:vAlign w:val="bottom"/>
            <w:gridSpan w:val="3"/>
            <w:shd w:val="clear" w:color="auto" w:fill="CCEEFF"/>
          </w:tcPr>
          <w:p>
            <w:pPr>
              <w:ind w:left="340"/>
              <w:spacing w:after="0" w:line="173" w:lineRule="exact"/>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w w:val="95"/>
              </w:rPr>
              <w:t>8,477,777</w:t>
            </w:r>
          </w:p>
        </w:tc>
      </w:tr>
      <w:tr>
        <w:trPr>
          <w:trHeight w:val="20"/>
        </w:trPr>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firstLine="433"/>
        <w:spacing w:after="0" w:line="241" w:lineRule="auto"/>
        <w:rPr>
          <w:sz w:val="20"/>
          <w:szCs w:val="20"/>
          <w:color w:val="auto"/>
        </w:rPr>
      </w:pPr>
      <w:r>
        <w:rPr>
          <w:rFonts w:ascii="Arial" w:cs="Arial" w:eastAsia="Arial" w:hAnsi="Arial"/>
          <w:sz w:val="16"/>
          <w:szCs w:val="16"/>
          <w:color w:val="auto"/>
        </w:rPr>
        <w:t>The underwriters will be committed to take and pay for all of the shares being offered, if any are taken, other than the shares covered by the option described below unless and until this option is exercised.</w:t>
      </w:r>
    </w:p>
    <w:p>
      <w:pPr>
        <w:spacing w:after="0" w:line="185" w:lineRule="exact"/>
        <w:rPr>
          <w:sz w:val="20"/>
          <w:szCs w:val="20"/>
          <w:color w:val="auto"/>
        </w:rPr>
      </w:pPr>
    </w:p>
    <w:p>
      <w:pPr>
        <w:ind w:right="100" w:firstLine="433"/>
        <w:spacing w:after="0" w:line="239" w:lineRule="auto"/>
        <w:rPr>
          <w:sz w:val="20"/>
          <w:szCs w:val="20"/>
          <w:color w:val="auto"/>
        </w:rPr>
      </w:pPr>
      <w:r>
        <w:rPr>
          <w:rFonts w:ascii="Arial" w:cs="Arial" w:eastAsia="Arial" w:hAnsi="Arial"/>
          <w:sz w:val="16"/>
          <w:szCs w:val="16"/>
          <w:color w:val="auto"/>
        </w:rPr>
        <w:t>The underwriters will have an option to buy up to an additional 1,271,666 Class A common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6" w:lineRule="exact"/>
        <w:rPr>
          <w:sz w:val="20"/>
          <w:szCs w:val="20"/>
          <w:color w:val="auto"/>
        </w:rPr>
      </w:pPr>
    </w:p>
    <w:p>
      <w:pPr>
        <w:ind w:right="160" w:firstLine="433"/>
        <w:spacing w:after="0" w:line="241"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the company. Such amounts are shown assuming both no exercise and full exercise of the underwriters' option to purchase 1,271,666 additional Class A common shares.</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202"/>
        </w:trPr>
        <w:tc>
          <w:tcPr>
            <w:tcW w:w="4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No Exercise</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Full Exercise</w:t>
            </w:r>
          </w:p>
        </w:tc>
        <w:tc>
          <w:tcPr>
            <w:tcW w:w="140" w:type="dxa"/>
            <w:vAlign w:val="bottom"/>
          </w:tcPr>
          <w:p>
            <w:pPr>
              <w:spacing w:after="0"/>
              <w:rPr>
                <w:sz w:val="17"/>
                <w:szCs w:val="17"/>
                <w:color w:val="auto"/>
              </w:rPr>
            </w:pPr>
          </w:p>
        </w:tc>
      </w:tr>
      <w:tr>
        <w:trPr>
          <w:trHeight w:val="181"/>
        </w:trPr>
        <w:tc>
          <w:tcPr>
            <w:tcW w:w="4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Per Share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1.26</w:t>
            </w:r>
          </w:p>
        </w:tc>
        <w:tc>
          <w:tcPr>
            <w:tcW w:w="380" w:type="dxa"/>
            <w:vAlign w:val="bottom"/>
            <w:shd w:val="clear" w:color="auto" w:fill="CCEEFF"/>
          </w:tcPr>
          <w:p>
            <w:pPr>
              <w:jc w:val="right"/>
              <w:ind w:right="202"/>
              <w:spacing w:after="0" w:line="181" w:lineRule="exact"/>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1.26</w:t>
            </w:r>
          </w:p>
        </w:tc>
      </w:tr>
      <w:tr>
        <w:trPr>
          <w:trHeight w:val="191"/>
        </w:trPr>
        <w:tc>
          <w:tcPr>
            <w:tcW w:w="438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10,681,999</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12,284,298</w:t>
            </w:r>
          </w:p>
        </w:tc>
      </w:tr>
    </w:tbl>
    <w:p>
      <w:pPr>
        <w:spacing w:after="0" w:line="186" w:lineRule="exact"/>
        <w:rPr>
          <w:sz w:val="20"/>
          <w:szCs w:val="20"/>
          <w:color w:val="auto"/>
        </w:rPr>
      </w:pPr>
    </w:p>
    <w:p>
      <w:pPr>
        <w:jc w:val="both"/>
        <w:ind w:firstLine="436"/>
        <w:spacing w:after="0" w:line="238" w:lineRule="auto"/>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 sold by the underwriters to securities dealers may be sold at a discount of up to $0.76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7"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company and its officers, directors and holders of substantially all of the company's common shares have agreed or will agree with the underwriters, subject to certain exceptions, not to dispose of or hedge any of their common shares or securities convertible into or exchangeable for common shares during the period from the date of this prospectus continuing through the date 180 days after the date of this prospectus, except with the prior written consent of the representatives. This agreement does not apply to any existing employee benefit plans. See the section entitled "Shares Eligible for Future Sale" for a discussion of certain transfer restrictions.</w:t>
      </w:r>
    </w:p>
    <w:p>
      <w:pPr>
        <w:spacing w:after="0" w:line="189"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were the company's historical performance, estimates of the business potential and earnings prospects of the company, an assessment of the company's management and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0" w:name="page211"/>
    <w:bookmarkEnd w:id="2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of the above factors in relation to market valuation of companies in related businesses.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Class A common shares have been approved for listing on The Nasdaq Global Select Market under the symbol "KNSA."</w:t>
      </w:r>
    </w:p>
    <w:p>
      <w:pPr>
        <w:spacing w:after="0" w:line="190"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Class A common shares for which the underwriters' option described above may be exercised. The underwriters may cover any covered short position by either exercising their option to purchase additional Class A common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Class A common shares pursuant to the option described above. "Naked" short sales are any short sales that create a short position greater than the amount of additional Class A common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193" w:lineRule="exact"/>
        <w:rPr>
          <w:sz w:val="20"/>
          <w:szCs w:val="20"/>
          <w:color w:val="auto"/>
        </w:rPr>
      </w:pPr>
    </w:p>
    <w:p>
      <w:pPr>
        <w:ind w:right="180" w:firstLine="433"/>
        <w:spacing w:after="0" w:line="273"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common shares, and together with the imposition of the penalty bid, may stabilize, maintain or otherwise affect the market price of the common shares. As a result, the price of the common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estimates that its share of the total expenses of the offering, excluding underwriting discounts and commissions, will be approximately</w:t>
      </w:r>
    </w:p>
    <w:p>
      <w:pPr>
        <w:spacing w:after="0" w:line="236" w:lineRule="auto"/>
        <w:rPr>
          <w:sz w:val="20"/>
          <w:szCs w:val="20"/>
          <w:color w:val="auto"/>
        </w:rPr>
      </w:pPr>
      <w:r>
        <w:rPr>
          <w:rFonts w:ascii="Arial" w:cs="Arial" w:eastAsia="Arial" w:hAnsi="Arial"/>
          <w:sz w:val="16"/>
          <w:szCs w:val="16"/>
          <w:color w:val="auto"/>
        </w:rPr>
        <w:t>$3.8 million. We will agree to reimburse the underwriters for expenses related to any applicable state securities filings and to the Financial Industry Regulatory</w:t>
      </w:r>
    </w:p>
    <w:p>
      <w:pPr>
        <w:spacing w:after="0" w:line="236" w:lineRule="auto"/>
        <w:rPr>
          <w:sz w:val="20"/>
          <w:szCs w:val="20"/>
          <w:color w:val="auto"/>
        </w:rPr>
      </w:pPr>
      <w:r>
        <w:rPr>
          <w:rFonts w:ascii="Arial" w:cs="Arial" w:eastAsia="Arial" w:hAnsi="Arial"/>
          <w:sz w:val="16"/>
          <w:szCs w:val="16"/>
          <w:color w:val="auto"/>
        </w:rPr>
        <w:t>Authority incurred by them in connection with this offering in an amount up to $30,000. In addition, the underwriters have agreed to reimburse us for certain</w:t>
      </w:r>
    </w:p>
    <w:p>
      <w:pPr>
        <w:spacing w:after="0"/>
        <w:rPr>
          <w:sz w:val="20"/>
          <w:szCs w:val="20"/>
          <w:color w:val="auto"/>
        </w:rPr>
      </w:pPr>
      <w:r>
        <w:rPr>
          <w:rFonts w:ascii="Arial" w:cs="Arial" w:eastAsia="Arial" w:hAnsi="Arial"/>
          <w:sz w:val="16"/>
          <w:szCs w:val="16"/>
          <w:color w:val="auto"/>
        </w:rPr>
        <w:t>expenses incurred by us in connection with this offering.</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agreed to indemnify the several underwriters against certain liabilities, including liabilities under the Securities Act of 1933.</w:t>
      </w:r>
    </w:p>
    <w:p>
      <w:pPr>
        <w:spacing w:after="0" w:line="190" w:lineRule="exact"/>
        <w:rPr>
          <w:sz w:val="20"/>
          <w:szCs w:val="20"/>
          <w:color w:val="auto"/>
        </w:rPr>
      </w:pPr>
    </w:p>
    <w:p>
      <w:pPr>
        <w:ind w:right="160" w:firstLine="433"/>
        <w:spacing w:after="0" w:line="239"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11" w:name="page212"/>
    <w:bookmarkEnd w:id="2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40"/>
        <w:spacing w:after="0" w:line="241" w:lineRule="auto"/>
        <w:rPr>
          <w:sz w:val="20"/>
          <w:szCs w:val="20"/>
          <w:color w:val="auto"/>
        </w:rPr>
      </w:pPr>
      <w:r>
        <w:rPr>
          <w:rFonts w:ascii="Arial" w:cs="Arial" w:eastAsia="Arial" w:hAnsi="Arial"/>
          <w:sz w:val="16"/>
          <w:szCs w:val="16"/>
          <w:color w:val="auto"/>
        </w:rPr>
        <w:t>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8" w:lineRule="exact"/>
        <w:rPr>
          <w:sz w:val="20"/>
          <w:szCs w:val="20"/>
          <w:color w:val="auto"/>
        </w:rPr>
      </w:pPr>
    </w:p>
    <w:p>
      <w:pPr>
        <w:ind w:right="60" w:firstLine="427"/>
        <w:spacing w:after="0" w:line="23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Sales of shares made outside of the United States may be made by affiliates of the underwriters. 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Selling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European Economic Area</w:t>
      </w:r>
    </w:p>
    <w:p>
      <w:pPr>
        <w:spacing w:after="0" w:line="206" w:lineRule="exact"/>
        <w:rPr>
          <w:sz w:val="20"/>
          <w:szCs w:val="20"/>
          <w:color w:val="auto"/>
        </w:rPr>
      </w:pPr>
    </w:p>
    <w:p>
      <w:pPr>
        <w:jc w:val="both"/>
        <w:ind w:right="280" w:firstLine="436"/>
        <w:spacing w:after="0" w:line="23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86" w:lineRule="exact"/>
        <w:rPr>
          <w:sz w:val="20"/>
          <w:szCs w:val="20"/>
          <w:color w:val="auto"/>
        </w:rPr>
      </w:pPr>
    </w:p>
    <w:p>
      <w:pPr>
        <w:ind w:left="960" w:hanging="481"/>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89" w:lineRule="exact"/>
        <w:rPr>
          <w:rFonts w:ascii="Arial" w:cs="Arial" w:eastAsia="Arial" w:hAnsi="Arial"/>
          <w:sz w:val="16"/>
          <w:szCs w:val="16"/>
          <w:color w:val="auto"/>
        </w:rPr>
      </w:pPr>
    </w:p>
    <w:p>
      <w:pPr>
        <w:ind w:left="960" w:right="60" w:hanging="481"/>
        <w:spacing w:after="0" w:line="241"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Goldman, Sachs &amp; Co. LLC and J.P. Morgan Securities LLC for any such offer; or</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2" w:name="page213"/>
    <w:bookmarkEnd w:id="2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provided that no such offer of our common shares shall result in a requirement for the publication by us or any Brazilian placement agent of a prospectus pursuant to Article 3 of the Prospectus Directive.</w:t>
      </w:r>
    </w:p>
    <w:p>
      <w:pPr>
        <w:spacing w:after="0" w:line="185"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European Economic Area selling restriction is in addition to any other selling restrictions set out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Kingdom</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Canada</w:t>
      </w:r>
    </w:p>
    <w:p>
      <w:pPr>
        <w:spacing w:after="0" w:line="206" w:lineRule="exact"/>
        <w:rPr>
          <w:sz w:val="20"/>
          <w:szCs w:val="20"/>
          <w:color w:val="auto"/>
        </w:rPr>
      </w:pPr>
    </w:p>
    <w:p>
      <w:pPr>
        <w:ind w:right="220" w:firstLine="433"/>
        <w:spacing w:after="0" w:line="238"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7" w:lineRule="exact"/>
        <w:rPr>
          <w:sz w:val="20"/>
          <w:szCs w:val="20"/>
          <w:color w:val="auto"/>
        </w:rPr>
      </w:pPr>
    </w:p>
    <w:p>
      <w:pPr>
        <w:ind w:right="380" w:firstLine="436"/>
        <w:spacing w:after="0" w:line="241"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Hong Kong</w:t>
      </w:r>
    </w:p>
    <w:p>
      <w:pPr>
        <w:spacing w:after="0" w:line="206" w:lineRule="exact"/>
        <w:rPr>
          <w:sz w:val="20"/>
          <w:szCs w:val="20"/>
          <w:color w:val="auto"/>
        </w:rPr>
      </w:pPr>
    </w:p>
    <w:p>
      <w:pPr>
        <w:ind w:right="200" w:firstLine="433"/>
        <w:spacing w:after="0" w:line="23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3" w:name="page214"/>
    <w:bookmarkEnd w:id="2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Singapore</w:t>
      </w:r>
    </w:p>
    <w:p>
      <w:pPr>
        <w:spacing w:after="0" w:line="206" w:lineRule="exact"/>
        <w:rPr>
          <w:sz w:val="20"/>
          <w:szCs w:val="20"/>
          <w:color w:val="auto"/>
        </w:rPr>
      </w:pPr>
    </w:p>
    <w:p>
      <w:pPr>
        <w:ind w:right="220" w:firstLine="433"/>
        <w:spacing w:after="0" w:line="23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8" w:lineRule="exact"/>
        <w:rPr>
          <w:sz w:val="20"/>
          <w:szCs w:val="20"/>
          <w:color w:val="auto"/>
        </w:rPr>
      </w:pPr>
    </w:p>
    <w:p>
      <w:pPr>
        <w:ind w:right="120" w:firstLine="436"/>
        <w:spacing w:after="0" w:line="255"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7"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4" w:name="page215"/>
    <w:bookmarkEnd w:id="2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Japan</w:t>
      </w:r>
    </w:p>
    <w:p>
      <w:pPr>
        <w:spacing w:after="0" w:line="20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5" w:name="page216"/>
    <w:bookmarkEnd w:id="2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LEGAL MATTERS</w:t>
      </w:r>
    </w:p>
    <w:p>
      <w:pPr>
        <w:spacing w:after="0" w:line="210" w:lineRule="exact"/>
        <w:rPr>
          <w:sz w:val="20"/>
          <w:szCs w:val="20"/>
          <w:color w:val="auto"/>
        </w:rPr>
      </w:pPr>
    </w:p>
    <w:p>
      <w:pPr>
        <w:ind w:right="100" w:firstLine="433"/>
        <w:spacing w:after="0" w:line="239" w:lineRule="auto"/>
        <w:rPr>
          <w:sz w:val="20"/>
          <w:szCs w:val="20"/>
          <w:color w:val="auto"/>
        </w:rPr>
      </w:pPr>
      <w:r>
        <w:rPr>
          <w:rFonts w:ascii="Arial" w:cs="Arial" w:eastAsia="Arial" w:hAnsi="Arial"/>
          <w:sz w:val="16"/>
          <w:szCs w:val="16"/>
          <w:color w:val="auto"/>
        </w:rPr>
        <w:t>The validity of the Class A common shares offered hereby will be passed upon for us by Conyers Dill &amp; Pearman Limited. Certain legal matters as to U.S. law in connection with this offering will be passed upon for us by Latham &amp; Watkins LLP. Certain legal matters will be passed upon for the underwriters by Ropes &amp; Gray LLP.</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EXPERTS</w:t>
      </w:r>
    </w:p>
    <w:p>
      <w:pPr>
        <w:spacing w:after="0" w:line="210" w:lineRule="exact"/>
        <w:rPr>
          <w:sz w:val="20"/>
          <w:szCs w:val="20"/>
          <w:color w:val="auto"/>
        </w:rPr>
      </w:pPr>
    </w:p>
    <w:p>
      <w:pPr>
        <w:ind w:firstLine="433"/>
        <w:spacing w:after="0" w:line="273" w:lineRule="auto"/>
        <w:rPr>
          <w:sz w:val="20"/>
          <w:szCs w:val="20"/>
          <w:color w:val="auto"/>
        </w:rPr>
      </w:pPr>
      <w:r>
        <w:rPr>
          <w:rFonts w:ascii="Arial" w:cs="Arial" w:eastAsia="Arial" w:hAnsi="Arial"/>
          <w:sz w:val="15"/>
          <w:szCs w:val="15"/>
          <w:color w:val="auto"/>
        </w:rPr>
        <w:t>The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EXCHANGE CONTROLS</w:t>
      </w:r>
    </w:p>
    <w:p>
      <w:pPr>
        <w:spacing w:after="0" w:line="21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permission of the Bermuda Monetary Authority is required, pursuant to the provisions of the Exchange Control Act 1972 and related regulations, for all issuances and transfers of shares (which includes our Class A common shares) of Bermuda companies to or from a non-resident of Bermuda for exchange control purposes, other than in cases where the Bermuda Monetary Authority has granted a general permission. The Bermuda Monetary Authority has, pursuant to its statement of June 1, 2005, given its general permission under the Exchange Control Act 1972 (and related regulations) for the issue and free transferability of our Class A common shares to and between non-residents of Bermuda for exchange control purposes, provided that the Class A common shares remain listed on an appointed stock exchange, which includes The Nasdaq Global Select Market.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herein. Certain issues and transfers of Class A common shares involving persons deemed resident in Bermuda for exchange control purposes require the specific consent of the Bermuda Monetary Authority.</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ENFORCEMENT OF CIVIL LIABILITIES UNDER UNITED STATES FEDERAL SECURITIES LAWS</w:t>
      </w:r>
    </w:p>
    <w:p>
      <w:pPr>
        <w:spacing w:after="0" w:line="210"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We are organized pursuant to the laws of Bermuda. In addition, it is anticipated that some or all of our directors and officers will reside outside the United States, and all or a substantial portion of our assets and their assets are or may be located in jurisdictions outside the United States. As a result, it may be difficult for you to effect service of process within the United States upon those persons or us or to recover against them or us on judgments of United States courts, including judgments predicated upon civil liability provisions of the United States federal securities laws.</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been advised that there is no treaty in force between the United States and Bermuda providing for the reciprocal recognition and enforcement of judgments in civil and commercial matters. As a result, whether a U.S. judgment would be enforceable in Bermuda against us or our directors and officers depends on whether the U.S. court that entered the judgment is recognized by the Bermuda court as having jurisdiction over us or our directors and officers, as determined by reference to Bermuda conflict of law rules. A judgment debt from a U.S. court that is final and for a sum certain based on U.S. federal securities laws will not be enforceable in Bermuda unless the judgment debtor had submitted to the jurisdiction of the U.S. court, and the issue of submission and jurisdiction is a matter of Bermuda (not U.S.) law.</w:t>
      </w:r>
    </w:p>
    <w:p>
      <w:pPr>
        <w:spacing w:after="0" w:line="188"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6" w:name="page217"/>
    <w:bookmarkEnd w:id="2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enforcement of a sanction, power or right at the instance of the state in its sovereign capacity, will not be entertained by a Bermuda court. Certain remedies available under the laws of U.S. jurisdictions, including certain remedies under U.S. federal securities laws, would not be available under Bermuda law or enforceable in a Bermuda court, as they would be contrary to Bermuda public policy. Further, no claim may be brought in Bermuda against us or our directors and officers in the first instance for violation of U.S. federal securities laws because these laws have no extraterritorial jurisdiction under Bermuda law and do not have force of law in Bermuda. A Bermuda court may, however, impose civil liability on us or our directors and officers if the facts alleged in a complaint constitute or give rise to a cause of action under Bermuda law.</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Class A common shares offered hereby. This prospectus, which constitutes a part of the registration statement, does not contain all of the information set forth in the registration statement or the exhibits and schedules filed therewith. For further information about us and the Class A common shares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SEC. The address of that site is </w:t>
      </w:r>
      <w:r>
        <w:rPr>
          <w:rFonts w:ascii="Arial" w:cs="Arial" w:eastAsia="Arial" w:hAnsi="Arial"/>
          <w:sz w:val="16"/>
          <w:szCs w:val="16"/>
          <w:i w:val="1"/>
          <w:iCs w:val="1"/>
          <w:color w:val="auto"/>
        </w:rPr>
        <w:t>www.sec.gov.</w:t>
      </w:r>
    </w:p>
    <w:p>
      <w:pPr>
        <w:spacing w:after="0" w:line="193"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Upon the closing of this offering, we will become subject to the information and periodic reporting requirements of the Exchange Act and, in accordance therewith, we will file periodic reports, proxy statements and other information with the SEC. Such periodic reports, proxy statements and other information will be available for inspection and copying at the public reference room and website of the SEC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84"/>
        </w:trPr>
        <w:tc>
          <w:tcPr>
            <w:tcW w:w="9640" w:type="dxa"/>
            <w:vAlign w:val="bottom"/>
            <w:gridSpan w:val="9"/>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6440" w:type="dxa"/>
            <w:vAlign w:val="bottom"/>
            <w:gridSpan w:val="6"/>
          </w:tcPr>
          <w:p>
            <w:pPr>
              <w:jc w:val="center"/>
              <w:ind w:right="1440"/>
              <w:spacing w:after="0"/>
              <w:rPr>
                <w:sz w:val="20"/>
                <w:szCs w:val="20"/>
                <w:color w:val="auto"/>
              </w:rPr>
            </w:pPr>
            <w:r>
              <w:rPr>
                <w:rFonts w:ascii="Arial" w:cs="Arial" w:eastAsia="Arial" w:hAnsi="Arial"/>
                <w:sz w:val="16"/>
                <w:szCs w:val="16"/>
                <w:b w:val="1"/>
                <w:bCs w:val="1"/>
                <w:color w:val="auto"/>
                <w:w w:val="97"/>
              </w:rPr>
              <w:t>INDEX TO CONSOLIDATED FINANCIAL STATEMENTS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Page</w:t>
            </w:r>
          </w:p>
        </w:tc>
        <w:tc>
          <w:tcPr>
            <w:tcW w:w="1280" w:type="dxa"/>
            <w:vAlign w:val="bottom"/>
          </w:tcPr>
          <w:p>
            <w:pPr>
              <w:spacing w:after="0"/>
              <w:rPr>
                <w:sz w:val="24"/>
                <w:szCs w:val="24"/>
                <w:color w:val="auto"/>
              </w:rPr>
            </w:pPr>
          </w:p>
        </w:tc>
      </w:tr>
      <w:tr>
        <w:trPr>
          <w:trHeight w:val="157"/>
        </w:trPr>
        <w:tc>
          <w:tcPr>
            <w:tcW w:w="1140" w:type="dxa"/>
            <w:vAlign w:val="bottom"/>
          </w:tcPr>
          <w:p>
            <w:pPr>
              <w:spacing w:after="0"/>
              <w:rPr>
                <w:sz w:val="13"/>
                <w:szCs w:val="13"/>
                <w:color w:val="auto"/>
              </w:rPr>
            </w:pPr>
          </w:p>
        </w:tc>
        <w:tc>
          <w:tcPr>
            <w:tcW w:w="4020" w:type="dxa"/>
            <w:vAlign w:val="bottom"/>
            <w:gridSpan w:val="5"/>
          </w:tcPr>
          <w:p>
            <w:pPr>
              <w:spacing w:after="0" w:line="157" w:lineRule="exact"/>
              <w:rPr>
                <w:rFonts w:ascii="Arial" w:cs="Arial" w:eastAsia="Arial" w:hAnsi="Arial"/>
                <w:sz w:val="16"/>
                <w:szCs w:val="16"/>
                <w:color w:val="0000EE"/>
                <w:w w:val="97"/>
              </w:rPr>
            </w:pPr>
            <w:hyperlink w:anchor="page219">
              <w:r>
                <w:rPr>
                  <w:rFonts w:ascii="Arial" w:cs="Arial" w:eastAsia="Arial" w:hAnsi="Arial"/>
                  <w:sz w:val="16"/>
                  <w:szCs w:val="16"/>
                  <w:color w:val="0000EE"/>
                  <w:w w:val="97"/>
                </w:rPr>
                <w:t>Report of Independent Registered Public Accounting Firm</w:t>
              </w:r>
            </w:hyperlink>
          </w:p>
        </w:tc>
        <w:tc>
          <w:tcPr>
            <w:tcW w:w="44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57" w:lineRule="exact"/>
              <w:rPr>
                <w:rFonts w:ascii="Arial" w:cs="Arial" w:eastAsia="Arial" w:hAnsi="Arial"/>
                <w:sz w:val="16"/>
                <w:szCs w:val="16"/>
                <w:color w:val="0000EE"/>
              </w:rPr>
            </w:pPr>
            <w:hyperlink w:anchor="page219">
              <w:r>
                <w:rPr>
                  <w:rFonts w:ascii="Arial" w:cs="Arial" w:eastAsia="Arial" w:hAnsi="Arial"/>
                  <w:sz w:val="16"/>
                  <w:szCs w:val="16"/>
                  <w:color w:val="0000EE"/>
                </w:rPr>
                <w:t>F-2</w:t>
              </w:r>
            </w:hyperlink>
          </w:p>
        </w:tc>
      </w:tr>
      <w:tr>
        <w:trPr>
          <w:trHeight w:val="20"/>
        </w:trPr>
        <w:tc>
          <w:tcPr>
            <w:tcW w:w="11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060" w:type="dxa"/>
            <w:vAlign w:val="bottom"/>
            <w:gridSpan w:val="2"/>
          </w:tcPr>
          <w:p>
            <w:pPr>
              <w:spacing w:after="0" w:line="161" w:lineRule="exact"/>
              <w:rPr>
                <w:rFonts w:ascii="Arial" w:cs="Arial" w:eastAsia="Arial" w:hAnsi="Arial"/>
                <w:sz w:val="16"/>
                <w:szCs w:val="16"/>
                <w:color w:val="0000EE"/>
                <w:w w:val="97"/>
              </w:rPr>
            </w:pPr>
            <w:hyperlink w:anchor="page220">
              <w:r>
                <w:rPr>
                  <w:rFonts w:ascii="Arial" w:cs="Arial" w:eastAsia="Arial" w:hAnsi="Arial"/>
                  <w:sz w:val="16"/>
                  <w:szCs w:val="16"/>
                  <w:color w:val="0000EE"/>
                  <w:w w:val="97"/>
                </w:rPr>
                <w:t>Consolidated Balance Sheets</w:t>
              </w:r>
            </w:hyperlink>
          </w:p>
        </w:tc>
        <w:tc>
          <w:tcPr>
            <w:tcW w:w="1960" w:type="dxa"/>
            <w:vAlign w:val="bottom"/>
            <w:gridSpan w:val="3"/>
          </w:tcPr>
          <w:p>
            <w:pPr>
              <w:spacing w:after="0"/>
              <w:rPr>
                <w:sz w:val="13"/>
                <w:szCs w:val="13"/>
                <w:color w:val="auto"/>
              </w:rPr>
            </w:pPr>
          </w:p>
        </w:tc>
        <w:tc>
          <w:tcPr>
            <w:tcW w:w="44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0">
              <w:r>
                <w:rPr>
                  <w:rFonts w:ascii="Arial" w:cs="Arial" w:eastAsia="Arial" w:hAnsi="Arial"/>
                  <w:sz w:val="16"/>
                  <w:szCs w:val="16"/>
                  <w:color w:val="0000EE"/>
                </w:rPr>
                <w:t>F-3</w:t>
              </w:r>
            </w:hyperlink>
          </w:p>
        </w:tc>
      </w:tr>
      <w:tr>
        <w:trPr>
          <w:trHeight w:val="20"/>
        </w:trPr>
        <w:tc>
          <w:tcPr>
            <w:tcW w:w="11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8"/>
          </w:tcPr>
          <w:p>
            <w:pPr>
              <w:spacing w:after="0" w:line="161" w:lineRule="exact"/>
              <w:rPr>
                <w:rFonts w:ascii="Arial" w:cs="Arial" w:eastAsia="Arial" w:hAnsi="Arial"/>
                <w:sz w:val="16"/>
                <w:szCs w:val="16"/>
                <w:color w:val="0000EE"/>
              </w:rPr>
            </w:pPr>
            <w:hyperlink w:anchor="page221">
              <w:r>
                <w:rPr>
                  <w:rFonts w:ascii="Arial" w:cs="Arial" w:eastAsia="Arial" w:hAnsi="Arial"/>
                  <w:sz w:val="16"/>
                  <w:szCs w:val="16"/>
                  <w:color w:val="0000EE"/>
                </w:rPr>
                <w:t>Consolidated Statements of Operations and Comprehensive Loss</w:t>
              </w:r>
            </w:hyperlink>
          </w:p>
        </w:tc>
        <w:tc>
          <w:tcPr>
            <w:tcW w:w="1800" w:type="dxa"/>
            <w:vAlign w:val="bottom"/>
            <w:gridSpan w:val="4"/>
          </w:tcPr>
          <w:p>
            <w:pPr>
              <w:ind w:left="260"/>
              <w:spacing w:after="0" w:line="161" w:lineRule="exact"/>
              <w:rPr>
                <w:rFonts w:ascii="Arial" w:cs="Arial" w:eastAsia="Arial" w:hAnsi="Arial"/>
                <w:sz w:val="16"/>
                <w:szCs w:val="16"/>
                <w:color w:val="0000EE"/>
              </w:rPr>
            </w:pPr>
            <w:hyperlink w:anchor="page221">
              <w:r>
                <w:rPr>
                  <w:rFonts w:ascii="Arial" w:cs="Arial" w:eastAsia="Arial" w:hAnsi="Arial"/>
                  <w:sz w:val="16"/>
                  <w:szCs w:val="16"/>
                  <w:color w:val="0000EE"/>
                </w:rPr>
                <w:t>F-4</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5800" w:type="dxa"/>
            <w:vAlign w:val="bottom"/>
            <w:gridSpan w:val="7"/>
          </w:tcPr>
          <w:p>
            <w:pPr>
              <w:spacing w:after="0" w:line="161" w:lineRule="exact"/>
              <w:rPr>
                <w:rFonts w:ascii="Arial" w:cs="Arial" w:eastAsia="Arial" w:hAnsi="Arial"/>
                <w:sz w:val="16"/>
                <w:szCs w:val="16"/>
                <w:color w:val="0000EE"/>
                <w:w w:val="97"/>
              </w:rPr>
            </w:pPr>
            <w:hyperlink w:anchor="page222">
              <w:r>
                <w:rPr>
                  <w:rFonts w:ascii="Arial" w:cs="Arial" w:eastAsia="Arial" w:hAnsi="Arial"/>
                  <w:sz w:val="16"/>
                  <w:szCs w:val="16"/>
                  <w:color w:val="0000EE"/>
                  <w:w w:val="97"/>
                </w:rPr>
                <w:t>Consolidated Statements of Convertible Preferred Shares and Shareholders' Deficit</w:t>
              </w:r>
            </w:hyperlink>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2">
              <w:r>
                <w:rPr>
                  <w:rFonts w:ascii="Arial" w:cs="Arial" w:eastAsia="Arial" w:hAnsi="Arial"/>
                  <w:sz w:val="16"/>
                  <w:szCs w:val="16"/>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800" w:type="dxa"/>
            <w:vAlign w:val="bottom"/>
            <w:gridSpan w:val="3"/>
          </w:tcPr>
          <w:p>
            <w:pPr>
              <w:spacing w:after="0" w:line="161" w:lineRule="exact"/>
              <w:rPr>
                <w:rFonts w:ascii="Arial" w:cs="Arial" w:eastAsia="Arial" w:hAnsi="Arial"/>
                <w:sz w:val="16"/>
                <w:szCs w:val="16"/>
                <w:color w:val="0000EE"/>
                <w:w w:val="97"/>
              </w:rPr>
            </w:pPr>
            <w:hyperlink w:anchor="page223">
              <w:r>
                <w:rPr>
                  <w:rFonts w:ascii="Arial" w:cs="Arial" w:eastAsia="Arial" w:hAnsi="Arial"/>
                  <w:sz w:val="16"/>
                  <w:szCs w:val="16"/>
                  <w:color w:val="0000EE"/>
                  <w:w w:val="97"/>
                </w:rPr>
                <w:t>Consolidated Statements of Cash Flows</w:t>
              </w:r>
            </w:hyperlink>
          </w:p>
        </w:tc>
        <w:tc>
          <w:tcPr>
            <w:tcW w:w="3000" w:type="dxa"/>
            <w:vAlign w:val="bottom"/>
            <w:gridSpan w:val="4"/>
          </w:tcPr>
          <w:p>
            <w:pPr>
              <w:spacing w:after="0"/>
              <w:rPr>
                <w:sz w:val="13"/>
                <w:szCs w:val="13"/>
                <w:color w:val="auto"/>
              </w:rPr>
            </w:pPr>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3">
              <w:r>
                <w:rPr>
                  <w:rFonts w:ascii="Arial" w:cs="Arial" w:eastAsia="Arial" w:hAnsi="Arial"/>
                  <w:sz w:val="16"/>
                  <w:szCs w:val="16"/>
                  <w:color w:val="0000EE"/>
                </w:rPr>
                <w:t>F-6</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8"/>
          </w:tcPr>
          <w:p>
            <w:pPr>
              <w:spacing w:after="0" w:line="161" w:lineRule="exact"/>
              <w:rPr>
                <w:rFonts w:ascii="Arial" w:cs="Arial" w:eastAsia="Arial" w:hAnsi="Arial"/>
                <w:sz w:val="16"/>
                <w:szCs w:val="16"/>
                <w:color w:val="0000EE"/>
              </w:rPr>
            </w:pPr>
            <w:hyperlink w:anchor="page224">
              <w:r>
                <w:rPr>
                  <w:rFonts w:ascii="Arial" w:cs="Arial" w:eastAsia="Arial" w:hAnsi="Arial"/>
                  <w:sz w:val="16"/>
                  <w:szCs w:val="16"/>
                  <w:color w:val="0000EE"/>
                </w:rPr>
                <w:t>Notes to Consolidated Financial Statements</w:t>
              </w:r>
            </w:hyperlink>
          </w:p>
        </w:tc>
        <w:tc>
          <w:tcPr>
            <w:tcW w:w="1800" w:type="dxa"/>
            <w:vAlign w:val="bottom"/>
            <w:gridSpan w:val="4"/>
          </w:tcPr>
          <w:p>
            <w:pPr>
              <w:ind w:left="260"/>
              <w:spacing w:after="0" w:line="161" w:lineRule="exact"/>
              <w:rPr>
                <w:rFonts w:ascii="Arial" w:cs="Arial" w:eastAsia="Arial" w:hAnsi="Arial"/>
                <w:sz w:val="16"/>
                <w:szCs w:val="16"/>
                <w:color w:val="0000EE"/>
              </w:rPr>
            </w:pPr>
            <w:hyperlink w:anchor="page224">
              <w:r>
                <w:rPr>
                  <w:rFonts w:ascii="Arial" w:cs="Arial" w:eastAsia="Arial" w:hAnsi="Arial"/>
                  <w:sz w:val="16"/>
                  <w:szCs w:val="16"/>
                  <w:color w:val="0000EE"/>
                </w:rPr>
                <w:t>F-7</w:t>
              </w:r>
            </w:hyperlink>
          </w:p>
        </w:tc>
      </w:tr>
      <w:tr>
        <w:trPr>
          <w:trHeight w:val="388"/>
        </w:trPr>
        <w:tc>
          <w:tcPr>
            <w:tcW w:w="1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480" w:type="dxa"/>
            <w:vAlign w:val="bottom"/>
            <w:gridSpan w:val="3"/>
          </w:tcPr>
          <w:p>
            <w:pPr>
              <w:jc w:val="center"/>
              <w:ind w:right="3360"/>
              <w:spacing w:after="0"/>
              <w:rPr>
                <w:sz w:val="20"/>
                <w:szCs w:val="20"/>
                <w:color w:val="auto"/>
              </w:rPr>
            </w:pPr>
            <w:r>
              <w:rPr>
                <w:rFonts w:ascii="Arial" w:cs="Arial" w:eastAsia="Arial" w:hAnsi="Arial"/>
                <w:sz w:val="16"/>
                <w:szCs w:val="16"/>
                <w:color w:val="auto"/>
                <w:w w:val="99"/>
              </w:rPr>
              <w:t>F-1</w:t>
            </w:r>
          </w:p>
        </w:tc>
        <w:tc>
          <w:tcPr>
            <w:tcW w:w="2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218" w:name="page219"/>
    <w:bookmarkEnd w:id="2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w:t>
      </w:r>
    </w:p>
    <w:p>
      <w:pPr>
        <w:spacing w:after="0"/>
        <w:rPr>
          <w:sz w:val="20"/>
          <w:szCs w:val="20"/>
          <w:color w:val="auto"/>
        </w:rPr>
      </w:pPr>
      <w:r>
        <w:rPr>
          <w:rFonts w:ascii="Arial" w:cs="Arial" w:eastAsia="Arial" w:hAnsi="Arial"/>
          <w:sz w:val="16"/>
          <w:szCs w:val="16"/>
          <w:color w:val="auto"/>
        </w:rPr>
        <w:t>Kiniksa Pharmaceuticals,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audited the accompanying consolidated balance sheets of Kiniksa Pharmaceuticals, Ltd. and its subsidiary (the "Company") as of December 31, 2017 and 2016, and the related consolidated statements of operations and comprehensive loss, of convertible preferred shares and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08" w:lineRule="exact"/>
        <w:rPr>
          <w:sz w:val="20"/>
          <w:szCs w:val="20"/>
          <w:color w:val="auto"/>
        </w:rPr>
      </w:pPr>
    </w:p>
    <w:p>
      <w:pPr>
        <w:ind w:right="40" w:firstLine="433"/>
        <w:spacing w:after="0" w:line="23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6"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PricewaterhouseCoopers LLP</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Massachusetts</w:t>
      </w:r>
    </w:p>
    <w:p>
      <w:pPr>
        <w:ind w:left="1300" w:right="1340" w:hanging="160"/>
        <w:spacing w:after="0" w:line="241" w:lineRule="auto"/>
        <w:rPr>
          <w:sz w:val="20"/>
          <w:szCs w:val="20"/>
          <w:color w:val="auto"/>
        </w:rPr>
      </w:pPr>
      <w:r>
        <w:rPr>
          <w:rFonts w:ascii="Arial" w:cs="Arial" w:eastAsia="Arial" w:hAnsi="Arial"/>
          <w:sz w:val="16"/>
          <w:szCs w:val="16"/>
          <w:color w:val="auto"/>
        </w:rPr>
        <w:t>February 27, 2018, except for the effects of the reverse share split discussed in Note 14 to the consolidated financial statements, as to which the date is May 14, 2018</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 have served as the Company's auditor since 2016.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9" w:name="page220"/>
    <w:bookmarkEnd w:id="2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60" w:type="dxa"/>
            <w:vAlign w:val="bottom"/>
            <w:gridSpan w:val="3"/>
            <w:vMerge w:val="restart"/>
          </w:tcPr>
          <w:p>
            <w:pPr>
              <w:jc w:val="right"/>
              <w:ind w:right="120"/>
              <w:spacing w:after="0" w:line="121" w:lineRule="exact"/>
              <w:rPr>
                <w:sz w:val="20"/>
                <w:szCs w:val="20"/>
                <w:color w:val="auto"/>
              </w:rPr>
            </w:pPr>
            <w:r>
              <w:rPr>
                <w:rFonts w:ascii="Arial" w:cs="Arial" w:eastAsia="Arial" w:hAnsi="Arial"/>
                <w:sz w:val="13"/>
                <w:szCs w:val="13"/>
                <w:b w:val="1"/>
                <w:bCs w:val="1"/>
                <w:color w:val="auto"/>
              </w:rPr>
              <w:t>March 31,</w:t>
            </w:r>
          </w:p>
        </w:tc>
        <w:tc>
          <w:tcPr>
            <w:tcW w:w="60" w:type="dxa"/>
            <w:vAlign w:val="bottom"/>
            <w:vMerge w:val="restart"/>
          </w:tcPr>
          <w:p>
            <w:pPr>
              <w:spacing w:after="0"/>
              <w:rPr>
                <w:sz w:val="2"/>
                <w:szCs w:val="2"/>
                <w:color w:val="auto"/>
              </w:rPr>
            </w:pPr>
          </w:p>
        </w:tc>
        <w:tc>
          <w:tcPr>
            <w:tcW w:w="820" w:type="dxa"/>
            <w:vAlign w:val="bottom"/>
            <w:gridSpan w:val="3"/>
            <w:vMerge w:val="restart"/>
          </w:tcPr>
          <w:p>
            <w:pPr>
              <w:jc w:val="center"/>
              <w:ind w:right="140"/>
              <w:spacing w:after="0" w:line="121" w:lineRule="exact"/>
              <w:rPr>
                <w:sz w:val="20"/>
                <w:szCs w:val="20"/>
                <w:color w:val="auto"/>
              </w:rPr>
            </w:pPr>
            <w:r>
              <w:rPr>
                <w:rFonts w:ascii="Arial" w:cs="Arial" w:eastAsia="Arial" w:hAnsi="Arial"/>
                <w:sz w:val="13"/>
                <w:szCs w:val="13"/>
                <w:b w:val="1"/>
                <w:bCs w:val="1"/>
                <w:color w:val="auto"/>
                <w:w w:val="99"/>
              </w:rPr>
              <w:t>March 31,</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540"/>
              <w:spacing w:after="0" w:line="145"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55,970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45,555</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221,108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221,108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1,444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40"/>
              <w:spacing w:after="0"/>
              <w:rPr>
                <w:sz w:val="20"/>
                <w:szCs w:val="20"/>
                <w:color w:val="auto"/>
              </w:rPr>
            </w:pPr>
            <w:r>
              <w:rPr>
                <w:rFonts w:ascii="Arial" w:cs="Arial" w:eastAsia="Arial" w:hAnsi="Arial"/>
                <w:sz w:val="13"/>
                <w:szCs w:val="13"/>
                <w:color w:val="auto"/>
              </w:rPr>
              <w:t>Total current assets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3"/>
                <w:szCs w:val="13"/>
                <w:color w:val="auto"/>
              </w:rPr>
              <w:t>56,334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47,104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3"/>
                <w:szCs w:val="13"/>
                <w:color w:val="auto"/>
              </w:rPr>
              <w:t>222,453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3"/>
                <w:szCs w:val="13"/>
                <w:color w:val="auto"/>
              </w:rPr>
              <w:t>222,453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210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Deferred offering costs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Deferred tax assets</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378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56,467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47,492</w:t>
            </w:r>
          </w:p>
        </w:tc>
        <w:tc>
          <w:tcPr>
            <w:tcW w:w="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224,775</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224,775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Convertible Preferred Shares and Shareholders'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Accounts payable</w:t>
            </w:r>
          </w:p>
        </w:tc>
        <w:tc>
          <w:tcPr>
            <w:tcW w:w="120" w:type="dxa"/>
            <w:vAlign w:val="bottom"/>
          </w:tcPr>
          <w:p>
            <w:pPr>
              <w:jc w:val="right"/>
              <w:spacing w:after="0" w:line="14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212</w:t>
            </w:r>
          </w:p>
        </w:tc>
        <w:tc>
          <w:tcPr>
            <w:tcW w:w="100" w:type="dxa"/>
            <w:vAlign w:val="bottom"/>
          </w:tcPr>
          <w:p>
            <w:pPr>
              <w:spacing w:after="0"/>
              <w:rPr>
                <w:sz w:val="12"/>
                <w:szCs w:val="12"/>
                <w:color w:val="auto"/>
              </w:rPr>
            </w:pPr>
          </w:p>
        </w:tc>
        <w:tc>
          <w:tcPr>
            <w:tcW w:w="1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1,218</w:t>
            </w:r>
          </w:p>
        </w:tc>
        <w:tc>
          <w:tcPr>
            <w:tcW w:w="1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2,796</w:t>
            </w:r>
          </w:p>
        </w:tc>
        <w:tc>
          <w:tcPr>
            <w:tcW w:w="100" w:type="dxa"/>
            <w:vAlign w:val="bottom"/>
          </w:tcPr>
          <w:p>
            <w:pPr>
              <w:spacing w:after="0"/>
              <w:rPr>
                <w:sz w:val="12"/>
                <w:szCs w:val="12"/>
                <w:color w:val="auto"/>
              </w:rPr>
            </w:pPr>
          </w:p>
        </w:tc>
        <w:tc>
          <w:tcPr>
            <w:tcW w:w="1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2,796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Accrued expenses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2,090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6,212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6,472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Accrued milestone</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10,000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17,430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19,268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19,268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Deferred rent</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liabilities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17,430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19,298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19,298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060" w:type="dxa"/>
            <w:vAlign w:val="bottom"/>
          </w:tcPr>
          <w:p>
            <w:pPr>
              <w:spacing w:after="0" w:line="137" w:lineRule="exact"/>
              <w:rPr>
                <w:sz w:val="20"/>
                <w:szCs w:val="20"/>
                <w:color w:val="auto"/>
              </w:rPr>
            </w:pPr>
            <w:r>
              <w:rPr>
                <w:rFonts w:ascii="Arial" w:cs="Arial" w:eastAsia="Arial" w:hAnsi="Arial"/>
                <w:sz w:val="13"/>
                <w:szCs w:val="13"/>
                <w:color w:val="auto"/>
              </w:rPr>
              <w:t>Commitments and contingencies (Note 12)</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shares (Series A, B and C), $0.000273235 par value; 17,128,120 shares,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22,885,492 shares and 35,670,093 shares designated, issued and outstanding as of December 31,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2016 and 2017 and March 31, 2018 (unaudited), respectively; aggregate liquidation preference of</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$80,000, $120,000 and $320,000 as of December 31, 2016 and 2017 and March 31, 2018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(unaudited), no shares issued or outstanding, pro forma as of March 31, 2018 (unaudited)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79,897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7"/>
              </w:rPr>
              <w:t>119,770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310,592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Shareholders' equity (deficit):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A common shares, par value of $0.000273235 per share; 4,491,921 shares designated as of</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December 31, 2016 and 5,507,938 shares designated as of December 31, 2017 and March 31,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2018 (unaudited); 719,976 shares issued and outstanding as of December 31, 2016 and 2017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724,550 shares issued and outstanding as of March 31, 2018 (unaudited), 6,270,569 shares issued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220"/>
              <w:spacing w:after="0" w:line="141" w:lineRule="exact"/>
              <w:rPr>
                <w:sz w:val="20"/>
                <w:szCs w:val="20"/>
                <w:color w:val="auto"/>
              </w:rPr>
            </w:pPr>
            <w:r>
              <w:rPr>
                <w:rFonts w:ascii="Arial" w:cs="Arial" w:eastAsia="Arial" w:hAnsi="Arial"/>
                <w:sz w:val="13"/>
                <w:szCs w:val="13"/>
                <w:color w:val="auto"/>
              </w:rPr>
              <w:t>and outstanding, pro forma, as of March 31, 2018 (unaudited)</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Arial" w:cs="Arial" w:eastAsia="Arial" w:hAnsi="Arial"/>
                <w:sz w:val="13"/>
                <w:szCs w:val="13"/>
                <w:color w:val="auto"/>
              </w:rPr>
              <w:t>Class B common shares, par value of $0.000273235 per share; 3,568,353 shares designated, issued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220"/>
              <w:spacing w:after="0" w:line="145" w:lineRule="exact"/>
              <w:rPr>
                <w:sz w:val="20"/>
                <w:szCs w:val="20"/>
                <w:color w:val="auto"/>
              </w:rPr>
            </w:pPr>
            <w:r>
              <w:rPr>
                <w:rFonts w:ascii="Arial" w:cs="Arial" w:eastAsia="Arial" w:hAnsi="Arial"/>
                <w:sz w:val="13"/>
                <w:szCs w:val="13"/>
                <w:color w:val="auto"/>
              </w:rPr>
              <w:t>and outstanding as of December 31, 2016 and 2017 and March 31, 2018 (unaudited), 4,638,855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tcPr>
          <w:p>
            <w:pPr>
              <w:ind w:left="220"/>
              <w:spacing w:after="0" w:line="141" w:lineRule="exact"/>
              <w:rPr>
                <w:sz w:val="20"/>
                <w:szCs w:val="20"/>
                <w:color w:val="auto"/>
              </w:rPr>
            </w:pPr>
            <w:r>
              <w:rPr>
                <w:rFonts w:ascii="Arial" w:cs="Arial" w:eastAsia="Arial" w:hAnsi="Arial"/>
                <w:sz w:val="13"/>
                <w:szCs w:val="13"/>
                <w:color w:val="auto"/>
              </w:rPr>
              <w:t>shares issued and outstanding, pro forma, as of March 31, 2018 (unaudited)</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A1 common shares, $0.000273235 par value; no shares designated, issued or outstanding as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of December 31, 2016 and 2017 and March 31, 2018 (unaudited); 12,995,954 shares issued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220"/>
              <w:spacing w:after="0" w:line="141" w:lineRule="exact"/>
              <w:rPr>
                <w:sz w:val="20"/>
                <w:szCs w:val="20"/>
                <w:color w:val="auto"/>
              </w:rPr>
            </w:pPr>
            <w:r>
              <w:rPr>
                <w:rFonts w:ascii="Arial" w:cs="Arial" w:eastAsia="Arial" w:hAnsi="Arial"/>
                <w:sz w:val="13"/>
                <w:szCs w:val="13"/>
                <w:color w:val="auto"/>
              </w:rPr>
              <w:t>outstanding, pro forma as of March 31, 2018 (unaudited)</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Arial" w:cs="Arial" w:eastAsia="Arial" w:hAnsi="Arial"/>
                <w:sz w:val="13"/>
                <w:szCs w:val="13"/>
                <w:color w:val="auto"/>
              </w:rPr>
              <w:t>Class B1 common shares, $0.000273235 par value; no shares designated, issued or outstanding as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220"/>
              <w:spacing w:after="0" w:line="145" w:lineRule="exact"/>
              <w:rPr>
                <w:sz w:val="20"/>
                <w:szCs w:val="20"/>
                <w:color w:val="auto"/>
              </w:rPr>
            </w:pPr>
            <w:r>
              <w:rPr>
                <w:rFonts w:ascii="Arial" w:cs="Arial" w:eastAsia="Arial" w:hAnsi="Arial"/>
                <w:sz w:val="13"/>
                <w:szCs w:val="13"/>
                <w:color w:val="auto"/>
              </w:rPr>
              <w:t>of December 31, 2016 and 2017 and March 31, 2018 (unaudited); 16,057,618 shares issued and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tcPr>
          <w:p>
            <w:pPr>
              <w:ind w:left="220"/>
              <w:spacing w:after="0" w:line="141" w:lineRule="exact"/>
              <w:rPr>
                <w:sz w:val="20"/>
                <w:szCs w:val="20"/>
                <w:color w:val="auto"/>
              </w:rPr>
            </w:pPr>
            <w:r>
              <w:rPr>
                <w:rFonts w:ascii="Arial" w:cs="Arial" w:eastAsia="Arial" w:hAnsi="Arial"/>
                <w:sz w:val="13"/>
                <w:szCs w:val="13"/>
                <w:color w:val="auto"/>
              </w:rPr>
              <w:t>outstanding, pro forma as of March 31, 2018 (unaudited)</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Additional paid-in capital</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1,864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312,446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9"/>
              </w:rPr>
              <w:t>(26,125)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(90,998)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(106,980)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(106,980)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shareholders' equity (deficit)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w w:val="99"/>
              </w:rPr>
              <w:t>(25,732)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(89,708)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3"/>
                <w:szCs w:val="13"/>
                <w:color w:val="auto"/>
              </w:rPr>
              <w:t>(105,115)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205,477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40"/>
              <w:spacing w:after="0"/>
              <w:rPr>
                <w:sz w:val="20"/>
                <w:szCs w:val="20"/>
                <w:color w:val="auto"/>
              </w:rPr>
            </w:pPr>
            <w:r>
              <w:rPr>
                <w:rFonts w:ascii="Arial" w:cs="Arial" w:eastAsia="Arial" w:hAnsi="Arial"/>
                <w:sz w:val="13"/>
                <w:szCs w:val="13"/>
                <w:color w:val="auto"/>
              </w:rPr>
              <w:t>Total liabilities, convertible preferred shares and shareholders' equity (deficit)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12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7" w:lineRule="exact"/>
              <w:rPr>
                <w:sz w:val="20"/>
                <w:szCs w:val="20"/>
                <w:color w:val="auto"/>
              </w:rPr>
            </w:pPr>
            <w:r>
              <w:rPr>
                <w:rFonts w:ascii="Arial" w:cs="Arial" w:eastAsia="Arial" w:hAnsi="Arial"/>
                <w:sz w:val="13"/>
                <w:szCs w:val="13"/>
                <w:color w:val="auto"/>
              </w:rPr>
              <w:t>56,467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47,492</w:t>
            </w:r>
          </w:p>
        </w:tc>
        <w:tc>
          <w:tcPr>
            <w:tcW w:w="160" w:type="dxa"/>
            <w:vAlign w:val="bottom"/>
            <w:gridSpan w:val="2"/>
          </w:tcPr>
          <w:p>
            <w:pPr>
              <w:jc w:val="right"/>
              <w:spacing w:after="0" w:line="137"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7" w:lineRule="exact"/>
              <w:rPr>
                <w:sz w:val="20"/>
                <w:szCs w:val="20"/>
                <w:color w:val="auto"/>
              </w:rPr>
            </w:pPr>
            <w:r>
              <w:rPr>
                <w:rFonts w:ascii="Arial" w:cs="Arial" w:eastAsia="Arial" w:hAnsi="Arial"/>
                <w:sz w:val="13"/>
                <w:szCs w:val="13"/>
                <w:color w:val="auto"/>
              </w:rPr>
              <w:t>224,775</w:t>
            </w:r>
          </w:p>
        </w:tc>
        <w:tc>
          <w:tcPr>
            <w:tcW w:w="100" w:type="dxa"/>
            <w:vAlign w:val="bottom"/>
          </w:tcPr>
          <w:p>
            <w:pPr>
              <w:spacing w:after="0"/>
              <w:rPr>
                <w:sz w:val="11"/>
                <w:szCs w:val="11"/>
                <w:color w:val="auto"/>
              </w:rPr>
            </w:pPr>
          </w:p>
        </w:tc>
        <w:tc>
          <w:tcPr>
            <w:tcW w:w="180" w:type="dxa"/>
            <w:vAlign w:val="bottom"/>
            <w:gridSpan w:val="2"/>
          </w:tcPr>
          <w:p>
            <w:pPr>
              <w:jc w:val="right"/>
              <w:spacing w:after="0" w:line="137"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7" w:lineRule="exact"/>
              <w:rPr>
                <w:sz w:val="20"/>
                <w:szCs w:val="20"/>
                <w:color w:val="auto"/>
              </w:rPr>
            </w:pPr>
            <w:r>
              <w:rPr>
                <w:rFonts w:ascii="Arial" w:cs="Arial" w:eastAsia="Arial" w:hAnsi="Arial"/>
                <w:sz w:val="13"/>
                <w:szCs w:val="13"/>
                <w:color w:val="auto"/>
              </w:rPr>
              <w:t>224,775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20" w:name="page221"/>
    <w:bookmarkEnd w:id="2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7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8"/>
              </w:rPr>
              <w:t>Three Months Ended</w:t>
            </w:r>
          </w:p>
        </w:tc>
        <w:tc>
          <w:tcPr>
            <w:tcW w:w="0" w:type="dxa"/>
            <w:vAlign w:val="bottom"/>
          </w:tcPr>
          <w:p>
            <w:pPr>
              <w:spacing w:after="0"/>
              <w:rPr>
                <w:sz w:val="1"/>
                <w:szCs w:val="1"/>
                <w:color w:val="auto"/>
              </w:rPr>
            </w:pPr>
          </w:p>
        </w:tc>
      </w:tr>
      <w:tr>
        <w:trPr>
          <w:trHeight w:val="202"/>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8"/>
              </w:rPr>
              <w:t>(unaudited)</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 and comprehensive loss</w:t>
            </w:r>
          </w:p>
        </w:tc>
        <w:tc>
          <w:tcPr>
            <w:tcW w:w="2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2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8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shareholders—basic and</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160"/>
              <w:spacing w:after="0" w:line="178" w:lineRule="exact"/>
              <w:rPr>
                <w:sz w:val="20"/>
                <w:szCs w:val="20"/>
                <w:color w:val="auto"/>
              </w:rPr>
            </w:pPr>
            <w:r>
              <w:rPr>
                <w:rFonts w:ascii="Arial" w:cs="Arial" w:eastAsia="Arial" w:hAnsi="Arial"/>
                <w:sz w:val="16"/>
                <w:szCs w:val="16"/>
                <w:color w:val="auto"/>
              </w:rPr>
              <w:t>diluted</w:t>
            </w:r>
          </w:p>
        </w:tc>
        <w:tc>
          <w:tcPr>
            <w:tcW w:w="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(91.61)</w:t>
            </w: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(35.85)</w:t>
            </w: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(3.52)</w:t>
            </w: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4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Weighted average common shares outstanding—basic and diluted</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261,695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1,809,751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1,405,400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2,478,903</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color w:val="auto"/>
                <w:w w:val="99"/>
              </w:rPr>
              <w:t>Pro forma net loss per share attributable to common shareholders—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160"/>
              <w:spacing w:after="0" w:line="178" w:lineRule="exact"/>
              <w:rPr>
                <w:sz w:val="20"/>
                <w:szCs w:val="20"/>
                <w:color w:val="auto"/>
              </w:rPr>
            </w:pPr>
            <w:r>
              <w:rPr>
                <w:rFonts w:ascii="Arial" w:cs="Arial" w:eastAsia="Arial" w:hAnsi="Arial"/>
                <w:sz w:val="16"/>
                <w:szCs w:val="16"/>
                <w:color w:val="auto"/>
              </w:rPr>
              <w:t>basic and diluted (unaudited)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Pro forma weighted average common shares outstanding—basic</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and diluted (unaudited)</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9"/>
              </w:rPr>
              <w:t>23,638,410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32,466,951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21" w:name="page222"/>
    <w:bookmarkEnd w:id="2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CONSOLIDATED STATEMENTS OF CONVERTIBLE PREFERRED SHARES AND SHAREHOLDERS' DEFICIT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10"/>
          </w:tcPr>
          <w:p>
            <w:pPr>
              <w:jc w:val="right"/>
              <w:ind w:right="542"/>
              <w:spacing w:after="0"/>
              <w:rPr>
                <w:sz w:val="20"/>
                <w:szCs w:val="20"/>
                <w:color w:val="auto"/>
              </w:rPr>
            </w:pPr>
            <w:r>
              <w:rPr>
                <w:rFonts w:ascii="Arial" w:cs="Arial" w:eastAsia="Arial" w:hAnsi="Arial"/>
                <w:sz w:val="16"/>
                <w:szCs w:val="16"/>
                <w:b w:val="1"/>
                <w:bCs w:val="1"/>
                <w:color w:val="auto"/>
              </w:rPr>
              <w:t>(In thousands, except share amounts)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gridSpan w:val="4"/>
            <w:vMerge w:val="restart"/>
          </w:tcPr>
          <w:p>
            <w:pPr>
              <w:jc w:val="center"/>
              <w:ind w:left="2"/>
              <w:spacing w:after="0"/>
              <w:rPr>
                <w:sz w:val="20"/>
                <w:szCs w:val="20"/>
                <w:color w:val="auto"/>
              </w:rPr>
            </w:pPr>
            <w:r>
              <w:rPr>
                <w:rFonts w:ascii="Arial" w:cs="Arial" w:eastAsia="Arial" w:hAnsi="Arial"/>
                <w:sz w:val="16"/>
                <w:szCs w:val="16"/>
                <w:b w:val="1"/>
                <w:bCs w:val="1"/>
                <w:color w:val="auto"/>
                <w:w w:val="97"/>
              </w:rPr>
              <w:t>Convertible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gridSpan w:val="4"/>
          </w:tcPr>
          <w:p>
            <w:pPr>
              <w:jc w:val="center"/>
              <w:ind w:left="2"/>
              <w:spacing w:after="0" w:line="181" w:lineRule="exact"/>
              <w:rPr>
                <w:sz w:val="20"/>
                <w:szCs w:val="20"/>
                <w:color w:val="auto"/>
              </w:rPr>
            </w:pPr>
            <w:r>
              <w:rPr>
                <w:rFonts w:ascii="Arial" w:cs="Arial" w:eastAsia="Arial" w:hAnsi="Arial"/>
                <w:sz w:val="16"/>
                <w:szCs w:val="16"/>
                <w:b w:val="1"/>
                <w:bCs w:val="1"/>
                <w:color w:val="auto"/>
                <w:w w:val="97"/>
              </w:rPr>
              <w:t>Preferred Shares</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82"/>
              <w:spacing w:after="0" w:line="181" w:lineRule="exact"/>
              <w:rPr>
                <w:sz w:val="20"/>
                <w:szCs w:val="20"/>
                <w:color w:val="auto"/>
              </w:rPr>
            </w:pPr>
            <w:r>
              <w:rPr>
                <w:rFonts w:ascii="Arial" w:cs="Arial" w:eastAsia="Arial" w:hAnsi="Arial"/>
                <w:sz w:val="16"/>
                <w:szCs w:val="16"/>
                <w:b w:val="1"/>
                <w:bCs w:val="1"/>
                <w:color w:val="auto"/>
              </w:rPr>
              <w:t>Common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60"/>
              <w:spacing w:after="0" w:line="181"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(Series A, B and C)</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rPr>
              <w:t>(Class A and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7"/>
              </w:rPr>
              <w:t>Accumulated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Shareholders'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Deficit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8,028,809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37,398</w:t>
            </w:r>
          </w:p>
        </w:tc>
        <w:tc>
          <w:tcPr>
            <w:tcW w:w="240" w:type="dxa"/>
            <w:vAlign w:val="bottom"/>
            <w:tcBorders>
              <w:right w:val="single" w:sz="8" w:color="auto"/>
            </w:tcBorders>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Issuance of Series A</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issuance costs of $1</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9,099,311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42,499</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of options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6,309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Share-based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368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368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(23,973)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(23,973)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line="156"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December 31, 2016</w:t>
            </w:r>
          </w:p>
        </w:tc>
        <w:tc>
          <w:tcPr>
            <w:tcW w:w="860" w:type="dxa"/>
            <w:vAlign w:val="bottom"/>
          </w:tcPr>
          <w:p>
            <w:pPr>
              <w:jc w:val="right"/>
              <w:spacing w:after="0"/>
              <w:rPr>
                <w:sz w:val="20"/>
                <w:szCs w:val="20"/>
                <w:color w:val="auto"/>
              </w:rPr>
            </w:pPr>
            <w:r>
              <w:rPr>
                <w:rFonts w:ascii="Arial" w:cs="Arial" w:eastAsia="Arial" w:hAnsi="Arial"/>
                <w:sz w:val="16"/>
                <w:szCs w:val="16"/>
                <w:color w:val="auto"/>
              </w:rPr>
              <w:t>17,128,120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79,897</w:t>
            </w:r>
          </w:p>
        </w:tc>
        <w:tc>
          <w:tcPr>
            <w:tcW w:w="240" w:type="dxa"/>
            <w:vAlign w:val="bottom"/>
            <w:tcBorders>
              <w:right w:val="single" w:sz="8" w:color="auto"/>
            </w:tcBorders>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4,288,329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(26,125)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(25,732)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B</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issuance costs of $127</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5,757,372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39,873</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Share-based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897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897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(64,873)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(64,873)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line="156"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December 31, 2017</w:t>
            </w:r>
          </w:p>
        </w:tc>
        <w:tc>
          <w:tcPr>
            <w:tcW w:w="860" w:type="dxa"/>
            <w:vAlign w:val="bottom"/>
          </w:tcPr>
          <w:p>
            <w:pPr>
              <w:jc w:val="right"/>
              <w:spacing w:after="0"/>
              <w:rPr>
                <w:sz w:val="20"/>
                <w:szCs w:val="20"/>
                <w:color w:val="auto"/>
              </w:rPr>
            </w:pPr>
            <w:r>
              <w:rPr>
                <w:rFonts w:ascii="Arial" w:cs="Arial" w:eastAsia="Arial" w:hAnsi="Arial"/>
                <w:sz w:val="16"/>
                <w:szCs w:val="16"/>
                <w:color w:val="auto"/>
              </w:rPr>
              <w:t>22,885,492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119,770</w:t>
            </w:r>
          </w:p>
        </w:tc>
        <w:tc>
          <w:tcPr>
            <w:tcW w:w="240" w:type="dxa"/>
            <w:vAlign w:val="bottom"/>
            <w:tcBorders>
              <w:right w:val="single" w:sz="8" w:color="auto"/>
            </w:tcBorders>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4,288,329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(90,998)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(89,708)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issuance costs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$9,178</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190,822</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line="181" w:lineRule="exact"/>
              <w:rPr>
                <w:sz w:val="20"/>
                <w:szCs w:val="20"/>
                <w:color w:val="auto"/>
              </w:rPr>
            </w:pPr>
            <w:r>
              <w:rPr>
                <w:rFonts w:ascii="Arial" w:cs="Arial" w:eastAsia="Arial" w:hAnsi="Arial"/>
                <w:sz w:val="16"/>
                <w:szCs w:val="16"/>
                <w:color w:val="auto"/>
              </w:rPr>
              <w:t>Exercise of options</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4,574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(15,982)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Balances at March 31,</w:t>
            </w: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2018 (unaudited)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35,670,093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310,592</w:t>
            </w:r>
          </w:p>
        </w:tc>
        <w:tc>
          <w:tcPr>
            <w:tcW w:w="240" w:type="dxa"/>
            <w:vAlign w:val="bottom"/>
            <w:tcBorders>
              <w:right w:val="single" w:sz="8" w:color="auto"/>
            </w:tcBorders>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4,292,903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(106,980)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400"/>
          </w:cols>
          <w:pgMar w:left="240" w:top="143" w:right="125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84"/>
        </w:trPr>
        <w:tc>
          <w:tcPr>
            <w:tcW w:w="68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80" w:type="dxa"/>
            <w:vAlign w:val="bottom"/>
            <w:gridSpan w:val="3"/>
          </w:tcPr>
          <w:p>
            <w:pPr>
              <w:jc w:val="center"/>
              <w:ind w:left="2982"/>
              <w:spacing w:after="0"/>
              <w:rPr>
                <w:sz w:val="20"/>
                <w:szCs w:val="20"/>
                <w:color w:val="auto"/>
              </w:rPr>
            </w:pPr>
            <w:r>
              <w:rPr>
                <w:rFonts w:ascii="Arial" w:cs="Arial" w:eastAsia="Arial" w:hAnsi="Arial"/>
                <w:sz w:val="16"/>
                <w:szCs w:val="16"/>
                <w:b w:val="1"/>
                <w:bCs w:val="1"/>
                <w:color w:val="auto"/>
                <w:w w:val="97"/>
              </w:rPr>
              <w:t>KINIKSA PHARMACEUTICALS, LTD.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40" w:type="dxa"/>
            <w:vAlign w:val="bottom"/>
            <w:gridSpan w:val="5"/>
          </w:tcPr>
          <w:p>
            <w:pPr>
              <w:jc w:val="center"/>
              <w:ind w:left="2322"/>
              <w:spacing w:after="0"/>
              <w:rPr>
                <w:sz w:val="20"/>
                <w:szCs w:val="20"/>
                <w:color w:val="auto"/>
              </w:rPr>
            </w:pPr>
            <w:r>
              <w:rPr>
                <w:rFonts w:ascii="Arial" w:cs="Arial" w:eastAsia="Arial" w:hAnsi="Arial"/>
                <w:sz w:val="16"/>
                <w:szCs w:val="16"/>
                <w:b w:val="1"/>
                <w:bCs w:val="1"/>
                <w:color w:val="auto"/>
                <w:w w:val="97"/>
              </w:rPr>
              <w:t>CONSOLIDATED STATEMENTS OF CASH FLOWS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jc w:val="center"/>
              <w:ind w:left="3222"/>
              <w:spacing w:after="0"/>
              <w:rPr>
                <w:sz w:val="20"/>
                <w:szCs w:val="20"/>
                <w:color w:val="auto"/>
              </w:rPr>
            </w:pPr>
            <w:r>
              <w:rPr>
                <w:rFonts w:ascii="Arial" w:cs="Arial" w:eastAsia="Arial" w:hAnsi="Arial"/>
                <w:sz w:val="16"/>
                <w:szCs w:val="16"/>
                <w:b w:val="1"/>
                <w:bCs w:val="1"/>
                <w:color w:val="auto"/>
                <w:w w:val="97"/>
              </w:rPr>
              <w:t>(In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Three Months</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6"/>
          </w:tcPr>
          <w:p>
            <w:pPr>
              <w:jc w:val="right"/>
              <w:ind w:right="380"/>
              <w:spacing w:after="0" w:line="181" w:lineRule="exact"/>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tcPr>
          <w:p>
            <w:pPr>
              <w:jc w:val="center"/>
              <w:ind w:right="160"/>
              <w:spacing w:after="0" w:line="181" w:lineRule="exact"/>
              <w:rPr>
                <w:sz w:val="20"/>
                <w:szCs w:val="20"/>
                <w:color w:val="auto"/>
              </w:rPr>
            </w:pPr>
            <w:r>
              <w:rPr>
                <w:rFonts w:ascii="Arial" w:cs="Arial" w:eastAsia="Arial" w:hAnsi="Arial"/>
                <w:sz w:val="16"/>
                <w:szCs w:val="16"/>
                <w:b w:val="1"/>
                <w:bCs w:val="1"/>
                <w:color w:val="auto"/>
                <w:w w:val="98"/>
              </w:rPr>
              <w:t>Ended</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0"/>
              </w:rPr>
              <w:t>(unaudited)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(4,941)</w:t>
            </w:r>
          </w:p>
        </w:tc>
        <w:tc>
          <w:tcPr>
            <w:tcW w:w="1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Depreciation expense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28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Loss on disposal of property and equipment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Non-cash rent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220"/>
              <w:spacing w:after="0" w:line="181" w:lineRule="exact"/>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(1,185)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204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1,091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220"/>
              <w:spacing w:after="0" w:line="181" w:lineRule="exact"/>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1,862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4,105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(1,078)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Accrued milestone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vMerge w:val="restart"/>
          </w:tcPr>
          <w:p>
            <w:pPr>
              <w:ind w:left="6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(21,867)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(50,219)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(5,679)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Purchases of property and equipment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Proceeds from issuance of Series A convertible preferred shares, net of issuance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42,499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6880" w:type="dxa"/>
            <w:vAlign w:val="bottom"/>
            <w:gridSpan w:val="3"/>
          </w:tcPr>
          <w:p>
            <w:pPr>
              <w:ind w:left="1140"/>
              <w:spacing w:after="0"/>
              <w:rPr>
                <w:sz w:val="20"/>
                <w:szCs w:val="20"/>
                <w:color w:val="auto"/>
              </w:rPr>
            </w:pPr>
            <w:r>
              <w:rPr>
                <w:rFonts w:ascii="Arial" w:cs="Arial" w:eastAsia="Arial" w:hAnsi="Arial"/>
                <w:sz w:val="16"/>
                <w:szCs w:val="16"/>
                <w:color w:val="auto"/>
                <w:w w:val="99"/>
              </w:rPr>
              <w:t>Proceeds from issuance of Series B convertible preferred shares, net of issuance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78"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Proceeds from issuance of Series C convertible preferred shares, net of issuance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190,822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Payments of deferred offering 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Proceeds from exercise of options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73" w:lineRule="exact"/>
              <w:rPr>
                <w:sz w:val="20"/>
                <w:szCs w:val="20"/>
                <w:color w:val="auto"/>
              </w:rPr>
            </w:pPr>
            <w:r>
              <w:rPr>
                <w:rFonts w:ascii="Arial" w:cs="Arial" w:eastAsia="Arial" w:hAnsi="Arial"/>
                <w:sz w:val="16"/>
                <w:szCs w:val="16"/>
                <w:color w:val="auto"/>
              </w:rPr>
              <w:t>Net cash provided by financing activities</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42,509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190,810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20,639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(10,415)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34,176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175,763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Cash and cash equivalents and restricted cash at beginning of period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35,436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56,075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56,075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45,660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Cash and cash equivalents and restricted cash at end of period</w:t>
            </w:r>
          </w:p>
        </w:tc>
        <w:tc>
          <w:tcPr>
            <w:tcW w:w="2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56,075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45,660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90,251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40"/>
              <w:spacing w:after="0" w:line="17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221,423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1140"/>
              <w:spacing w:after="0"/>
              <w:rPr>
                <w:sz w:val="20"/>
                <w:szCs w:val="20"/>
                <w:color w:val="auto"/>
              </w:rPr>
            </w:pPr>
            <w:r>
              <w:rPr>
                <w:rFonts w:ascii="Arial" w:cs="Arial" w:eastAsia="Arial" w:hAnsi="Arial"/>
                <w:sz w:val="16"/>
                <w:szCs w:val="16"/>
                <w:b w:val="1"/>
                <w:bCs w:val="1"/>
                <w:color w:val="auto"/>
              </w:rPr>
              <w:t>Supplemental information:</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paid for income taxes</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2"/>
        </w:trPr>
        <w:tc>
          <w:tcPr>
            <w:tcW w:w="6880" w:type="dxa"/>
            <w:vAlign w:val="bottom"/>
            <w:gridSpan w:val="3"/>
          </w:tcPr>
          <w:p>
            <w:pPr>
              <w:ind w:left="11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Deferred offering costs included in accrued expenses and accounts payable</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1,579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sectPr>
      </w:pPr>
    </w:p>
    <w:bookmarkStart w:id="223" w:name="page224"/>
    <w:bookmarkEnd w:id="2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w:t>
      </w:r>
    </w:p>
    <w:p>
      <w:pPr>
        <w:spacing w:after="0" w:line="210"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Kiniksa Pharmaceuticals, Ltd. (the "Company") is a clinical-stage biopharmaceutical company focused on discovering, acquiring, developing and commercializing therapeutic medicines for patients suffering from debilitating diseases with significant unmet medical need. The Company was incorporated in July 2015 as a Bermuda exempted company. The Company has a pipeline of product candidates across various stages of development, currently focused on autoinflammatory and autoimmune conditions.</w:t>
      </w:r>
    </w:p>
    <w:p>
      <w:pPr>
        <w:spacing w:after="0" w:line="187" w:lineRule="exact"/>
        <w:rPr>
          <w:sz w:val="20"/>
          <w:szCs w:val="20"/>
          <w:color w:val="auto"/>
        </w:rPr>
      </w:pPr>
    </w:p>
    <w:p>
      <w:pPr>
        <w:ind w:right="120" w:firstLine="433"/>
        <w:spacing w:after="0" w:line="237"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188" w:lineRule="exact"/>
        <w:rPr>
          <w:sz w:val="20"/>
          <w:szCs w:val="20"/>
          <w:color w:val="auto"/>
        </w:rPr>
      </w:pPr>
    </w:p>
    <w:p>
      <w:pPr>
        <w:ind w:right="140" w:firstLine="433"/>
        <w:spacing w:after="0" w:line="251" w:lineRule="auto"/>
        <w:rPr>
          <w:sz w:val="20"/>
          <w:szCs w:val="20"/>
          <w:color w:val="auto"/>
        </w:rPr>
      </w:pPr>
      <w:r>
        <w:rPr>
          <w:rFonts w:ascii="Arial" w:cs="Arial" w:eastAsia="Arial" w:hAnsi="Arial"/>
          <w:sz w:val="15"/>
          <w:szCs w:val="15"/>
          <w:color w:val="auto"/>
        </w:rPr>
        <w:t>Through December 31, 2017 and March 31, 2018 (unaudited), the Company has funded its operations primarily with proceeds from the sale of convertible preferred shares. The Company has incurred recurring losses since its inception, including net losses of $23,973 and $64,873 for the years ended December 31, 2016 and 2017, respectively and $4,941 and $15,982 for the three months ended March 31, 2017 and 2018 (unaudited), respectively. In addition, as of December 31, 2017 and March 31, 2018 (unaudited), the Company had an accumulated deficit of $90,998 and $106,980, respectively. The Company expects to continue to generate operating losses for the foreseeable future. As of February 27, 2018, the issuance date of the annual consolidated financial statements for the years ended December 31, 2016 and 2017, the Company expected that its cash and cash equivalents of $45,555 as of December 31, 2017, together with the</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$200,000 of gross proceeds received from the Company's sale of Series C convertible preferred shares in February 2018 (see Note 6), would be sufficient to fund its operating expenses and capital expenditure requirements for at least twelve months from the issuance date of the annual consolidated financial statements. As of April 27, 2018, the issuance date of the interim consolidated financial statements for the three months ended March 31, 2018, the Company expected that its cash and cash equivalents of $221,108 as of March 31, 2018 (unaudited) would be sufficient to fund its operating expenses and capital expenditure requirements for at least twelve months from the issuance date of the interim consolidated financial statements. The future viability of the Company beyond that point is dependent on its ability to raise additional capital to finance its operations.</w:t>
      </w:r>
    </w:p>
    <w:p>
      <w:pPr>
        <w:spacing w:after="0" w:line="188"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Company is seeking to complete an initial public offering ("IPO") of its common shares. Upon the closing of a qualified public offering, on specified terms, the Company's outstanding convertible preferred shares will automatically convert into common shares (see Note 6). In the event the Company does not complete an IPO,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4" w:name="page225"/>
    <w:bookmarkEnd w:id="224"/>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4"/>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terms of any financing may adversely affect the holdings or the rights of the Company's shareholders.</w:t>
      </w:r>
    </w:p>
    <w:p>
      <w:pPr>
        <w:spacing w:after="0" w:line="190" w:lineRule="exact"/>
        <w:rPr>
          <w:sz w:val="20"/>
          <w:szCs w:val="20"/>
          <w:color w:val="auto"/>
        </w:rPr>
      </w:pPr>
    </w:p>
    <w:p>
      <w:pPr>
        <w:ind w:left="4" w:right="40" w:firstLine="436"/>
        <w:spacing w:after="0" w:line="238" w:lineRule="auto"/>
        <w:rPr>
          <w:sz w:val="20"/>
          <w:szCs w:val="20"/>
          <w:color w:val="auto"/>
        </w:rPr>
      </w:pPr>
      <w:r>
        <w:rPr>
          <w:rFonts w:ascii="Arial" w:cs="Arial" w:eastAsia="Arial" w:hAnsi="Arial"/>
          <w:sz w:val="16"/>
          <w:szCs w:val="16"/>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67" w:lineRule="exact"/>
        <w:rPr>
          <w:sz w:val="20"/>
          <w:szCs w:val="20"/>
          <w:color w:val="auto"/>
        </w:rPr>
      </w:pPr>
    </w:p>
    <w:p>
      <w:pPr>
        <w:ind w:left="484" w:right="7960" w:hanging="484"/>
        <w:spacing w:after="0" w:line="500" w:lineRule="auto"/>
        <w:tabs>
          <w:tab w:leader="none" w:pos="175"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Principles of Consolidation</w:t>
      </w:r>
    </w:p>
    <w:p>
      <w:pPr>
        <w:spacing w:after="0" w:line="1" w:lineRule="exact"/>
        <w:rPr>
          <w:sz w:val="20"/>
          <w:szCs w:val="20"/>
          <w:color w:val="auto"/>
        </w:rPr>
      </w:pPr>
    </w:p>
    <w:p>
      <w:pPr>
        <w:jc w:val="both"/>
        <w:ind w:left="4" w:right="40" w:firstLine="433"/>
        <w:spacing w:after="0" w:line="239"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wholly owned U.S. subsidiary, Kiniksa Pharmaceuticals Corp. ("Kiniksa US"), after elimination of all significant intercompany accounts and transactions.</w:t>
      </w:r>
    </w:p>
    <w:p>
      <w:pPr>
        <w:spacing w:after="0" w:line="186" w:lineRule="exact"/>
        <w:rPr>
          <w:sz w:val="20"/>
          <w:szCs w:val="20"/>
          <w:color w:val="auto"/>
        </w:rPr>
      </w:pPr>
    </w:p>
    <w:p>
      <w:pPr>
        <w:ind w:left="4" w:right="20" w:firstLine="436"/>
        <w:spacing w:after="0" w:line="237" w:lineRule="auto"/>
        <w:rPr>
          <w:sz w:val="20"/>
          <w:szCs w:val="20"/>
          <w:color w:val="auto"/>
        </w:rPr>
      </w:pPr>
      <w:r>
        <w:rPr>
          <w:rFonts w:ascii="Arial" w:cs="Arial" w:eastAsia="Arial" w:hAnsi="Arial"/>
          <w:sz w:val="16"/>
          <w:szCs w:val="16"/>
          <w:color w:val="auto"/>
        </w:rPr>
        <w:t>In assessing the consolidation requirement for variable interest entities ("VIEs"), the Company focuses on identifying whether it has both the power to direct the activities that most significantly impact the VIE's economic performance and the obligation to absorb losses or the right to receive benefits from the VIE. In the event that the Company is the primary beneficiary of a VIE, the assets, liabilities, and results of operations of the VIE would be included in the Company's consolidated financial statements. At December 31, 2016 and 2017 and during the years then ended and at March 31, 2018 and during the three months then ended (unaudited), the Company was not the primary beneficiary of a VIE.</w:t>
      </w:r>
    </w:p>
    <w:p>
      <w:pPr>
        <w:spacing w:after="0" w:line="171"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8" w:lineRule="exact"/>
        <w:rPr>
          <w:sz w:val="20"/>
          <w:szCs w:val="20"/>
          <w:color w:val="auto"/>
        </w:rPr>
      </w:pPr>
    </w:p>
    <w:p>
      <w:pPr>
        <w:ind w:left="4" w:right="120" w:firstLine="433"/>
        <w:spacing w:after="0" w:line="237"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for research and development expenses and the valuation of common shares and share-based awards. Estimates are periodically reviewed in light of changes in circumstances, facts and experience. Changes in estimates are recorded in the period in which they become known. Actual results could differ from those estimates.</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Unaudited Interim Financial Information</w:t>
      </w:r>
    </w:p>
    <w:p>
      <w:pPr>
        <w:spacing w:after="0" w:line="208" w:lineRule="exact"/>
        <w:rPr>
          <w:sz w:val="20"/>
          <w:szCs w:val="20"/>
          <w:color w:val="auto"/>
        </w:rPr>
      </w:pPr>
    </w:p>
    <w:p>
      <w:pPr>
        <w:ind w:left="4" w:firstLine="433"/>
        <w:spacing w:after="0" w:line="239" w:lineRule="auto"/>
        <w:rPr>
          <w:sz w:val="20"/>
          <w:szCs w:val="20"/>
          <w:color w:val="auto"/>
        </w:rPr>
      </w:pPr>
      <w:r>
        <w:rPr>
          <w:rFonts w:ascii="Arial" w:cs="Arial" w:eastAsia="Arial" w:hAnsi="Arial"/>
          <w:sz w:val="16"/>
          <w:szCs w:val="16"/>
          <w:color w:val="auto"/>
        </w:rPr>
        <w:t>The accompanying consolidated balance sheet as of March 31, 2018, the consolidated statements of operations and comprehensive loss and of cash flows for the three months ended March 31, 2017 and 2018, and the consolidated statement of convertible preferred shares and shareholders' deficit for the three months ended March 31, 2018 are unaudited. The unaudited interim consolidated financial statements have been prepared on the same basis as the audited</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25" w:name="page226"/>
    <w:bookmarkEnd w:id="2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annual consolidated financial statements and, in the opinion of management, reflect all adjustments, which include only normal recurring adjustments, necessary for the fair statement of the Company's financial position as of March 31, 2018 and the results of its operations and its cash flows for the three months ended March 31, 2017 and 2018. The financial data and other information disclosed in these notes related to the three months ended March 31, 2017 and 2018 are also unaudited.</w:t>
      </w:r>
    </w:p>
    <w:p>
      <w:pPr>
        <w:spacing w:after="0" w:line="2" w:lineRule="exact"/>
        <w:rPr>
          <w:sz w:val="20"/>
          <w:szCs w:val="20"/>
          <w:color w:val="auto"/>
        </w:rPr>
      </w:pPr>
    </w:p>
    <w:p>
      <w:pPr>
        <w:ind w:right="260"/>
        <w:spacing w:after="0" w:line="241" w:lineRule="auto"/>
        <w:rPr>
          <w:sz w:val="20"/>
          <w:szCs w:val="20"/>
          <w:color w:val="auto"/>
        </w:rPr>
      </w:pPr>
      <w:r>
        <w:rPr>
          <w:rFonts w:ascii="Arial" w:cs="Arial" w:eastAsia="Arial" w:hAnsi="Arial"/>
          <w:sz w:val="16"/>
          <w:szCs w:val="16"/>
          <w:color w:val="auto"/>
        </w:rPr>
        <w:t>The results for the three months ended March 31, 2018 are not necessarily indicative of results to be expected for the year ending December 31, 2018, any other interim periods, or any future year or period.</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208" w:lineRule="exact"/>
        <w:rPr>
          <w:sz w:val="20"/>
          <w:szCs w:val="20"/>
          <w:color w:val="auto"/>
        </w:rPr>
      </w:pPr>
    </w:p>
    <w:p>
      <w:pPr>
        <w:ind w:right="300" w:firstLine="433"/>
        <w:spacing w:after="0" w:line="238" w:lineRule="auto"/>
        <w:rPr>
          <w:sz w:val="20"/>
          <w:szCs w:val="20"/>
          <w:color w:val="auto"/>
        </w:rPr>
      </w:pPr>
      <w:r>
        <w:rPr>
          <w:rFonts w:ascii="Arial" w:cs="Arial" w:eastAsia="Arial" w:hAnsi="Arial"/>
          <w:sz w:val="16"/>
          <w:szCs w:val="16"/>
          <w:color w:val="auto"/>
        </w:rPr>
        <w:t>The accompanying unaudited pro forma consolidated balance sheet as of March 31, 2018 has been prepared to give effect, upon the closing of a qualified IPO, to the automatic conversion of (i) all outstanding Series A convertible preferred shares into 1,070,502 Class B common shares and 16,057,618 Class B1 common shares and (ii) all outstanding Series B and Series C convertible preferred shares into 5,546,019 Class A common shares and 12,995,954 Class A1 common shares as if the Company's proposed IPO had occurred on March 31, 2018.</w:t>
      </w:r>
    </w:p>
    <w:p>
      <w:pPr>
        <w:spacing w:after="0" w:line="187" w:lineRule="exact"/>
        <w:rPr>
          <w:sz w:val="20"/>
          <w:szCs w:val="20"/>
          <w:color w:val="auto"/>
        </w:rPr>
      </w:pPr>
    </w:p>
    <w:p>
      <w:pPr>
        <w:ind w:right="40" w:firstLine="436"/>
        <w:spacing w:after="0" w:line="257" w:lineRule="auto"/>
        <w:rPr>
          <w:sz w:val="20"/>
          <w:szCs w:val="20"/>
          <w:color w:val="auto"/>
        </w:rPr>
      </w:pPr>
      <w:r>
        <w:rPr>
          <w:rFonts w:ascii="Arial" w:cs="Arial" w:eastAsia="Arial" w:hAnsi="Arial"/>
          <w:sz w:val="15"/>
          <w:szCs w:val="15"/>
          <w:color w:val="auto"/>
        </w:rPr>
        <w:t>In the accompanying consolidated statements of operations and comprehensive loss, the unaudited pro forma basic and diluted net loss per share attributable to common shareholders for the year ended December 31, 2017 and the three months ended March 31, 2018 have been prepared to give effect, upon the closing of a qualified IPO, to the automatic conversion of (i) all outstanding Series A convertible preferred shares into 1,070,502 Class B common shares and 16,057,618 Class B1 common shares and (ii) all outstanding Series B and Series C convertible preferred shares into 5,546,019 Class A common shares and 12,995,954 Class A1 common shares as if the proposed IPO had occurred on the later of January 1, 2017 or the issuance date of the convertible preferred shares.</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8"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Company classifies deposits in banks, money market funds and cash invested temporarily in various instruments with maturities of three months or less at the time of purchase as cash and cash equivalents. At December 31, 2016 and 2017 and March 31, 2018 (unaudited), cash and cash equivalents consisted principally of U.S. Treasury notes, amounts held in money market accounts and cash on deposit at commercial banks.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At December 31, 2016 and 2017 and March 31, 2018 (unaudited), all of the Company's cash and cash equivalents were held at two financial institutions.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6" w:name="page227"/>
    <w:bookmarkEnd w:id="226"/>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20" w:hanging="484"/>
        <w:spacing w:after="0" w:line="500" w:lineRule="auto"/>
        <w:tabs>
          <w:tab w:leader="none" w:pos="175"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Restricted Cash</w:t>
      </w:r>
    </w:p>
    <w:p>
      <w:pPr>
        <w:spacing w:after="0" w:line="1" w:lineRule="exact"/>
        <w:rPr>
          <w:sz w:val="20"/>
          <w:szCs w:val="20"/>
          <w:color w:val="auto"/>
        </w:rPr>
      </w:pPr>
    </w:p>
    <w:p>
      <w:pPr>
        <w:ind w:left="4" w:right="120" w:firstLine="436"/>
        <w:spacing w:after="0" w:line="239" w:lineRule="auto"/>
        <w:rPr>
          <w:sz w:val="20"/>
          <w:szCs w:val="20"/>
          <w:color w:val="auto"/>
        </w:rPr>
      </w:pPr>
      <w:r>
        <w:rPr>
          <w:rFonts w:ascii="Arial" w:cs="Arial" w:eastAsia="Arial" w:hAnsi="Arial"/>
          <w:sz w:val="16"/>
          <w:szCs w:val="16"/>
          <w:color w:val="auto"/>
        </w:rPr>
        <w:t>Restricted cash classified as a current asset as of December 31, 2016 and 2017 and March 31, 2018 (unaudited) includes cash held in a money market fund in connection with the Company's corporate credit cards. These amounts have been classified as current assets based on the contractual release date of the restrictions.</w:t>
      </w:r>
    </w:p>
    <w:p>
      <w:pPr>
        <w:spacing w:after="0" w:line="186" w:lineRule="exact"/>
        <w:rPr>
          <w:sz w:val="20"/>
          <w:szCs w:val="20"/>
          <w:color w:val="auto"/>
        </w:rPr>
      </w:pPr>
    </w:p>
    <w:p>
      <w:pPr>
        <w:ind w:left="4" w:right="180" w:firstLine="436"/>
        <w:spacing w:after="0" w:line="239" w:lineRule="auto"/>
        <w:rPr>
          <w:sz w:val="20"/>
          <w:szCs w:val="20"/>
          <w:color w:val="auto"/>
        </w:rPr>
      </w:pPr>
      <w:r>
        <w:rPr>
          <w:rFonts w:ascii="Arial" w:cs="Arial" w:eastAsia="Arial" w:hAnsi="Arial"/>
          <w:sz w:val="16"/>
          <w:szCs w:val="16"/>
          <w:color w:val="auto"/>
        </w:rPr>
        <w:t>In conjunction with the Company's lease agreement entered into in March 2018 (see Note 12), the Company maintains a letter of credit for the benefit of the landlord. As of March 31, 2018 (unaudited), the underlying cash balance of $210 securing this letter of credit, was classified as non-current in the consolidated balance sheet.</w:t>
      </w:r>
    </w:p>
    <w:p>
      <w:pPr>
        <w:spacing w:after="0" w:line="16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208" w:lineRule="exact"/>
        <w:rPr>
          <w:sz w:val="20"/>
          <w:szCs w:val="20"/>
          <w:color w:val="auto"/>
        </w:rPr>
      </w:pPr>
    </w:p>
    <w:p>
      <w:pPr>
        <w:ind w:left="4" w:firstLine="436"/>
        <w:spacing w:after="0" w:line="238" w:lineRule="auto"/>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using the straight-line method.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and comprehensive loss in the period of disposal. The expected useful lives of the respective assets are as follows:</w:t>
      </w:r>
    </w:p>
    <w:p>
      <w:pPr>
        <w:spacing w:after="0" w:line="191" w:lineRule="exact"/>
        <w:rPr>
          <w:sz w:val="20"/>
          <w:szCs w:val="20"/>
          <w:color w:val="auto"/>
        </w:rPr>
      </w:pPr>
    </w:p>
    <w:tbl>
      <w:tblPr>
        <w:tblLayout w:type="fixed"/>
        <w:tblInd w:w="1704" w:type="dxa"/>
        <w:tblCellMar>
          <w:top w:w="0" w:type="dxa"/>
          <w:left w:w="0" w:type="dxa"/>
          <w:bottom w:w="0" w:type="dxa"/>
          <w:right w:w="0" w:type="dxa"/>
        </w:tblCellMar>
      </w:tblPr>
      <w:tr>
        <w:trPr>
          <w:trHeight w:val="214"/>
        </w:trPr>
        <w:tc>
          <w:tcPr>
            <w:tcW w:w="3520" w:type="dxa"/>
            <w:vAlign w:val="bottom"/>
          </w:tcPr>
          <w:p>
            <w:pPr>
              <w:spacing w:after="0"/>
              <w:rPr>
                <w:sz w:val="18"/>
                <w:szCs w:val="18"/>
                <w:color w:val="auto"/>
              </w:rPr>
            </w:pPr>
          </w:p>
        </w:tc>
        <w:tc>
          <w:tcPr>
            <w:tcW w:w="44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Estimated Useful Life</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Computer hardware and software</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7"/>
              </w:rPr>
              <w:t>3 - 5 years</w:t>
            </w:r>
          </w:p>
        </w:tc>
      </w:tr>
      <w:tr>
        <w:trPr>
          <w:trHeight w:val="181"/>
        </w:trPr>
        <w:tc>
          <w:tcPr>
            <w:tcW w:w="3520" w:type="dxa"/>
            <w:vAlign w:val="bottom"/>
          </w:tcPr>
          <w:p>
            <w:pPr>
              <w:ind w:left="20"/>
              <w:spacing w:after="0" w:line="181" w:lineRule="exact"/>
              <w:rPr>
                <w:sz w:val="20"/>
                <w:szCs w:val="20"/>
                <w:color w:val="auto"/>
              </w:rPr>
            </w:pPr>
            <w:r>
              <w:rPr>
                <w:rFonts w:ascii="Arial" w:cs="Arial" w:eastAsia="Arial" w:hAnsi="Arial"/>
                <w:sz w:val="16"/>
                <w:szCs w:val="16"/>
                <w:color w:val="auto"/>
              </w:rPr>
              <w:t>Vehicles</w:t>
            </w:r>
          </w:p>
        </w:tc>
        <w:tc>
          <w:tcPr>
            <w:tcW w:w="4480" w:type="dxa"/>
            <w:vAlign w:val="bottom"/>
          </w:tcPr>
          <w:p>
            <w:pPr>
              <w:jc w:val="center"/>
              <w:spacing w:after="0" w:line="181" w:lineRule="exact"/>
              <w:rPr>
                <w:sz w:val="20"/>
                <w:szCs w:val="20"/>
                <w:color w:val="auto"/>
              </w:rPr>
            </w:pPr>
            <w:r>
              <w:rPr>
                <w:rFonts w:ascii="Arial" w:cs="Arial" w:eastAsia="Arial" w:hAnsi="Arial"/>
                <w:sz w:val="16"/>
                <w:szCs w:val="16"/>
                <w:color w:val="auto"/>
                <w:w w:val="95"/>
              </w:rPr>
              <w:t>5 years</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Laboratory and facility equipment</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5"/>
              </w:rPr>
              <w:t>5 years</w:t>
            </w:r>
          </w:p>
        </w:tc>
      </w:tr>
      <w:tr>
        <w:trPr>
          <w:trHeight w:val="181"/>
        </w:trPr>
        <w:tc>
          <w:tcPr>
            <w:tcW w:w="3520" w:type="dxa"/>
            <w:vAlign w:val="bottom"/>
          </w:tcPr>
          <w:p>
            <w:pPr>
              <w:ind w:left="20"/>
              <w:spacing w:after="0" w:line="181" w:lineRule="exact"/>
              <w:rPr>
                <w:sz w:val="20"/>
                <w:szCs w:val="20"/>
                <w:color w:val="auto"/>
              </w:rPr>
            </w:pPr>
            <w:r>
              <w:rPr>
                <w:rFonts w:ascii="Arial" w:cs="Arial" w:eastAsia="Arial" w:hAnsi="Arial"/>
                <w:sz w:val="16"/>
                <w:szCs w:val="16"/>
                <w:color w:val="auto"/>
              </w:rPr>
              <w:t>Furniture and fixtures</w:t>
            </w:r>
          </w:p>
        </w:tc>
        <w:tc>
          <w:tcPr>
            <w:tcW w:w="4480" w:type="dxa"/>
            <w:vAlign w:val="bottom"/>
          </w:tcPr>
          <w:p>
            <w:pPr>
              <w:jc w:val="center"/>
              <w:spacing w:after="0" w:line="181" w:lineRule="exact"/>
              <w:rPr>
                <w:sz w:val="20"/>
                <w:szCs w:val="20"/>
                <w:color w:val="auto"/>
              </w:rPr>
            </w:pPr>
            <w:r>
              <w:rPr>
                <w:rFonts w:ascii="Arial" w:cs="Arial" w:eastAsia="Arial" w:hAnsi="Arial"/>
                <w:sz w:val="16"/>
                <w:szCs w:val="16"/>
                <w:color w:val="auto"/>
                <w:w w:val="97"/>
              </w:rPr>
              <w:t>5 - 7 years</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Leasehold improvements</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7"/>
              </w:rPr>
              <w:t>Shorter of estimated useful life or lease term</w:t>
            </w:r>
          </w:p>
        </w:tc>
      </w:tr>
    </w:tbl>
    <w:p>
      <w:pPr>
        <w:spacing w:after="0" w:line="17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08" w:lineRule="exact"/>
        <w:rPr>
          <w:sz w:val="20"/>
          <w:szCs w:val="20"/>
          <w:color w:val="auto"/>
        </w:rPr>
      </w:pPr>
    </w:p>
    <w:p>
      <w:pPr>
        <w:ind w:left="4" w:right="20" w:firstLine="436"/>
        <w:spacing w:after="0" w:line="237"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227" w:name="page228"/>
    <w:bookmarkEnd w:id="227"/>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40" w:hanging="484"/>
        <w:spacing w:after="0" w:line="500" w:lineRule="auto"/>
        <w:tabs>
          <w:tab w:leader="none" w:pos="175"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Deferred Offering Costs</w:t>
      </w:r>
    </w:p>
    <w:p>
      <w:pPr>
        <w:spacing w:after="0" w:line="1" w:lineRule="exact"/>
        <w:rPr>
          <w:sz w:val="20"/>
          <w:szCs w:val="20"/>
          <w:color w:val="auto"/>
        </w:rPr>
      </w:pPr>
    </w:p>
    <w:p>
      <w:pPr>
        <w:ind w:left="4" w:firstLine="433"/>
        <w:spacing w:after="0" w:line="237"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preferred share or common equity financings as deferred offering costs until such financings are consummated. After consummation of the equity financing, these costs are recorded as a reduction to the carrying value of convertible preferred shares or in shareholders' equity (deficit) as a reduction of additional paid-in capital generated as a result of the offering. Should an in-process equity financing be abandoned, the deferred offering costs will be expensed immediately as a charge to operating expenses in the consolidated statements of operations and comprehensive loss. The Company recorded deferred offering costs related to the sale of convertible preferred shares of $8 and $25 as of December 31, 2016 or 2017, respectively. The Company recorded deferred offering costs in contemplation of an initial public offering of its Class A common shares of $1,608 as of March 31, 2018 (unaudited).</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08" w:lineRule="exact"/>
        <w:rPr>
          <w:sz w:val="20"/>
          <w:szCs w:val="20"/>
          <w:color w:val="auto"/>
        </w:rPr>
      </w:pPr>
    </w:p>
    <w:p>
      <w:pPr>
        <w:ind w:left="4" w:right="220" w:firstLine="436"/>
        <w:spacing w:after="0" w:line="237"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964" w:hanging="481"/>
        <w:spacing w:after="0"/>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89" w:lineRule="exact"/>
        <w:rPr>
          <w:rFonts w:ascii="Arial" w:cs="Arial" w:eastAsia="Arial" w:hAnsi="Arial"/>
          <w:sz w:val="16"/>
          <w:szCs w:val="16"/>
          <w:color w:val="auto"/>
        </w:rPr>
      </w:pPr>
    </w:p>
    <w:p>
      <w:pPr>
        <w:ind w:left="964" w:hanging="481"/>
        <w:spacing w:after="0" w:line="239" w:lineRule="auto"/>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4" w:lineRule="exact"/>
        <w:rPr>
          <w:rFonts w:ascii="Arial" w:cs="Arial" w:eastAsia="Arial" w:hAnsi="Arial"/>
          <w:sz w:val="16"/>
          <w:szCs w:val="16"/>
          <w:color w:val="auto"/>
        </w:rPr>
      </w:pPr>
    </w:p>
    <w:p>
      <w:pPr>
        <w:ind w:left="964" w:right="580" w:hanging="481"/>
        <w:spacing w:after="0" w:line="241" w:lineRule="auto"/>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85" w:lineRule="exact"/>
        <w:rPr>
          <w:sz w:val="20"/>
          <w:szCs w:val="20"/>
          <w:color w:val="auto"/>
        </w:rPr>
      </w:pPr>
    </w:p>
    <w:p>
      <w:pPr>
        <w:ind w:left="4" w:firstLine="433"/>
        <w:spacing w:after="0" w:line="238" w:lineRule="auto"/>
        <w:rPr>
          <w:sz w:val="20"/>
          <w:szCs w:val="20"/>
          <w:color w:val="auto"/>
        </w:rPr>
      </w:pPr>
      <w:r>
        <w:rPr>
          <w:rFonts w:ascii="Arial" w:cs="Arial" w:eastAsia="Arial" w:hAnsi="Arial"/>
          <w:sz w:val="16"/>
          <w:szCs w:val="16"/>
          <w:color w:val="auto"/>
        </w:rPr>
        <w:t>The Company's restricted cash, which is held in a money market fund, is carried at fair value, determined based on Level 1 inputs in the fair value hierarchy described above (see Note 3). The Company's cash equivalents, consisting of money market accounts and U.S. Treasury notes, are carried at fair value, determined based on Level 1 and 2 inputs in the fair value hierarchy described above (see Note 3). The carrying values of the Company's prepaid expenses and other current assets, accounts payable and accrued expenses approximate their fair values due to the short-term nature of these assets and liabilities.</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28" w:name="page229"/>
    <w:bookmarkEnd w:id="228"/>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20" w:hanging="484"/>
        <w:spacing w:after="0" w:line="500" w:lineRule="auto"/>
        <w:tabs>
          <w:tab w:leader="none" w:pos="175"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Segment Information</w:t>
      </w:r>
    </w:p>
    <w:p>
      <w:pPr>
        <w:spacing w:after="0" w:line="1" w:lineRule="exact"/>
        <w:rPr>
          <w:sz w:val="20"/>
          <w:szCs w:val="20"/>
          <w:color w:val="auto"/>
        </w:rPr>
      </w:pPr>
    </w:p>
    <w:p>
      <w:pPr>
        <w:ind w:left="4" w:right="20" w:firstLine="433"/>
        <w:spacing w:after="0" w:line="273" w:lineRule="auto"/>
        <w:rPr>
          <w:sz w:val="20"/>
          <w:szCs w:val="20"/>
          <w:color w:val="auto"/>
        </w:rPr>
      </w:pPr>
      <w:r>
        <w:rPr>
          <w:rFonts w:ascii="Arial" w:cs="Arial" w:eastAsia="Arial" w:hAnsi="Arial"/>
          <w:sz w:val="15"/>
          <w:szCs w:val="15"/>
          <w:color w:val="auto"/>
        </w:rPr>
        <w:t>The Company manages its operations as a single operating segment for the purposes of assessing performance and making operating decisions. The Company's singular focus is on developing and delivering therapeutic medicines for patients suffering from debilitating diseases with significant unmet medical need.</w:t>
      </w:r>
    </w:p>
    <w:p>
      <w:pPr>
        <w:spacing w:after="0" w:line="144"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08"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to discover, research and develop drug candidates, including personnel expenses, share-based compensation expense, allocated facility-related and depreciation expenses, third-party license fees and external costs of outside vendors engaged to conduct clinical development activities and clinical trials as well as to manufacture clinical trial materials.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Research Contract Costs and Accruals</w:t>
      </w:r>
    </w:p>
    <w:p>
      <w:pPr>
        <w:spacing w:after="0" w:line="208" w:lineRule="exact"/>
        <w:rPr>
          <w:sz w:val="20"/>
          <w:szCs w:val="20"/>
          <w:color w:val="auto"/>
        </w:rPr>
      </w:pPr>
    </w:p>
    <w:p>
      <w:pPr>
        <w:ind w:left="4" w:right="60" w:firstLine="433"/>
        <w:spacing w:after="0" w:line="257" w:lineRule="auto"/>
        <w:rPr>
          <w:sz w:val="20"/>
          <w:szCs w:val="20"/>
          <w:color w:val="auto"/>
        </w:rPr>
      </w:pPr>
      <w:r>
        <w:rPr>
          <w:rFonts w:ascii="Arial" w:cs="Arial" w:eastAsia="Arial" w:hAnsi="Arial"/>
          <w:sz w:val="15"/>
          <w:szCs w:val="15"/>
          <w:color w:val="auto"/>
        </w:rPr>
        <w:t>The Company has entered into various research and development-related contracts with companies both inside and outside of the United States. The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56"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Patent Costs</w:t>
      </w:r>
    </w:p>
    <w:p>
      <w:pPr>
        <w:spacing w:after="0" w:line="208" w:lineRule="exact"/>
        <w:rPr>
          <w:sz w:val="20"/>
          <w:szCs w:val="20"/>
          <w:color w:val="auto"/>
        </w:rPr>
      </w:pPr>
    </w:p>
    <w:p>
      <w:pPr>
        <w:ind w:left="4" w:right="560" w:firstLine="433"/>
        <w:spacing w:after="0" w:line="241" w:lineRule="auto"/>
        <w:rPr>
          <w:sz w:val="20"/>
          <w:szCs w:val="20"/>
          <w:color w:val="auto"/>
        </w:rPr>
      </w:pPr>
      <w:r>
        <w:rPr>
          <w:rFonts w:ascii="Arial" w:cs="Arial" w:eastAsia="Arial" w:hAnsi="Arial"/>
          <w:sz w:val="16"/>
          <w:szCs w:val="16"/>
          <w:color w:val="auto"/>
        </w:rPr>
        <w:t>The Company charges patent-related costs in connection with filing and prosecuting patent applications to operations as incurred as their realization is uncertain. These costs are classified as general and administrative expenses.</w:t>
      </w:r>
    </w:p>
    <w:p>
      <w:pPr>
        <w:spacing w:after="0" w:line="167"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08" w:lineRule="exact"/>
        <w:rPr>
          <w:sz w:val="20"/>
          <w:szCs w:val="20"/>
          <w:color w:val="auto"/>
        </w:rPr>
      </w:pPr>
    </w:p>
    <w:p>
      <w:pPr>
        <w:ind w:left="4" w:firstLine="433"/>
        <w:spacing w:after="0" w:line="238" w:lineRule="auto"/>
        <w:rPr>
          <w:sz w:val="20"/>
          <w:szCs w:val="20"/>
          <w:color w:val="auto"/>
        </w:rPr>
      </w:pPr>
      <w:r>
        <w:rPr>
          <w:rFonts w:ascii="Arial" w:cs="Arial" w:eastAsia="Arial" w:hAnsi="Arial"/>
          <w:sz w:val="16"/>
          <w:szCs w:val="16"/>
          <w:color w:val="auto"/>
        </w:rPr>
        <w:t>The Company measures all share-based awards granted to employees and directors based on their fair value on the date of the grant and recognizes compensation expense for those awards over the requisite service period, which is generally the vesting period of the respective award. Forfeitures are accounted for as they occur. The Company issues share-based awards with only service-based vesting conditions and records the expense for these awards using the straight-line method. The Company has not issued any share-based awards with performance-based vesting conditions.</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229" w:name="page230"/>
    <w:bookmarkEnd w:id="2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For share-based awards granted to consultants and non-employees, compensation expense is recognized over the vesting period of the awards, which is generally the period during which services are rendered by such consultants and non-employees until completed. At the end of each financial reporting period prior to completion of the service, the fair value of these awards is remeasured using the then-current fair value of the Company's Class A common shares and updated assumption inputs in the Black-Scholes option-pricing model.</w:t>
      </w:r>
    </w:p>
    <w:p>
      <w:pPr>
        <w:spacing w:after="0" w:line="187"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5"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fair value of each restricted share award is estimated on the date of grant based on the fair value of the Company's Class A or Class B common shares on that same date. The fair value of each option grant is estimated on the date of grant using the Black-Scholes option-pricing model, which requires inputs based on certain subjective assumptions, including the expected share price volatility, the expected term of the award, the risk-free interest rate, and expected dividends (see Note 8). The Company historically has been a private company and lacks company-specific historical and implied volatility information for its shares. Therefore, it estimates its expected share price volatility based on the historical volatility of publicly traded peer companies and expects to continue to do so until such time as it has adequate historical data regarding the volatility of its own traded share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shares and does not expect to pay any cash dividends in the foreseeable future.</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08"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Comprehensive loss includes net loss as well as other changes in shareholders' equity (deficit) that result from transactions and economic events other than those with shareholders. There was no difference between net loss and comprehensive loss for each of the periods presented in the accompanying consolidated financial statements.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Income Taxes</w:t>
      </w:r>
    </w:p>
    <w:p>
      <w:pPr>
        <w:spacing w:after="0" w:line="208"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0" w:name="page231"/>
    <w:bookmarkEnd w:id="2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460"/>
        <w:spacing w:after="0" w:line="241" w:lineRule="auto"/>
        <w:rPr>
          <w:sz w:val="20"/>
          <w:szCs w:val="20"/>
          <w:color w:val="auto"/>
        </w:rPr>
      </w:pPr>
      <w:r>
        <w:rPr>
          <w:rFonts w:ascii="Arial" w:cs="Arial" w:eastAsia="Arial" w:hAnsi="Arial"/>
          <w:sz w:val="16"/>
          <w:szCs w:val="16"/>
          <w:color w:val="auto"/>
        </w:rPr>
        <w:t>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5"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To date, the Company has not taken any uncertain tax positions or recorded any reserves, interest or penalties.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Net Income (Loss) per Share</w:t>
      </w:r>
    </w:p>
    <w:p>
      <w:pPr>
        <w:spacing w:after="0" w:line="208" w:lineRule="exact"/>
        <w:rPr>
          <w:sz w:val="20"/>
          <w:szCs w:val="20"/>
          <w:color w:val="auto"/>
        </w:rPr>
      </w:pPr>
    </w:p>
    <w:p>
      <w:pPr>
        <w:ind w:right="160" w:firstLine="433"/>
        <w:spacing w:after="0" w:line="237" w:lineRule="auto"/>
        <w:rPr>
          <w:sz w:val="20"/>
          <w:szCs w:val="20"/>
          <w:color w:val="auto"/>
        </w:rPr>
      </w:pPr>
      <w:r>
        <w:rPr>
          <w:rFonts w:ascii="Arial" w:cs="Arial" w:eastAsia="Arial" w:hAnsi="Arial"/>
          <w:sz w:val="16"/>
          <w:szCs w:val="16"/>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upon their respective rights to receive dividends as if all income for the period had been distributed.</w:t>
      </w:r>
    </w:p>
    <w:p>
      <w:pPr>
        <w:spacing w:after="0" w:line="189"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Basic net income (loss) per share attributable to common shareholders is computed by dividing the net income (loss) attributable to common shareholders by the weighted average number of common shares outstanding for the period. Diluted net income (loss) attributable to common shareholders is computed by adjusting net income (loss) attributable to common shareholders to reallocate undistributed earnings based on the potential impact of dilutive securities. Diluted net income (loss) per share attributable to common shareholders is computed by dividing the diluted net income (loss) attributable to common shareholders by the weighted average number of common shares outstanding for the period, including potential dilutive common shares. For purpose of this calculation, outstanding options, unvested restricted common shares and convertible preferred shares are considered potential dilutive common shares.</w:t>
      </w:r>
    </w:p>
    <w:p>
      <w:pPr>
        <w:spacing w:after="0" w:line="18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Company's convertible preferred shares contractually entitle the holders of such shares to participate in dividends but do not contractually require the holders of such shares to participate in losses of the Company. Accordingly, in periods in which the Company reports a net loss attributable to common shareholders, such losses are not allocated to such participating securities. In periods in which the Company reports a net loss attributable to common shareholders, diluted net loss per share attributable to common shareholders is the same as basic net loss per share attributable to common shareholders, since dilutive common shares are not assumed to have been issued if their effect is anti-dilutive. The Company reported a net loss attributable to common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1" w:name="page232"/>
    <w:bookmarkEnd w:id="2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shareholders for the years ended December 31, 2016 and 2017 and the three months ended March 31, 2017 and 2018 (unaudited).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2017, the Financial Accounting Standards Board ("FASB") issued Accounting Standards Update ("ASU") No. 2017-09, Compensation — Stock</w:t>
      </w:r>
    </w:p>
    <w:p>
      <w:pPr>
        <w:spacing w:after="0"/>
        <w:rPr>
          <w:sz w:val="20"/>
          <w:szCs w:val="20"/>
          <w:color w:val="auto"/>
        </w:rPr>
      </w:pPr>
      <w:r>
        <w:rPr>
          <w:rFonts w:ascii="Arial" w:cs="Arial" w:eastAsia="Arial" w:hAnsi="Arial"/>
          <w:sz w:val="15"/>
          <w:szCs w:val="15"/>
          <w:color w:val="auto"/>
        </w:rPr>
        <w:t>Compensation (Topic 718): Scope of Modification Accounting ("ASU 2017-09"), which clarifies when to account for a change to the terms or conditions of a share-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based payment award as a modification. Under the new guidance, modification accounting is required only if the fair value, the vesting conditions or the classification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award (as equity or liability) changes as a result of the change in terms or conditions. ASU 2017-09 is effective for annual periods beginning after</w:t>
      </w:r>
    </w:p>
    <w:p>
      <w:pPr>
        <w:spacing w:after="0"/>
        <w:rPr>
          <w:sz w:val="20"/>
          <w:szCs w:val="20"/>
          <w:color w:val="auto"/>
        </w:rPr>
      </w:pPr>
      <w:r>
        <w:rPr>
          <w:rFonts w:ascii="Arial" w:cs="Arial" w:eastAsia="Arial" w:hAnsi="Arial"/>
          <w:sz w:val="15"/>
          <w:szCs w:val="15"/>
          <w:color w:val="auto"/>
        </w:rPr>
        <w:t>December 15, 2017, including interim periods within those fiscal years. Early adoption is permitted. The Company adopted ASU 2017-09 as of the required effective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date of January 1, 2018. The adoption of ASU 2017-09 will have an impact on the modification of stock-based awards, if any, after the date of adoption. The adoption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of ASU 2017-09 did not have an impact on the Company's financial position, results of operations or cash flows.</w:t>
      </w:r>
    </w:p>
    <w:p>
      <w:pPr>
        <w:spacing w:after="0" w:line="174"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ASU 2017-01 clarifies the definition of a business by adding guidance to assist entities in evaluating whether transactions should be accounted for as acquisitions of assets or businesses. The definition of a business affects many areas of accounting including acquisitions, disposals, goodwill and consolidation. The ASU is effective for fiscal years beginning after December 15, 2018. Early adoption is permitted. The Company adopted this standard effective as of January 1, 2016 and applied it to its license and asset purchase agreements during the years ended December 31, 2016 and 2017 and the three months ended March 31, 2017 and 2018 (unaudited) (see Note 9).</w:t>
      </w:r>
    </w:p>
    <w:p>
      <w:pPr>
        <w:spacing w:after="0" w:line="170" w:lineRule="exact"/>
        <w:rPr>
          <w:sz w:val="20"/>
          <w:szCs w:val="20"/>
          <w:color w:val="auto"/>
        </w:rPr>
      </w:pPr>
    </w:p>
    <w:p>
      <w:pPr>
        <w:ind w:right="20" w:firstLine="436"/>
        <w:spacing w:after="0"/>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amounts generally described as restricted cash and restricted cash equivalents be included with cash and cash equivalents when reconciling the beginning-of-period and end-of-period total amounts shown on the statement of cash flows. ASU 2016-18 is effective for fiscal years beginning after December 15, 2017 and interim periods within those fiscal years and should be applied using a retrospective transition method to each period presented. Early adoption is permitted. The Company elected to early adopt ASU 2016-18 effective as of January 1, 2017 and has reflected the adoption retrospectively to all periods presented in its consolidated financial statements. As a result, the Company's consolidated statements of cash flows include restricted cash with cash and cash equivalents when reconciling the beginning-of-period and end-of-period total amounts shown on the such statements.</w:t>
      </w:r>
    </w:p>
    <w:p>
      <w:pPr>
        <w:spacing w:after="0" w:line="18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("ASU 2016-15"). This guidance addresses diversity in practice in how certain cash receipts and cash payments are presented in the statement of cash flows. The standard is effective for fiscal years beginning after December 15, 2017, including interim periods in those fiscal years, and early adoption is permitted. The adoption of ASU 2016-15 is required to be applied retrospectively. The Company adopted ASU 2017-09 as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32" w:name="page233"/>
    <w:bookmarkEnd w:id="2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required effective date of January 1, 2018, and the adoption did not have an impact on the Company's consolidated statement of cash flows.</w:t>
      </w:r>
    </w:p>
    <w:p>
      <w:pPr>
        <w:spacing w:after="0" w:line="174" w:lineRule="exact"/>
        <w:rPr>
          <w:sz w:val="20"/>
          <w:szCs w:val="20"/>
          <w:color w:val="auto"/>
        </w:rPr>
      </w:pPr>
    </w:p>
    <w:p>
      <w:pPr>
        <w:ind w:right="20" w:firstLine="436"/>
        <w:spacing w:after="0"/>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addresses several aspects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share compensation expense with actual forfeitures recognized as they occur, and classification on the statement of cash flows. Certain of these changes are required to be applied retrospectively, while other changes are required to be applied prospectively. The Company adopted ASU 2016-09 effective as of January 1, 2016 and elected prospectively to account for forfeitures as they occur rather than apply an estimated forfeiture rate to share-based compensation expense. The adoption of ASU 2016-09 did not have a material impact on the Company's financial position, results of operations or cash flows.</w:t>
      </w:r>
    </w:p>
    <w:p>
      <w:pPr>
        <w:spacing w:after="0" w:line="172" w:lineRule="exact"/>
        <w:rPr>
          <w:sz w:val="20"/>
          <w:szCs w:val="20"/>
          <w:color w:val="auto"/>
        </w:rPr>
      </w:pPr>
    </w:p>
    <w:p>
      <w:pPr>
        <w:ind w:right="60" w:firstLine="436"/>
        <w:spacing w:after="0" w:line="242" w:lineRule="auto"/>
        <w:rPr>
          <w:sz w:val="20"/>
          <w:szCs w:val="20"/>
          <w:color w:val="auto"/>
        </w:rPr>
      </w:pPr>
      <w:r>
        <w:rPr>
          <w:rFonts w:ascii="Arial" w:cs="Arial" w:eastAsia="Arial" w:hAnsi="Arial"/>
          <w:sz w:val="16"/>
          <w:szCs w:val="16"/>
          <w:color w:val="auto"/>
        </w:rPr>
        <w:t>In November 2015, the FASB issued ASU No. 2015-17</w:t>
      </w:r>
      <w:r>
        <w:rPr>
          <w:rFonts w:ascii="Arial" w:cs="Arial" w:eastAsia="Arial" w:hAnsi="Arial"/>
          <w:sz w:val="16"/>
          <w:szCs w:val="16"/>
          <w:i w:val="1"/>
          <w:iCs w:val="1"/>
          <w:color w:val="auto"/>
        </w:rPr>
        <w:t>, Income Taxes (Topic 740): Balance Sheet Classification of Deferred Taxes</w:t>
      </w:r>
      <w:r>
        <w:rPr>
          <w:rFonts w:ascii="Arial" w:cs="Arial" w:eastAsia="Arial" w:hAnsi="Arial"/>
          <w:sz w:val="16"/>
          <w:szCs w:val="16"/>
          <w:color w:val="auto"/>
        </w:rPr>
        <w:t xml:space="preserve"> ("ASU 2015-17"). ASU 2015-17 requires deferred tax liabilities and assets to be classified as non-current in the consolidated balance sheet. The amendment may be applied either prospectively to all deferred tax liabilities and assets or retrospectively to all periods presented. The Company adopted ASU 2015-17 effective as of January 1, 2016 and has reflected the adoption retrospectively to all periods presented in its consolidated financial statements. The adoption of ASU 2015-17 did not have a material impact on the Company's financial position, results of operations or cash flows.</w:t>
      </w:r>
    </w:p>
    <w:p>
      <w:pPr>
        <w:spacing w:after="0" w:line="170" w:lineRule="exact"/>
        <w:rPr>
          <w:sz w:val="20"/>
          <w:szCs w:val="20"/>
          <w:color w:val="auto"/>
        </w:rPr>
      </w:pPr>
    </w:p>
    <w:p>
      <w:pPr>
        <w:ind w:right="20" w:firstLine="436"/>
        <w:spacing w:after="0" w:line="24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 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("ASU 2014-15"). The amendments in this update explicitly require a company's management to assess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substantial doubt about an entity's ability to continue as a going concern within one year of the date of issuance of the entity's financial statements and to provide related footnote disclosures in certain circumstances. The Company adopted ASU 2014-15 effective as of January 1, 2016. This guidance relates to footnote disclosure only and its adoption had no impact on the Company's financial position, results of operations or cash flows.</w:t>
      </w:r>
    </w:p>
    <w:p>
      <w:pPr>
        <w:spacing w:after="0" w:line="17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In August 2015,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delays the effective date of ASU</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2014-09 such that the standard is effective for public entities for annual periods beginning after December 15, 2017 and for interim periods within those fiscal years. The FASB subsequently issued amendments to ASU 2014-09 that have the same effective date and transition date. The Company adopted ASU 2014-09 as of the required effective date of January 1, 2018 and the adoption did not have an impact on the Company's consolidated financial statements as the Company does not currently have any revenue-generating arrangements.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92"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Part I</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ASU 2017-11 is required to be adopted for annual periods beginning after December 15, 2018, including interim periods within those fiscal years. The Company is currently evaluating the impact that the adoption of ASU 2017-11 will have on its consolidated financial statements.</w:t>
      </w:r>
    </w:p>
    <w:p>
      <w:pPr>
        <w:spacing w:after="0" w:line="175"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guidance is effective for annual periods beginning after December 15, 2018 and for interim periods within those fiscal years, and early adoption is permitted. The Company is currently evaluating the impact that the adoption of ASU 2016-02 will have on its consolidated financial statements.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4" w:name="page235"/>
    <w:bookmarkEnd w:id="2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210" w:lineRule="exact"/>
        <w:rPr>
          <w:sz w:val="20"/>
          <w:szCs w:val="20"/>
          <w:color w:val="auto"/>
        </w:rPr>
      </w:pPr>
    </w:p>
    <w:p>
      <w:pPr>
        <w:ind w:firstLine="433"/>
        <w:spacing w:after="0" w:line="241" w:lineRule="auto"/>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40" w:type="dxa"/>
            <w:vAlign w:val="bottom"/>
            <w:gridSpan w:val="8"/>
          </w:tcPr>
          <w:p>
            <w:pPr>
              <w:jc w:val="center"/>
              <w:spacing w:after="0"/>
              <w:rPr>
                <w:sz w:val="20"/>
                <w:szCs w:val="20"/>
                <w:color w:val="auto"/>
              </w:rPr>
            </w:pPr>
            <w:r>
              <w:rPr>
                <w:rFonts w:ascii="Arial" w:cs="Arial" w:eastAsia="Arial" w:hAnsi="Arial"/>
                <w:sz w:val="16"/>
                <w:szCs w:val="16"/>
                <w:b w:val="1"/>
                <w:bCs w:val="1"/>
                <w:color w:val="auto"/>
                <w:w w:val="97"/>
              </w:rPr>
              <w:t>Fair Value Measurements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11"/>
          </w:tcPr>
          <w:p>
            <w:pPr>
              <w:jc w:val="center"/>
              <w:ind w:right="100"/>
              <w:spacing w:after="0"/>
              <w:rPr>
                <w:sz w:val="20"/>
                <w:szCs w:val="20"/>
                <w:color w:val="auto"/>
              </w:rPr>
            </w:pPr>
            <w:r>
              <w:rPr>
                <w:rFonts w:ascii="Arial" w:cs="Arial" w:eastAsia="Arial" w:hAnsi="Arial"/>
                <w:sz w:val="16"/>
                <w:szCs w:val="16"/>
                <w:b w:val="1"/>
                <w:bCs w:val="1"/>
                <w:color w:val="auto"/>
                <w:w w:val="98"/>
              </w:rPr>
              <w:t>as of December 31, 2016 Using:</w:t>
            </w:r>
          </w:p>
        </w:tc>
      </w:tr>
      <w:tr>
        <w:trPr>
          <w:trHeight w:val="197"/>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4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428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w:t>
            </w:r>
          </w:p>
        </w:tc>
        <w:tc>
          <w:tcPr>
            <w:tcW w:w="14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2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ind w:left="460"/>
              <w:spacing w:after="0" w:line="181" w:lineRule="exact"/>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5"/>
                <w:szCs w:val="15"/>
                <w:color w:val="auto"/>
              </w:rPr>
            </w:pPr>
          </w:p>
        </w:tc>
      </w:tr>
      <w:tr>
        <w:trPr>
          <w:trHeight w:val="181"/>
        </w:trPr>
        <w:tc>
          <w:tcPr>
            <w:tcW w:w="42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550</w:t>
            </w:r>
          </w:p>
        </w:tc>
        <w:tc>
          <w:tcPr>
            <w:tcW w:w="140" w:type="dxa"/>
            <w:vAlign w:val="bottom"/>
            <w:shd w:val="clear" w:color="auto" w:fill="CCEEFF"/>
          </w:tcPr>
          <w:p>
            <w:pPr>
              <w:spacing w:after="0"/>
              <w:rPr>
                <w:sz w:val="15"/>
                <w:szCs w:val="15"/>
                <w:color w:val="auto"/>
              </w:rPr>
            </w:pPr>
          </w:p>
        </w:tc>
      </w:tr>
      <w:tr>
        <w:trPr>
          <w:trHeight w:val="181"/>
        </w:trPr>
        <w:tc>
          <w:tcPr>
            <w:tcW w:w="428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52,504</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6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52,504</w:t>
            </w:r>
          </w:p>
        </w:tc>
        <w:tc>
          <w:tcPr>
            <w:tcW w:w="14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52,504</w:t>
            </w:r>
          </w:p>
        </w:tc>
        <w:tc>
          <w:tcPr>
            <w:tcW w:w="2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53,159</w:t>
            </w:r>
          </w:p>
        </w:tc>
        <w:tc>
          <w:tcPr>
            <w:tcW w:w="140" w:type="dxa"/>
            <w:vAlign w:val="bottom"/>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11"/>
          </w:tcPr>
          <w:p>
            <w:pPr>
              <w:jc w:val="center"/>
              <w:ind w:right="60"/>
              <w:spacing w:after="0"/>
              <w:rPr>
                <w:sz w:val="20"/>
                <w:szCs w:val="20"/>
                <w:color w:val="auto"/>
              </w:rPr>
            </w:pPr>
            <w:r>
              <w:rPr>
                <w:rFonts w:ascii="Arial" w:cs="Arial" w:eastAsia="Arial" w:hAnsi="Arial"/>
                <w:sz w:val="16"/>
                <w:szCs w:val="16"/>
                <w:b w:val="1"/>
                <w:bCs w:val="1"/>
                <w:color w:val="auto"/>
                <w:w w:val="97"/>
              </w:rPr>
              <w:t>Fair Value Measurements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gridSpan w:val="15"/>
          </w:tcPr>
          <w:p>
            <w:pPr>
              <w:jc w:val="center"/>
              <w:ind w:right="140"/>
              <w:spacing w:after="0"/>
              <w:rPr>
                <w:sz w:val="20"/>
                <w:szCs w:val="20"/>
                <w:color w:val="auto"/>
              </w:rPr>
            </w:pPr>
            <w:r>
              <w:rPr>
                <w:rFonts w:ascii="Arial" w:cs="Arial" w:eastAsia="Arial" w:hAnsi="Arial"/>
                <w:sz w:val="16"/>
                <w:szCs w:val="16"/>
                <w:b w:val="1"/>
                <w:bCs w:val="1"/>
                <w:color w:val="auto"/>
                <w:w w:val="98"/>
              </w:rPr>
              <w:t>as of December 31, 2017 Using:</w:t>
            </w:r>
          </w:p>
        </w:tc>
      </w:tr>
      <w:tr>
        <w:trPr>
          <w:trHeight w:val="19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5"/>
              </w:rPr>
              <w:t>Level 1</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w:t>
            </w:r>
          </w:p>
        </w:tc>
        <w:tc>
          <w:tcPr>
            <w:tcW w:w="42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5"/>
                <w:szCs w:val="15"/>
                <w:color w:val="auto"/>
              </w:rPr>
            </w:pPr>
          </w:p>
        </w:tc>
        <w:tc>
          <w:tcPr>
            <w:tcW w:w="1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3"/>
          </w:tcPr>
          <w:p>
            <w:pPr>
              <w:jc w:val="center"/>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ind w:left="440"/>
              <w:spacing w:after="0" w:line="181" w:lineRule="exact"/>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5,487</w:t>
            </w: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14,995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14,995</w:t>
            </w:r>
          </w:p>
        </w:tc>
        <w:tc>
          <w:tcPr>
            <w:tcW w:w="140" w:type="dxa"/>
            <w:vAlign w:val="bottom"/>
          </w:tcPr>
          <w:p>
            <w:pPr>
              <w:spacing w:after="0"/>
              <w:rPr>
                <w:sz w:val="15"/>
                <w:szCs w:val="15"/>
                <w:color w:val="auto"/>
              </w:rPr>
            </w:pPr>
          </w:p>
        </w:tc>
      </w:tr>
      <w:tr>
        <w:trPr>
          <w:trHeight w:val="185"/>
        </w:trPr>
        <w:tc>
          <w:tcPr>
            <w:tcW w:w="530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14,995</w:t>
            </w:r>
          </w:p>
        </w:tc>
        <w:tc>
          <w:tcPr>
            <w:tcW w:w="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20,587</w:t>
            </w:r>
          </w:p>
        </w:tc>
        <w:tc>
          <w:tcPr>
            <w:tcW w:w="140" w:type="dxa"/>
            <w:vAlign w:val="bottom"/>
            <w:shd w:val="clear" w:color="auto" w:fill="CCEEFF"/>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07"/>
        </w:trPr>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1"/>
          </w:tcPr>
          <w:p>
            <w:pPr>
              <w:jc w:val="center"/>
              <w:ind w:right="60"/>
              <w:spacing w:after="0"/>
              <w:rPr>
                <w:sz w:val="20"/>
                <w:szCs w:val="20"/>
                <w:color w:val="auto"/>
              </w:rPr>
            </w:pPr>
            <w:r>
              <w:rPr>
                <w:rFonts w:ascii="Arial" w:cs="Arial" w:eastAsia="Arial" w:hAnsi="Arial"/>
                <w:sz w:val="16"/>
                <w:szCs w:val="16"/>
                <w:b w:val="1"/>
                <w:bCs w:val="1"/>
                <w:color w:val="auto"/>
                <w:w w:val="97"/>
              </w:rPr>
              <w:t>Fair Value Measurements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w w:val="98"/>
              </w:rPr>
              <w:t>as of March 31, 2018 Using:</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ind w:left="240"/>
              <w:spacing w:after="0" w:line="181" w:lineRule="exact"/>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 (including non-current portion)</w:t>
            </w:r>
          </w:p>
        </w:tc>
        <w:tc>
          <w:tcPr>
            <w:tcW w:w="4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315</w:t>
            </w:r>
          </w:p>
        </w:tc>
        <w:tc>
          <w:tcPr>
            <w:tcW w:w="2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ind w:left="440"/>
              <w:spacing w:after="0" w:line="181" w:lineRule="exact"/>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315</w:t>
            </w: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110,267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110,267</w:t>
            </w: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84,429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84,429</w:t>
            </w:r>
          </w:p>
        </w:tc>
        <w:tc>
          <w:tcPr>
            <w:tcW w:w="140" w:type="dxa"/>
            <w:vAlign w:val="bottom"/>
          </w:tcPr>
          <w:p>
            <w:pPr>
              <w:spacing w:after="0"/>
              <w:rPr>
                <w:sz w:val="15"/>
                <w:szCs w:val="15"/>
                <w:color w:val="auto"/>
              </w:rPr>
            </w:pPr>
          </w:p>
        </w:tc>
      </w:tr>
      <w:tr>
        <w:trPr>
          <w:trHeight w:val="185"/>
        </w:trPr>
        <w:tc>
          <w:tcPr>
            <w:tcW w:w="530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110,582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84,429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195,011</w:t>
            </w:r>
          </w:p>
        </w:tc>
        <w:tc>
          <w:tcPr>
            <w:tcW w:w="140" w:type="dxa"/>
            <w:vAlign w:val="bottom"/>
            <w:shd w:val="clear" w:color="auto" w:fill="CCEEFF"/>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During the years ended December 31, 2016 and 2017 and the three months ended March 31, 2017 and 2018 (unaudited), there were no transfers between Level 1, Level 2 and Level 3.</w:t>
      </w:r>
    </w:p>
    <w:p>
      <w:pPr>
        <w:spacing w:after="0" w:line="185" w:lineRule="exact"/>
        <w:rPr>
          <w:sz w:val="20"/>
          <w:szCs w:val="20"/>
          <w:color w:val="auto"/>
        </w:rPr>
      </w:pPr>
    </w:p>
    <w:p>
      <w:pPr>
        <w:ind w:right="60" w:firstLine="433"/>
        <w:spacing w:after="0" w:line="239" w:lineRule="auto"/>
        <w:rPr>
          <w:sz w:val="20"/>
          <w:szCs w:val="20"/>
          <w:color w:val="auto"/>
        </w:rPr>
      </w:pPr>
      <w:r>
        <w:rPr>
          <w:rFonts w:ascii="Arial" w:cs="Arial" w:eastAsia="Arial" w:hAnsi="Arial"/>
          <w:sz w:val="16"/>
          <w:szCs w:val="16"/>
          <w:color w:val="auto"/>
        </w:rPr>
        <w:t>The money market funds were valued using quoted prices in active markets, which represent a Level 1 measurement in the fair value hierarchy. The Company's cash equivalents as of December 31, 2016 and 2017 and March 31, 2018 (unaudited) also consisted of U.S. Treasury notes, which are not traded on a daily basis and, therefore, represent a Level 2 measurement in the fair value hierarchy at each period end.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35" w:name="page236"/>
    <w:bookmarkEnd w:id="2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4. Property and Equipment, Net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4"/>
        </w:trPr>
        <w:tc>
          <w:tcPr>
            <w:tcW w:w="7180" w:type="dxa"/>
            <w:vAlign w:val="bottom"/>
            <w:gridSpan w:val="2"/>
          </w:tcPr>
          <w:p>
            <w:pPr>
              <w:ind w:left="440"/>
              <w:spacing w:after="0"/>
              <w:rPr>
                <w:sz w:val="20"/>
                <w:szCs w:val="20"/>
                <w:color w:val="auto"/>
              </w:rPr>
            </w:pPr>
            <w:r>
              <w:rPr>
                <w:rFonts w:ascii="Arial" w:cs="Arial" w:eastAsia="Arial" w:hAnsi="Arial"/>
                <w:sz w:val="16"/>
                <w:szCs w:val="16"/>
                <w:color w:val="auto"/>
              </w:rPr>
              <w:t>Property and equipment, net consisted of the following:</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11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left="2"/>
              <w:spacing w:after="0"/>
              <w:rPr>
                <w:sz w:val="20"/>
                <w:szCs w:val="20"/>
                <w:color w:val="auto"/>
              </w:rPr>
            </w:pPr>
            <w:r>
              <w:rPr>
                <w:rFonts w:ascii="Arial" w:cs="Arial" w:eastAsia="Arial" w:hAnsi="Arial"/>
                <w:sz w:val="16"/>
                <w:szCs w:val="16"/>
                <w:b w:val="1"/>
                <w:bCs w:val="1"/>
                <w:color w:val="auto"/>
                <w:w w:val="96"/>
              </w:rPr>
              <w:t>(unaudited)</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Furniture and fixtures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5"/>
                <w:szCs w:val="15"/>
                <w:color w:val="auto"/>
              </w:rPr>
            </w:pPr>
          </w:p>
        </w:tc>
      </w:tr>
      <w:tr>
        <w:trPr>
          <w:trHeight w:val="181"/>
        </w:trPr>
        <w:tc>
          <w:tcPr>
            <w:tcW w:w="71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Computer hardware and software</w:t>
            </w:r>
          </w:p>
        </w:tc>
        <w:tc>
          <w:tcPr>
            <w:tcW w:w="1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77</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Vehicles</w:t>
            </w: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Less: Accumulated depreciation</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(42)</w:t>
            </w: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Depreciation expense for the years ended December 31, 2016 and 2017 was $22 and $28, respectively and $6 and $8 for the three months ended March 31, 2017 and 2018 (unaudited),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5. Accrued Expenses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4"/>
        </w:trPr>
        <w:tc>
          <w:tcPr>
            <w:tcW w:w="5880" w:type="dxa"/>
            <w:vAlign w:val="bottom"/>
            <w:gridSpan w:val="2"/>
          </w:tcPr>
          <w:p>
            <w:pPr>
              <w:ind w:left="420"/>
              <w:spacing w:after="0"/>
              <w:rPr>
                <w:sz w:val="20"/>
                <w:szCs w:val="20"/>
                <w:color w:val="auto"/>
              </w:rPr>
            </w:pPr>
            <w:r>
              <w:rPr>
                <w:rFonts w:ascii="Arial" w:cs="Arial" w:eastAsia="Arial" w:hAnsi="Arial"/>
                <w:sz w:val="16"/>
                <w:szCs w:val="16"/>
                <w:color w:val="auto"/>
              </w:rPr>
              <w:t>Accrued expenses consisted of the following:</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(unaudited)</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47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employee compensation and benefits</w:t>
            </w:r>
          </w:p>
        </w:tc>
        <w:tc>
          <w:tcPr>
            <w:tcW w:w="17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986</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1,570</w:t>
            </w:r>
          </w:p>
        </w:tc>
        <w:tc>
          <w:tcPr>
            <w:tcW w:w="3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843</w:t>
            </w:r>
          </w:p>
        </w:tc>
        <w:tc>
          <w:tcPr>
            <w:tcW w:w="140" w:type="dxa"/>
            <w:vAlign w:val="bottom"/>
            <w:shd w:val="clear" w:color="auto" w:fill="CCEEFF"/>
          </w:tcPr>
          <w:p>
            <w:pPr>
              <w:spacing w:after="0"/>
              <w:rPr>
                <w:sz w:val="15"/>
                <w:szCs w:val="15"/>
                <w:color w:val="auto"/>
              </w:rPr>
            </w:pPr>
          </w:p>
        </w:tc>
      </w:tr>
      <w:tr>
        <w:trPr>
          <w:trHeight w:val="181"/>
        </w:trPr>
        <w:tc>
          <w:tcPr>
            <w:tcW w:w="58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Accrued research and development expenses</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979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3,905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3,742</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47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legal and professional fees</w:t>
            </w: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1,599</w:t>
            </w:r>
          </w:p>
        </w:tc>
        <w:tc>
          <w:tcPr>
            <w:tcW w:w="140" w:type="dxa"/>
            <w:vAlign w:val="bottom"/>
            <w:shd w:val="clear" w:color="auto" w:fill="CCEEFF"/>
          </w:tcPr>
          <w:p>
            <w:pPr>
              <w:spacing w:after="0"/>
              <w:rPr>
                <w:sz w:val="15"/>
                <w:szCs w:val="15"/>
                <w:color w:val="auto"/>
              </w:rPr>
            </w:pPr>
          </w:p>
        </w:tc>
      </w:tr>
      <w:tr>
        <w:trPr>
          <w:trHeight w:val="181"/>
        </w:trPr>
        <w:tc>
          <w:tcPr>
            <w:tcW w:w="58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Other</w:t>
            </w:r>
          </w:p>
        </w:tc>
        <w:tc>
          <w:tcPr>
            <w:tcW w:w="1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49</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288</w:t>
            </w:r>
          </w:p>
        </w:tc>
        <w:tc>
          <w:tcPr>
            <w:tcW w:w="14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40" w:type="dxa"/>
            <w:vAlign w:val="bottom"/>
            <w:shd w:val="clear" w:color="auto" w:fill="CCEEFF"/>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w:t>
      </w:r>
    </w:p>
    <w:p>
      <w:pPr>
        <w:spacing w:after="0" w:line="210"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of December 31, 2017, the Company's bye-laws, as amended and restated (the "Amended Bye-Laws"), designated 22,885,492 authorized shares to be issued as convertible preferred shares with a par value of $0.000273235 per share, of which 17,128,120 shares have been further designated as Series A convertible preferred shares (the "Series A preferred shares") and 5,757,372 shares have been further designated as Series B convertible preferred shares (the "Series B preferred shares"). As of March 31, 2018 (unaudited), the Company's bye-laws, as further amended and restated, designated 35,670,093 authorized shares to be issued as convertible preferred shares with a par value of $0.000273235 per share, of which 17,128,120 shares have been further designated as Series A preferred shares, 5,757,372 have been further designated as Series B preferred shares and 12,784,601 shares have been further designated as Series C convertible preferred shares (the "Series C preferred shares"). The holders of preferred shares have liquidation rights in the event of a deemed liquidation that, in certain situations, are not solely within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36" w:name="page237"/>
    <w:bookmarkEnd w:id="2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ind w:right="720"/>
        <w:spacing w:after="0" w:line="241" w:lineRule="auto"/>
        <w:rPr>
          <w:sz w:val="20"/>
          <w:szCs w:val="20"/>
          <w:color w:val="auto"/>
        </w:rPr>
      </w:pPr>
      <w:r>
        <w:rPr>
          <w:rFonts w:ascii="Arial" w:cs="Arial" w:eastAsia="Arial" w:hAnsi="Arial"/>
          <w:sz w:val="16"/>
          <w:szCs w:val="16"/>
          <w:color w:val="auto"/>
        </w:rPr>
        <w:t>the control of the Company. Therefore, the Series A, Series B and Series C preferred shares (collectively, the "Preferred Shares") are classified outside of shareholders' equity (deficit).</w:t>
      </w:r>
    </w:p>
    <w:p>
      <w:pPr>
        <w:spacing w:after="0" w:line="185"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 October 2015, the Company issued and sold 8,028,809 Series A preferred shares at a price of $4.6707 per share (the "Series A Original Issue Price") for proceeds of $37,398, net of issuance costs of $102.</w:t>
      </w:r>
    </w:p>
    <w:p>
      <w:pPr>
        <w:spacing w:after="0" w:line="185"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September 2016, the Company issued and sold an additional 9,099,311 Series A preferred shares at a price of $4.6707 per share for proceeds of $42,499, net of issuance costs of $1.</w:t>
      </w:r>
    </w:p>
    <w:p>
      <w:pPr>
        <w:spacing w:after="0" w:line="185"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In March 2017, the Company issued and sold 5,757,372 Series B preferred shares at a price of $6.9475 per share (the "Series B Original Issue Price") for proceeds of $39,873, net of issuance costs of $127.</w:t>
      </w:r>
    </w:p>
    <w:p>
      <w:pPr>
        <w:spacing w:after="0" w:line="185"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In February 2018, the Company issued and sold 12,784,601 Series C convertible preferred shares at a price of $15.6438 per share (the "Series C Original Issue Price") for proceeds of $190,822, net of issuance costs of $9,178.</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each balance sheet date, the Preferred Shares consisted of the following:</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642"/>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4"/>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2"/>
              <w:spacing w:after="0" w:line="164"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60" w:type="dxa"/>
            <w:vAlign w:val="bottom"/>
          </w:tcPr>
          <w:p>
            <w:pPr>
              <w:spacing w:after="0"/>
              <w:rPr>
                <w:sz w:val="15"/>
                <w:szCs w:val="15"/>
                <w:color w:val="auto"/>
              </w:rPr>
            </w:pPr>
          </w:p>
        </w:tc>
        <w:tc>
          <w:tcPr>
            <w:tcW w:w="102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60"/>
              <w:spacing w:after="0" w:line="181" w:lineRule="exact"/>
              <w:rPr>
                <w:sz w:val="20"/>
                <w:szCs w:val="20"/>
                <w:color w:val="auto"/>
              </w:rPr>
            </w:pPr>
            <w:r>
              <w:rPr>
                <w:rFonts w:ascii="Arial" w:cs="Arial" w:eastAsia="Arial" w:hAnsi="Arial"/>
                <w:sz w:val="16"/>
                <w:szCs w:val="16"/>
                <w:b w:val="1"/>
                <w:bCs w:val="1"/>
                <w:color w:val="auto"/>
                <w:w w:val="97"/>
              </w:rPr>
              <w:t>Liquidation</w:t>
            </w: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Issuable Upon</w:t>
            </w:r>
          </w:p>
        </w:tc>
      </w:tr>
      <w:tr>
        <w:trPr>
          <w:trHeight w:val="202"/>
        </w:trPr>
        <w:tc>
          <w:tcPr>
            <w:tcW w:w="3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Designated</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Preference</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Conversion</w:t>
            </w:r>
          </w:p>
        </w:tc>
      </w:tr>
      <w:tr>
        <w:trPr>
          <w:trHeight w:val="181"/>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2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r>
      <w:tr>
        <w:trPr>
          <w:trHeight w:val="20"/>
        </w:trPr>
        <w:tc>
          <w:tcPr>
            <w:tcW w:w="3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spacing w:after="0" w:line="169" w:lineRule="exact"/>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4"/>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2"/>
              <w:spacing w:after="0" w:line="164"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5"/>
                <w:szCs w:val="15"/>
                <w:color w:val="auto"/>
              </w:rPr>
            </w:pPr>
          </w:p>
        </w:tc>
        <w:tc>
          <w:tcPr>
            <w:tcW w:w="102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60"/>
              <w:spacing w:after="0" w:line="181" w:lineRule="exact"/>
              <w:rPr>
                <w:sz w:val="20"/>
                <w:szCs w:val="20"/>
                <w:color w:val="auto"/>
              </w:rPr>
            </w:pPr>
            <w:r>
              <w:rPr>
                <w:rFonts w:ascii="Arial" w:cs="Arial" w:eastAsia="Arial" w:hAnsi="Arial"/>
                <w:sz w:val="16"/>
                <w:szCs w:val="16"/>
                <w:b w:val="1"/>
                <w:bCs w:val="1"/>
                <w:color w:val="auto"/>
                <w:w w:val="97"/>
              </w:rPr>
              <w:t>Liquidation</w:t>
            </w: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Issuable Upon</w:t>
            </w:r>
          </w:p>
        </w:tc>
      </w:tr>
      <w:tr>
        <w:trPr>
          <w:trHeight w:val="202"/>
        </w:trPr>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9"/>
              </w:rPr>
              <w:t>Designated</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Preference</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Conversion</w:t>
            </w:r>
          </w:p>
        </w:tc>
      </w:tr>
      <w:tr>
        <w:trPr>
          <w:trHeight w:val="181"/>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2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Series B preferred shares</w:t>
            </w:r>
          </w:p>
        </w:tc>
        <w:tc>
          <w:tcPr>
            <w:tcW w:w="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39,873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40,000</w:t>
            </w:r>
          </w:p>
        </w:tc>
        <w:tc>
          <w:tcPr>
            <w:tcW w:w="14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r>
      <w:tr>
        <w:trPr>
          <w:trHeight w:val="185"/>
        </w:trPr>
        <w:tc>
          <w:tcPr>
            <w:tcW w:w="35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37" w:name="page238"/>
    <w:bookmarkEnd w:id="2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6. Convertible Preferred Shares (Continued)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0"/>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6"/>
                <w:szCs w:val="16"/>
                <w:b w:val="1"/>
                <w:bCs w:val="1"/>
                <w:color w:val="auto"/>
                <w:w w:val="96"/>
              </w:rPr>
              <w:t>March 31, 2018</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6"/>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jc w:val="center"/>
              <w:ind w:left="22"/>
              <w:spacing w:after="0" w:line="181"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5"/>
                <w:szCs w:val="15"/>
                <w:color w:val="auto"/>
              </w:rPr>
            </w:pPr>
          </w:p>
        </w:tc>
        <w:tc>
          <w:tcPr>
            <w:tcW w:w="10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60"/>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1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9"/>
              </w:rPr>
              <w:t>Liquidation</w:t>
            </w:r>
          </w:p>
        </w:tc>
        <w:tc>
          <w:tcPr>
            <w:tcW w:w="140" w:type="dxa"/>
            <w:vAlign w:val="bottom"/>
          </w:tcPr>
          <w:p>
            <w:pPr>
              <w:spacing w:after="0"/>
              <w:rPr>
                <w:sz w:val="15"/>
                <w:szCs w:val="15"/>
                <w:color w:val="auto"/>
              </w:rPr>
            </w:pPr>
          </w:p>
        </w:tc>
        <w:tc>
          <w:tcPr>
            <w:tcW w:w="150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6"/>
              </w:rPr>
              <w:t>Issuable Upon</w:t>
            </w:r>
          </w:p>
        </w:tc>
      </w:tr>
      <w:tr>
        <w:trPr>
          <w:trHeight w:val="202"/>
        </w:trPr>
        <w:tc>
          <w:tcPr>
            <w:tcW w:w="1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Designated</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Preference</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Conversion</w:t>
            </w:r>
          </w:p>
        </w:tc>
        <w:tc>
          <w:tcPr>
            <w:tcW w:w="16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3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r>
      <w:tr>
        <w:trPr>
          <w:trHeight w:val="181"/>
        </w:trPr>
        <w:tc>
          <w:tcPr>
            <w:tcW w:w="444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Series B preferred shares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5,757,372</w:t>
            </w:r>
          </w:p>
        </w:tc>
        <w:tc>
          <w:tcPr>
            <w:tcW w:w="1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5,757,372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39,873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40,000</w:t>
            </w:r>
          </w:p>
        </w:tc>
        <w:tc>
          <w:tcPr>
            <w:tcW w:w="14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5,757,372</w:t>
            </w:r>
          </w:p>
        </w:tc>
        <w:tc>
          <w:tcPr>
            <w:tcW w:w="16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3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C preferred shares</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190,822</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200,000</w:t>
            </w:r>
          </w:p>
        </w:tc>
        <w:tc>
          <w:tcPr>
            <w:tcW w:w="14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60" w:type="dxa"/>
            <w:vAlign w:val="bottom"/>
            <w:shd w:val="clear" w:color="auto" w:fill="CCEEFF"/>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35,670,093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35,670,093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310,592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320,000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35,670,093</w:t>
            </w:r>
          </w:p>
        </w:tc>
        <w:tc>
          <w:tcPr>
            <w:tcW w:w="16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holders of the Preferred Shares have the following rights and preferences: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Voting</w:t>
      </w:r>
    </w:p>
    <w:p>
      <w:pPr>
        <w:spacing w:after="0" w:line="20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holders of Preferred Shares are entitled to vote, together with the holders of common shares, on all matters submitted to shareholders for a vote. The holders of Series A preferred shares are entitled to the number of votes per Series A preferred share equal to the number of whole Class B common shares into which the Series A preferred shares are convertible on the record date determining shareholders entitled to participate in such vote (which is ten votes for each Class B common share). The holders of Series B preferred shares are entitled to the number of votes per Series B preferred share equal to the number of whole Class A common shares into which the Series B preferred shares are convertible on the record date determining shareholders entitled to participate in such vote (which is one vote for each Class A common share). The holders of Series C preferred shares are entitled to the number of votes per Series C preferred share equal to the number of whole Class A common shares into which the Series C preferred shares are convertible on the record date determining shareholders entitled to participate in such vote (which is one vote for each Class A common share). Except as provided by law or by the other provisions of the Amended Bye-Laws, holders of Preferred Shares vote together with the holders of common shares as a single class.</w:t>
      </w:r>
    </w:p>
    <w:p>
      <w:pPr>
        <w:spacing w:after="0" w:line="186" w:lineRule="exact"/>
        <w:rPr>
          <w:sz w:val="20"/>
          <w:szCs w:val="20"/>
          <w:color w:val="auto"/>
        </w:rPr>
      </w:pPr>
    </w:p>
    <w:p>
      <w:pPr>
        <w:ind w:right="120" w:firstLine="433"/>
        <w:spacing w:after="0" w:line="239" w:lineRule="auto"/>
        <w:rPr>
          <w:sz w:val="20"/>
          <w:szCs w:val="20"/>
          <w:color w:val="auto"/>
        </w:rPr>
      </w:pPr>
      <w:r>
        <w:rPr>
          <w:rFonts w:ascii="Arial" w:cs="Arial" w:eastAsia="Arial" w:hAnsi="Arial"/>
          <w:sz w:val="16"/>
          <w:szCs w:val="16"/>
          <w:color w:val="auto"/>
        </w:rPr>
        <w:t>The holders of Preferred Shares, voting together as a single class, are entitled to elect two directors of the Company. The holders of Preferred Shares, voting together with the holders of common shares as a single class, are entitled to elect the remaining directors of the Company, except for the one director that the holders of Class A common shares and Class B common shares, voting together as a single class, are entitled to elect.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Conversion</w:t>
      </w:r>
    </w:p>
    <w:p>
      <w:pPr>
        <w:spacing w:after="0" w:line="206"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Each Series A preferred share shall be convertible, at the option of the holder, at any time and from time to time, and without the payment of additional consideration by the holder thereof, in such manner as is permitted by Bermuda law, into such number of fully paid and non-assessable Class B common shares as is determined by dividing the Series A Original Issue Price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8" w:name="page239"/>
    <w:bookmarkEnd w:id="2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Series A Conversion Price (as defined below) in effect at the time of conversion. Each Series B preferred share shall be convertible, at the option of the holder, at any time and from time to time, and without the payment of additional consideration by the holder thereof, in such manner as is permitted by Bermuda law, into such number of fully paid and non-assessable Class A common shares as is determined by dividing the Series B Original Issue Price by the Series B Conversion Price (as defined below) in effect at the time of conversion. Each Series C preferred share shall be convertible, at the option of the holder, at any time and from time to time, and without the payment of additional consideration by the holder thereof, in such manner as is permitted by Bermuda law, into such number of fully paid and non-assessable Class A common shares as is determined by dividing the Series C Original Issue Price by the Series C Conversion Price (as defined below) in effect at the time of conversion.</w:t>
      </w:r>
    </w:p>
    <w:p>
      <w:pPr>
        <w:spacing w:after="0" w:line="188" w:lineRule="exact"/>
        <w:rPr>
          <w:sz w:val="20"/>
          <w:szCs w:val="20"/>
          <w:color w:val="auto"/>
        </w:rPr>
      </w:pPr>
    </w:p>
    <w:p>
      <w:pPr>
        <w:ind w:right="80" w:firstLine="433"/>
        <w:spacing w:after="0" w:line="236" w:lineRule="auto"/>
        <w:rPr>
          <w:sz w:val="20"/>
          <w:szCs w:val="20"/>
          <w:color w:val="auto"/>
        </w:rPr>
      </w:pPr>
      <w:r>
        <w:rPr>
          <w:rFonts w:ascii="Arial" w:cs="Arial" w:eastAsia="Arial" w:hAnsi="Arial"/>
          <w:sz w:val="16"/>
          <w:szCs w:val="16"/>
          <w:color w:val="auto"/>
        </w:rPr>
        <w:t>The Series A Original Issue Price and Series A Conversion Price were equal to $4.6707 as of December 31, 2016 and 2017 and March 31, 2018 (unaudited). The Series B Original Issue Price and Series B Conversion Price were equal to $6.9475 as of December 31, 2017 and March 31, 2018 (unaudited). The Series C Original Issue Price and Series C Conversion Price were equal to $15.6438 as of March 31, 2018 (unaudited). Such Series A, Series B and Series C Original Issue Prices and Series A, Series B and Series C Conversion Prices, and the rate at which each series of preferred shares may be converted into common shares, are subject to adjustment from time to time to reflect future share dividends, splits, combinations, recapitalizations and similar events. The Series A, Series B and Series C Conversion Prices are also subject to adjustments based on weighted-average anti-dilution provisions set forth in the Amended Bye-Laws in the event that additional securities are issued at a purchase price less than the Series A Conversion Price, the Series B Conversion Price or the Series C Conversion Price then in effect. As of December 31, 2016 and 2017 and March 31, 2018 (unaudited), each Series A preferred share was convertible into one Class B common share. As of December 31, 2017 and March 31, 2018 (unaudited), each Series B preferred share was convertible into one Class A common share. As of March 31, 2018 (unaudited), each Series C preferred share was convertible into one Class A common share.</w:t>
      </w:r>
    </w:p>
    <w:p>
      <w:pPr>
        <w:spacing w:after="0" w:line="193"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Upon either (a) the closing of the sale of Class A common shares or Class B common shares to the public at a price of at least $15.6438 per share ($14.0120 prior to the issuance of the Series C preferred shares) (subject to appropriate adjustment in the event of any share dividend, share split, combination or other similar recapitalization with respect to the applicable class of common shares) in an initial public offering resulting in at least $100,000 of gross proceeds to the Company (a "Qualified IPO") or (b) the date and time, or the occurrence of an event, specified by vote or written consent of the holders of a majority of the outstanding Preferred Shares, voting together as a single class on an as-if-converted to Class A common shares basis, all outstanding Series A preferred shares shall automatically be converted, in such manner as is permitted pursuant to Bermuda law, into Class B common shares at the then effective conversion rate, and all outstanding Series B and Series C preferred shares shall automatically be converted, in such manner as is permitted pursuant to Bermuda law, into Class A common shares at the then effective conversion rate. In the event of a mandatory conversion of preferred shares as a result of a Qualified IPO, (i) holders of Series A preferred shares may elect to receive Class B1 common shares in lieu of Class B common shares and (ii) holders of Series B and Series C preferred shares may elect to receive Class A1 common shares in lieu of Class A common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9" w:name="page240"/>
    <w:bookmarkEnd w:id="239"/>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160" w:hanging="484"/>
        <w:spacing w:after="0" w:line="500" w:lineRule="auto"/>
        <w:tabs>
          <w:tab w:leader="none" w:pos="175"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Convertible Preferred Shares (Continued) </w:t>
      </w:r>
      <w:r>
        <w:rPr>
          <w:rFonts w:ascii="Arial" w:cs="Arial" w:eastAsia="Arial" w:hAnsi="Arial"/>
          <w:sz w:val="16"/>
          <w:szCs w:val="16"/>
          <w:i w:val="1"/>
          <w:iCs w:val="1"/>
          <w:color w:val="auto"/>
        </w:rPr>
        <w:t>Dividends</w:t>
      </w:r>
    </w:p>
    <w:p>
      <w:pPr>
        <w:spacing w:after="0" w:line="1" w:lineRule="exact"/>
        <w:rPr>
          <w:sz w:val="20"/>
          <w:szCs w:val="20"/>
          <w:color w:val="auto"/>
        </w:rPr>
      </w:pPr>
    </w:p>
    <w:p>
      <w:pPr>
        <w:ind w:left="4" w:right="40" w:firstLine="433"/>
        <w:spacing w:after="0" w:line="236" w:lineRule="auto"/>
        <w:rPr>
          <w:sz w:val="20"/>
          <w:szCs w:val="20"/>
          <w:color w:val="auto"/>
        </w:rPr>
      </w:pPr>
      <w:r>
        <w:rPr>
          <w:rFonts w:ascii="Arial" w:cs="Arial" w:eastAsia="Arial" w:hAnsi="Arial"/>
          <w:sz w:val="16"/>
          <w:szCs w:val="16"/>
          <w:color w:val="auto"/>
        </w:rPr>
        <w:t>The holders of the Preferred Shares are entitled to receive noncumulative dividends when and if declared by Company's board of directors. The Company may not declare, pay or set aside any dividends on any other class or series of shares of the Company, other than dividends on common shares payable in common shares, unless the holders of the Preferred Share first receive, or simultaneously receive, a dividend on each outstanding Preferred Share equal to (A) in the case of a dividend on any class of common shares or any class or series that is convertible into common shares, that dividend per Preferred Share as would equal the product of (1) the dividend payable on each share of such class or series determined, if applicable, as if all shares of such class or series had been converted into common shares and (2) the number of common shares issuable upon conversion of a share the applicable series of Preferred Shares, or (B) in the case of a dividend on any class or series that is not convertible into common shares, at a rate per Preferred Share determined by (1) dividing the amount of the dividend payable on each share of such class or series of shares by the original issue price of such class or series (subject to appropriate adjustment in the event of any bonus share, share dividend, share split, combination of or other similar recapitalization with respect to such class or series) and (2) multiplying such fraction by an amount equal to the applicable Series A, Series B or Series C Original Issue Price. Through December 31, 2016 and 2017 and March 31, 2018 (unaudited), no cash dividends have been declared or paid.</w:t>
      </w:r>
    </w:p>
    <w:p>
      <w:pPr>
        <w:spacing w:after="0" w:line="177" w:lineRule="exact"/>
        <w:rPr>
          <w:sz w:val="20"/>
          <w:szCs w:val="20"/>
          <w:color w:val="auto"/>
        </w:rPr>
      </w:pPr>
    </w:p>
    <w:p>
      <w:pPr>
        <w:ind w:left="484"/>
        <w:spacing w:after="0"/>
        <w:rPr>
          <w:sz w:val="20"/>
          <w:szCs w:val="20"/>
          <w:color w:val="auto"/>
        </w:rPr>
      </w:pPr>
      <w:r>
        <w:rPr>
          <w:rFonts w:ascii="Arial" w:cs="Arial" w:eastAsia="Arial" w:hAnsi="Arial"/>
          <w:sz w:val="16"/>
          <w:szCs w:val="16"/>
          <w:i w:val="1"/>
          <w:iCs w:val="1"/>
          <w:color w:val="auto"/>
        </w:rPr>
        <w:t>Liquidation Preference</w:t>
      </w:r>
    </w:p>
    <w:p>
      <w:pPr>
        <w:spacing w:after="0" w:line="206"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deemed liquidation event (as defined below), the holders of Preferred Shares then outstanding shall be entitled to be paid out of the assets of the Company available for distribution to its shareholders,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before any payment shall be made to the holders of common shares by reason of their ownership thereof, an amount per share equal to the greater of (i) one times the applicable Series A, Series B or Series C Original Issue Price, plus any dividends declared but unpaid thereon, and (ii) such amount per share as would have been payable had all Preferred Shares been converted into common shares immediately prior to such liquidation, dissolution, winding up or deemed liquidation event. Thereafter, the remaining assets of the Company available for distribution to its shareholders shall be distributed among the holders of common shares, pro rata based on the number of shares held by each such holder.</w:t>
      </w:r>
    </w:p>
    <w:p>
      <w:pPr>
        <w:spacing w:after="0" w:line="188" w:lineRule="exact"/>
        <w:rPr>
          <w:sz w:val="20"/>
          <w:szCs w:val="20"/>
          <w:color w:val="auto"/>
        </w:rPr>
      </w:pPr>
    </w:p>
    <w:p>
      <w:pPr>
        <w:jc w:val="both"/>
        <w:ind w:left="4" w:right="140" w:firstLine="436"/>
        <w:spacing w:after="0" w:line="238" w:lineRule="auto"/>
        <w:rPr>
          <w:sz w:val="20"/>
          <w:szCs w:val="20"/>
          <w:color w:val="auto"/>
        </w:rPr>
      </w:pPr>
      <w:r>
        <w:rPr>
          <w:rFonts w:ascii="Arial" w:cs="Arial" w:eastAsia="Arial" w:hAnsi="Arial"/>
          <w:sz w:val="16"/>
          <w:szCs w:val="16"/>
          <w:color w:val="auto"/>
        </w:rPr>
        <w:t>If upon any such liquidation, dissolution or winding up of the Company or deemed liquidation event, the assets of the Company available for distribution to its shareholders shall be insufficient to pay the holders of Preferred Shares the full amount to which they shall be entitled, the holders of Preferred Shares shall share ratably in any distribution of the assets available for distribution in proportion to the respective amounts which would otherwise be payable in respect of the shares held by such holders of Preferred Shares upon such distribution if all amounts payable on or with respect to such shares were paid in full.</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40" w:name="page241"/>
    <w:bookmarkEnd w:id="2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Unless a majority of the holders of the then outstanding Preferred Shares, on an as-if-converted to Class A common shares basis, elect otherwise, a deemed liquidation event shall include a merger or consolidation (other than one in which shareholders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Redemption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Amended Bye-Laws do not provide redemption rights to the holders of Preferred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Common Shares</w:t>
      </w:r>
    </w:p>
    <w:p>
      <w:pPr>
        <w:spacing w:after="0" w:line="210" w:lineRule="exact"/>
        <w:rPr>
          <w:sz w:val="20"/>
          <w:szCs w:val="20"/>
          <w:color w:val="auto"/>
        </w:rPr>
      </w:pPr>
    </w:p>
    <w:p>
      <w:pPr>
        <w:ind w:right="20" w:firstLine="427"/>
        <w:spacing w:after="0" w:line="236" w:lineRule="auto"/>
        <w:rPr>
          <w:sz w:val="20"/>
          <w:szCs w:val="20"/>
          <w:color w:val="auto"/>
        </w:rPr>
      </w:pPr>
      <w:r>
        <w:rPr>
          <w:rFonts w:ascii="Arial" w:cs="Arial" w:eastAsia="Arial" w:hAnsi="Arial"/>
          <w:sz w:val="16"/>
          <w:szCs w:val="16"/>
          <w:color w:val="auto"/>
        </w:rPr>
        <w:t>As of December 31, 2016, and 2017, the Amended Bye-Laws authorized the Company to issue 43,918,239 total shares with a par value of $0.000273235, of which 4,491,921 and 5,507,938 shares have been designated as Class A common shares as of December 31, 2016 and 2017, respectively, and 3,568,353 shares have been designated as Class B common shares as of December 31, 2016 and 2017. During the three months ended March 31, 2018 (unaudited), the Company amended and restated its Amended Bye-Laws to increase the total number of authorized shares to 44,746,463 shares, of which 5,507,938 shares have been designated as Class A common shares and 3,568,353 shares have been designated as Class B common shares as of March 31, 2018 (unaudited). The remaining 18,729,845, 11,956,456 and 79 shares that were not designated as common shares or Preferred Shares as of December 31, 2016 and 2017 and March 31, 2018 (unaudited), respectively, may be designated to any class at any time in the future by the Company's board of directors. No Class A1 common shares or Class B1 common shares were designated as of December 31, 2016 and 2017 and March 31, 2018 (unaudited). The rights of the holders of the Company's Class A common shares, Class B common shares, Class A1 common shares and Class B1 common shares are identical, except with respect to voting and conversion, as described below. The voting, dividend and liquidation rights of the holders of the Company's common shares are subject to and qualified by the rights, powers and preferences of the holders of the Preferred Shares as set forth above.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Voting</w:t>
      </w:r>
    </w:p>
    <w:p>
      <w:pPr>
        <w:spacing w:after="0" w:line="206"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Each Class A common share entitles the holder to one vote on all matters submitted to the shareholders for a vote. Each Class B common share entitles the holder to ten votes on all matters submitted to the shareholders for a vote. Holders of Class A1 common shares or Class B1 common shares have no voting rights. The holders of Class A and Class B common shares, voting together as a single class, are entitled to elect one director of the Company.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Dividends</w:t>
      </w:r>
    </w:p>
    <w:p>
      <w:pPr>
        <w:spacing w:after="0" w:line="20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Common shareholders are entitled to receive dividends, as may be declared by the board of directors. These dividends are subject to the preferential dividend rights of the holders of the Company's Preferred Shares. Through December 31, 2016 and 2017 and March 31, 2018 (unaudited), no cash dividends have been declared or paid.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41" w:name="page242"/>
    <w:bookmarkEnd w:id="241"/>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9080" w:hanging="484"/>
        <w:spacing w:after="0" w:line="500" w:lineRule="auto"/>
        <w:tabs>
          <w:tab w:leader="none" w:pos="175"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Common Shares (Continued) </w:t>
      </w:r>
      <w:r>
        <w:rPr>
          <w:rFonts w:ascii="Arial" w:cs="Arial" w:eastAsia="Arial" w:hAnsi="Arial"/>
          <w:sz w:val="16"/>
          <w:szCs w:val="16"/>
          <w:i w:val="1"/>
          <w:iCs w:val="1"/>
          <w:color w:val="auto"/>
        </w:rPr>
        <w:t>Conversion</w:t>
      </w:r>
    </w:p>
    <w:p>
      <w:pPr>
        <w:spacing w:after="0" w:line="1" w:lineRule="exact"/>
        <w:rPr>
          <w:sz w:val="20"/>
          <w:szCs w:val="20"/>
          <w:color w:val="auto"/>
        </w:rPr>
      </w:pPr>
    </w:p>
    <w:p>
      <w:pPr>
        <w:ind w:left="4" w:right="120" w:firstLine="436"/>
        <w:spacing w:after="0" w:line="238" w:lineRule="auto"/>
        <w:rPr>
          <w:sz w:val="20"/>
          <w:szCs w:val="20"/>
          <w:color w:val="auto"/>
        </w:rPr>
      </w:pPr>
      <w:r>
        <w:rPr>
          <w:rFonts w:ascii="Arial" w:cs="Arial" w:eastAsia="Arial" w:hAnsi="Arial"/>
          <w:sz w:val="16"/>
          <w:szCs w:val="16"/>
          <w:color w:val="auto"/>
        </w:rPr>
        <w:t>Each Class B common share shall automatically convert into one Class A common share upon certain transfers of such shares by the holder thereof (subject to certain exceptions). Each Class B common share shall be convertible, at the holder's election and at any time into one Class A common share or one Class B1 common share. Each Class A1 common share is convertible into one Class A common share at the holder's election. Each Class B1 common share is convertible into one Class A common share or one Class B common share at the holder's election.</w:t>
      </w:r>
    </w:p>
    <w:p>
      <w:pPr>
        <w:spacing w:after="0" w:line="187"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There are no conversion rights associated with the Company's Class A common shares.</w:t>
      </w:r>
    </w:p>
    <w:p>
      <w:pPr>
        <w:spacing w:after="0" w:line="170" w:lineRule="exact"/>
        <w:rPr>
          <w:sz w:val="20"/>
          <w:szCs w:val="20"/>
          <w:color w:val="auto"/>
        </w:rPr>
      </w:pPr>
    </w:p>
    <w:p>
      <w:pPr>
        <w:ind w:left="484" w:right="8980" w:hanging="484"/>
        <w:spacing w:after="0" w:line="534" w:lineRule="auto"/>
        <w:tabs>
          <w:tab w:leader="none" w:pos="175"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b w:val="1"/>
          <w:bCs w:val="1"/>
          <w:i w:val="1"/>
          <w:iCs w:val="1"/>
          <w:color w:val="auto"/>
        </w:rPr>
        <w:t>2015 Equity Incentive Plan</w:t>
      </w:r>
    </w:p>
    <w:p>
      <w:pPr>
        <w:ind w:left="4" w:firstLine="433"/>
        <w:spacing w:after="0" w:line="241" w:lineRule="auto"/>
        <w:rPr>
          <w:sz w:val="20"/>
          <w:szCs w:val="20"/>
          <w:color w:val="auto"/>
        </w:rPr>
      </w:pPr>
      <w:r>
        <w:rPr>
          <w:rFonts w:ascii="Arial" w:cs="Arial" w:eastAsia="Arial" w:hAnsi="Arial"/>
          <w:sz w:val="16"/>
          <w:szCs w:val="16"/>
          <w:color w:val="auto"/>
        </w:rPr>
        <w:t>The Company's 2015 Equity Incentive Plan, as amended (the "2015 Plan"), provides for the Company to grant qualified incentive options, nonqualified options, share grants and other share-based awards to employees and non-employees to purchase the Company's Class A common shares.</w:t>
      </w:r>
    </w:p>
    <w:p>
      <w:pPr>
        <w:spacing w:after="0" w:line="185" w:lineRule="exact"/>
        <w:rPr>
          <w:sz w:val="20"/>
          <w:szCs w:val="20"/>
          <w:color w:val="auto"/>
        </w:rPr>
      </w:pPr>
    </w:p>
    <w:p>
      <w:pPr>
        <w:ind w:left="4" w:right="40" w:firstLine="433"/>
        <w:spacing w:after="0" w:line="238" w:lineRule="auto"/>
        <w:rPr>
          <w:sz w:val="20"/>
          <w:szCs w:val="20"/>
          <w:color w:val="auto"/>
        </w:rPr>
      </w:pPr>
      <w:r>
        <w:rPr>
          <w:rFonts w:ascii="Arial" w:cs="Arial" w:eastAsia="Arial" w:hAnsi="Arial"/>
          <w:sz w:val="16"/>
          <w:szCs w:val="16"/>
          <w:color w:val="auto"/>
        </w:rPr>
        <w:t>The total number of common shares that may be issued under the 2015 Plan was 3,778,249 and 4,794,266 shares as of December 31, 2016 and 2017, respectively, of which 2,188,249 shares remained available for future grant as of December 31, 2016 and 1,664,893 shares remained available for future grant as of December 31, 2017. The total number of common shares that may be issued under the 2015 plan was 4,794,266 shares as of March 31, 2018 (unaudited), of which 81,193 shares remained available for future grant.</w:t>
      </w:r>
    </w:p>
    <w:p>
      <w:pPr>
        <w:spacing w:after="0" w:line="187" w:lineRule="exact"/>
        <w:rPr>
          <w:sz w:val="20"/>
          <w:szCs w:val="20"/>
          <w:color w:val="auto"/>
        </w:rPr>
      </w:pPr>
    </w:p>
    <w:p>
      <w:pPr>
        <w:ind w:left="4" w:right="40" w:firstLine="433"/>
        <w:spacing w:after="0" w:line="237" w:lineRule="auto"/>
        <w:rPr>
          <w:sz w:val="20"/>
          <w:szCs w:val="20"/>
          <w:color w:val="auto"/>
        </w:rPr>
      </w:pPr>
      <w:r>
        <w:rPr>
          <w:rFonts w:ascii="Arial" w:cs="Arial" w:eastAsia="Arial" w:hAnsi="Arial"/>
          <w:sz w:val="16"/>
          <w:szCs w:val="16"/>
          <w:color w:val="auto"/>
        </w:rPr>
        <w:t>The exercise price for incentive options is determined by the board of directors. All incentive options granted to any person possessing less than 10% of the total combined voting power of all classes of shares may not have an exercise price of less than 100% of the fair market value of the Class A common shares on the grant date. All incentive options granted to any person possessing more than 10% of the total combined voting power of all classes of shares may not have an exercise price of less than 110% of the fair market value of the Class A common shares on the grant date. The option term for incentive awards may not be greater than 10 years. Incentive options granted to persons possessing more than 10% of the total combined voting power of all classes of shares may not have an option term of greater than five years. The vesting period for equity-based awards is determined by the board of directors, which is generally four to six years. For awards granted to employees and non-employees with four-year vesting terms, 25% of the option vests on the first anniversary of the grant date and the remaining shares vest equally each month for three years thereafter. For awards granted to employees with six-year vesting terms, 16% of the option vests on the first anniversary of the grant date and the remaining shares vest based on a predetermined vesting schedule for five years thereafter.</w:t>
      </w:r>
    </w:p>
    <w:p>
      <w:pPr>
        <w:spacing w:after="0" w:line="18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Shares that are expired, terminated, surrendered or canceled under the 2015 Plan without having been fully exercised will be available for future awards.</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42" w:name="page243"/>
    <w:bookmarkEnd w:id="2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Share-Based Compensation (Continued)</w:t>
      </w:r>
    </w:p>
    <w:p>
      <w:pPr>
        <w:spacing w:after="0" w:line="210" w:lineRule="exact"/>
        <w:rPr>
          <w:sz w:val="20"/>
          <w:szCs w:val="20"/>
          <w:color w:val="auto"/>
        </w:rPr>
      </w:pPr>
    </w:p>
    <w:p>
      <w:pPr>
        <w:ind w:right="180" w:firstLine="436"/>
        <w:spacing w:after="0" w:line="237" w:lineRule="auto"/>
        <w:rPr>
          <w:sz w:val="20"/>
          <w:szCs w:val="20"/>
          <w:color w:val="auto"/>
        </w:rPr>
      </w:pPr>
      <w:r>
        <w:rPr>
          <w:rFonts w:ascii="Arial" w:cs="Arial" w:eastAsia="Arial" w:hAnsi="Arial"/>
          <w:sz w:val="16"/>
          <w:szCs w:val="16"/>
          <w:color w:val="auto"/>
        </w:rPr>
        <w:t>During the years ended December 31, 2016 and 2017, the Company granted options to purchase 316,866 and 1,545,045 Class A common shares, respectively, to employees and directors. During the three months ended March 31, 2017 and 2018 (unaudited), the Company granted options to purchase 37,512 and 1,652,321 Class A common shares, respectively, to employees and directors. The Company recorded share-based compensation expense for options granted to employees and directors of $354, $876, $110 and $536 during the years ended December 31, 2016 and 2017 and the three months ended March 31, 2017 and 2018 (unaudited), respectively.</w:t>
      </w:r>
    </w:p>
    <w:p>
      <w:pPr>
        <w:spacing w:after="0" w:line="189"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During the years ended December 31, 2016 and 2017, the Company granted options to purchase 12,807 and 1,829 Class A common shares, respectively, to non-employees. During the three months ended March 31, 2017 (unaudited), the Company granted options to purchase 1,829 Class A common shares to non-employees. The Company did not grant any options to non-employees during the three months ended March 31, 2018 (unaudited). The Company recorded share-based compensation expense for options granted to non-employees of $14, $21, $4 and $22 during the years ended December 31, 2016 and 2017 and the three months ended March 31, 2017 and 2018 (unaudited), respectively.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Option Valuation</w:t>
      </w:r>
    </w:p>
    <w:p>
      <w:pPr>
        <w:spacing w:after="0" w:line="208"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assumptions that the Company used to determine the grant-date fair value of options granted to employees and directors were as follows, presented on a weighted-average basis: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Three Months</w:t>
            </w:r>
          </w:p>
        </w:tc>
      </w:tr>
      <w:tr>
        <w:trPr>
          <w:trHeight w:val="205"/>
        </w:trPr>
        <w:tc>
          <w:tcPr>
            <w:tcW w:w="6400" w:type="dxa"/>
            <w:vAlign w:val="bottom"/>
          </w:tcPr>
          <w:p>
            <w:pPr>
              <w:spacing w:after="0"/>
              <w:rPr>
                <w:sz w:val="17"/>
                <w:szCs w:val="17"/>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Year Ended</w:t>
            </w:r>
          </w:p>
        </w:tc>
        <w:tc>
          <w:tcPr>
            <w:tcW w:w="136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Ended</w:t>
            </w:r>
          </w:p>
        </w:tc>
      </w:tr>
      <w:tr>
        <w:trPr>
          <w:trHeight w:val="214"/>
        </w:trPr>
        <w:tc>
          <w:tcPr>
            <w:tcW w:w="6400" w:type="dxa"/>
            <w:vAlign w:val="bottom"/>
          </w:tcPr>
          <w:p>
            <w:pPr>
              <w:spacing w:after="0"/>
              <w:rPr>
                <w:sz w:val="18"/>
                <w:szCs w:val="18"/>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March 31,</w:t>
            </w:r>
          </w:p>
        </w:tc>
      </w:tr>
      <w:tr>
        <w:trPr>
          <w:trHeight w:val="197"/>
        </w:trPr>
        <w:tc>
          <w:tcPr>
            <w:tcW w:w="64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6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(unaudited)</w:t>
            </w:r>
          </w:p>
        </w:tc>
        <w:tc>
          <w:tcPr>
            <w:tcW w:w="140" w:type="dxa"/>
            <w:vAlign w:val="bottom"/>
          </w:tcPr>
          <w:p>
            <w:pPr>
              <w:spacing w:after="0"/>
              <w:rPr>
                <w:sz w:val="16"/>
                <w:szCs w:val="16"/>
                <w:color w:val="auto"/>
              </w:rPr>
            </w:pPr>
          </w:p>
        </w:tc>
      </w:tr>
      <w:tr>
        <w:trPr>
          <w:trHeight w:val="181"/>
        </w:trPr>
        <w:tc>
          <w:tcPr>
            <w:tcW w:w="6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Risk-free interest rate</w:t>
            </w:r>
          </w:p>
        </w:tc>
        <w:tc>
          <w:tcPr>
            <w:tcW w:w="7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1.45%</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1.99%</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2.17%</w:t>
            </w: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2.71%</w:t>
            </w:r>
          </w:p>
        </w:tc>
      </w:tr>
      <w:tr>
        <w:trPr>
          <w:trHeight w:val="181"/>
        </w:trPr>
        <w:tc>
          <w:tcPr>
            <w:tcW w:w="6400" w:type="dxa"/>
            <w:vAlign w:val="bottom"/>
          </w:tcPr>
          <w:p>
            <w:pPr>
              <w:spacing w:after="0" w:line="181" w:lineRule="exact"/>
              <w:rPr>
                <w:sz w:val="20"/>
                <w:szCs w:val="20"/>
                <w:color w:val="auto"/>
              </w:rPr>
            </w:pPr>
            <w:r>
              <w:rPr>
                <w:rFonts w:ascii="Arial" w:cs="Arial" w:eastAsia="Arial" w:hAnsi="Arial"/>
                <w:sz w:val="16"/>
                <w:szCs w:val="16"/>
                <w:color w:val="auto"/>
              </w:rPr>
              <w:t>Expected term (in years)</w:t>
            </w: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20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16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2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6.56</w:t>
            </w:r>
          </w:p>
        </w:tc>
        <w:tc>
          <w:tcPr>
            <w:tcW w:w="140" w:type="dxa"/>
            <w:vAlign w:val="bottom"/>
          </w:tcPr>
          <w:p>
            <w:pPr>
              <w:spacing w:after="0"/>
              <w:rPr>
                <w:sz w:val="15"/>
                <w:szCs w:val="15"/>
                <w:color w:val="auto"/>
              </w:rPr>
            </w:pPr>
          </w:p>
        </w:tc>
      </w:tr>
      <w:tr>
        <w:trPr>
          <w:trHeight w:val="181"/>
        </w:trPr>
        <w:tc>
          <w:tcPr>
            <w:tcW w:w="6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volatility</w:t>
            </w:r>
          </w:p>
        </w:tc>
        <w:tc>
          <w:tcPr>
            <w:tcW w:w="7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70.75%</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74.18%</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74.03%</w:t>
            </w: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75.25%</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w:t>
            </w:r>
          </w:p>
        </w:tc>
      </w:tr>
    </w:tbl>
    <w:p>
      <w:pPr>
        <w:spacing w:after="0" w:line="18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assumptions that the Company used to determine the fair value of options granted to non-employees were as follows, presented on a weighted-average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9"/>
              </w:rPr>
              <w:t>Three Months</w:t>
            </w: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6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Year Ended</w:t>
            </w:r>
          </w:p>
        </w:tc>
        <w:tc>
          <w:tcPr>
            <w:tcW w:w="258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7"/>
              </w:rPr>
              <w:t>Ended March 31,</w:t>
            </w:r>
          </w:p>
        </w:tc>
      </w:tr>
      <w:tr>
        <w:trPr>
          <w:trHeight w:val="214"/>
        </w:trPr>
        <w:tc>
          <w:tcPr>
            <w:tcW w:w="1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9"/>
              </w:rPr>
              <w:t>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(unaudited)</w:t>
            </w:r>
          </w:p>
        </w:tc>
        <w:tc>
          <w:tcPr>
            <w:tcW w:w="1300" w:type="dxa"/>
            <w:vAlign w:val="bottom"/>
            <w:gridSpan w:val="2"/>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3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Risk-free interest rate</w:t>
            </w:r>
          </w:p>
        </w:tc>
        <w:tc>
          <w:tcPr>
            <w:tcW w:w="402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1.94%</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2.49%</w:t>
            </w:r>
          </w:p>
        </w:tc>
        <w:tc>
          <w:tcPr>
            <w:tcW w:w="780" w:type="dxa"/>
            <w:vAlign w:val="bottom"/>
            <w:gridSpan w:val="2"/>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2.49%</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1160" w:type="dxa"/>
            <w:vAlign w:val="bottom"/>
          </w:tcPr>
          <w:p>
            <w:pPr>
              <w:spacing w:after="0"/>
              <w:rPr>
                <w:sz w:val="15"/>
                <w:szCs w:val="15"/>
                <w:color w:val="auto"/>
              </w:rPr>
            </w:pPr>
          </w:p>
        </w:tc>
      </w:tr>
      <w:tr>
        <w:trPr>
          <w:trHeight w:val="181"/>
        </w:trPr>
        <w:tc>
          <w:tcPr>
            <w:tcW w:w="420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Expected term (in years)</w:t>
            </w:r>
          </w:p>
        </w:tc>
        <w:tc>
          <w:tcPr>
            <w:tcW w:w="38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10.00</w:t>
            </w: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560" w:type="dxa"/>
            <w:vAlign w:val="bottom"/>
          </w:tcPr>
          <w:p>
            <w:pPr>
              <w:ind w:left="180"/>
              <w:spacing w:after="0" w:line="181" w:lineRule="exact"/>
              <w:rPr>
                <w:sz w:val="20"/>
                <w:szCs w:val="20"/>
                <w:color w:val="auto"/>
              </w:rPr>
            </w:pPr>
            <w:r>
              <w:rPr>
                <w:rFonts w:ascii="Arial" w:cs="Arial" w:eastAsia="Arial" w:hAnsi="Arial"/>
                <w:sz w:val="16"/>
                <w:szCs w:val="16"/>
                <w:color w:val="auto"/>
                <w:w w:val="89"/>
              </w:rPr>
              <w:t>10.00</w:t>
            </w: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7.89</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3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volatility</w:t>
            </w:r>
          </w:p>
        </w:tc>
        <w:tc>
          <w:tcPr>
            <w:tcW w:w="402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65.85%</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78.28%</w:t>
            </w:r>
          </w:p>
        </w:tc>
        <w:tc>
          <w:tcPr>
            <w:tcW w:w="780" w:type="dxa"/>
            <w:vAlign w:val="bottom"/>
            <w:gridSpan w:val="2"/>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78.28%</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73.96%</w:t>
            </w:r>
          </w:p>
        </w:tc>
        <w:tc>
          <w:tcPr>
            <w:tcW w:w="1160" w:type="dxa"/>
            <w:vAlign w:val="bottom"/>
          </w:tcPr>
          <w:p>
            <w:pPr>
              <w:spacing w:after="0"/>
              <w:rPr>
                <w:sz w:val="15"/>
                <w:szCs w:val="15"/>
                <w:color w:val="auto"/>
              </w:rPr>
            </w:pPr>
          </w:p>
        </w:tc>
      </w:tr>
      <w:tr>
        <w:trPr>
          <w:trHeight w:val="191"/>
        </w:trPr>
        <w:tc>
          <w:tcPr>
            <w:tcW w:w="4200" w:type="dxa"/>
            <w:vAlign w:val="bottom"/>
            <w:gridSpan w:val="2"/>
          </w:tcPr>
          <w:p>
            <w:pPr>
              <w:ind w:left="1140"/>
              <w:spacing w:after="0"/>
              <w:rPr>
                <w:sz w:val="20"/>
                <w:szCs w:val="20"/>
                <w:color w:val="auto"/>
              </w:rPr>
            </w:pPr>
            <w:r>
              <w:rPr>
                <w:rFonts w:ascii="Arial" w:cs="Arial" w:eastAsia="Arial" w:hAnsi="Arial"/>
                <w:sz w:val="16"/>
                <w:szCs w:val="16"/>
                <w:color w:val="auto"/>
              </w:rPr>
              <w:t>Expected dividend yield</w:t>
            </w:r>
          </w:p>
        </w:tc>
        <w:tc>
          <w:tcPr>
            <w:tcW w:w="4020" w:type="dxa"/>
            <w:vAlign w:val="bottom"/>
            <w:gridSpan w:val="3"/>
          </w:tcPr>
          <w:p>
            <w:pPr>
              <w:jc w:val="right"/>
              <w:ind w:right="80"/>
              <w:spacing w:after="0"/>
              <w:rPr>
                <w:sz w:val="20"/>
                <w:szCs w:val="20"/>
                <w:color w:val="auto"/>
              </w:rPr>
            </w:pPr>
            <w:r>
              <w:rPr>
                <w:rFonts w:ascii="Arial" w:cs="Arial" w:eastAsia="Arial" w:hAnsi="Arial"/>
                <w:sz w:val="16"/>
                <w:szCs w:val="16"/>
                <w:color w:val="auto"/>
              </w:rPr>
              <w:t>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80" w:type="dxa"/>
            <w:vAlign w:val="bottom"/>
            <w:gridSpan w:val="2"/>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spacing w:after="0"/>
              <w:rPr>
                <w:sz w:val="16"/>
                <w:szCs w:val="16"/>
                <w:color w:val="auto"/>
              </w:rPr>
            </w:pPr>
          </w:p>
        </w:tc>
      </w:tr>
      <w:tr>
        <w:trPr>
          <w:trHeight w:val="374"/>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20" w:type="dxa"/>
            <w:vAlign w:val="bottom"/>
            <w:gridSpan w:val="3"/>
          </w:tcPr>
          <w:p>
            <w:pPr>
              <w:jc w:val="right"/>
              <w:ind w:right="2340"/>
              <w:spacing w:after="0"/>
              <w:rPr>
                <w:sz w:val="20"/>
                <w:szCs w:val="20"/>
                <w:color w:val="auto"/>
              </w:rPr>
            </w:pPr>
            <w:r>
              <w:rPr>
                <w:rFonts w:ascii="Arial" w:cs="Arial" w:eastAsia="Arial" w:hAnsi="Arial"/>
                <w:sz w:val="16"/>
                <w:szCs w:val="16"/>
                <w:color w:val="auto"/>
              </w:rPr>
              <w:t>F-26</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3060" w:type="dxa"/>
            <w:vAlign w:val="bottom"/>
            <w:tcBorders>
              <w:bottom w:val="single" w:sz="8" w:color="808080"/>
            </w:tcBorders>
          </w:tcPr>
          <w:p>
            <w:pPr>
              <w:spacing w:after="0"/>
              <w:rPr>
                <w:sz w:val="16"/>
                <w:szCs w:val="16"/>
                <w:color w:val="auto"/>
              </w:rPr>
            </w:pPr>
          </w:p>
        </w:tc>
        <w:tc>
          <w:tcPr>
            <w:tcW w:w="33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43" w:name="page244"/>
    <w:bookmarkEnd w:id="243"/>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240" w:hanging="484"/>
        <w:spacing w:after="0" w:line="500" w:lineRule="auto"/>
        <w:tabs>
          <w:tab w:leader="none" w:pos="175"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Compensation (Continued) </w:t>
      </w:r>
      <w:r>
        <w:rPr>
          <w:rFonts w:ascii="Arial" w:cs="Arial" w:eastAsia="Arial" w:hAnsi="Arial"/>
          <w:sz w:val="16"/>
          <w:szCs w:val="16"/>
          <w:b w:val="1"/>
          <w:bCs w:val="1"/>
          <w:i w:val="1"/>
          <w:iCs w:val="1"/>
          <w:color w:val="auto"/>
        </w:rPr>
        <w:t>Options</w:t>
      </w:r>
    </w:p>
    <w:p>
      <w:pPr>
        <w:spacing w:after="0" w:line="1" w:lineRule="exact"/>
        <w:rPr>
          <w:sz w:val="20"/>
          <w:szCs w:val="20"/>
          <w:color w:val="auto"/>
        </w:rPr>
      </w:pPr>
    </w:p>
    <w:p>
      <w:pPr>
        <w:ind w:left="4" w:right="100" w:firstLine="433"/>
        <w:spacing w:after="0" w:line="239" w:lineRule="auto"/>
        <w:rPr>
          <w:sz w:val="20"/>
          <w:szCs w:val="20"/>
          <w:color w:val="auto"/>
        </w:rPr>
      </w:pPr>
      <w:r>
        <w:rPr>
          <w:rFonts w:ascii="Arial" w:cs="Arial" w:eastAsia="Arial" w:hAnsi="Arial"/>
          <w:sz w:val="16"/>
          <w:szCs w:val="16"/>
          <w:color w:val="auto"/>
        </w:rPr>
        <w:t>Through December 31, 2017 and March 31, 2018 (unaudited), all options granted by the Company under the 2015 Plan were for the purchase of Class A common shares. The following table summarizes option activity under the 2015 Plan for the year ended December 31, 2017 and the three months ended March 31, 2018 (unaudited):</w:t>
      </w:r>
    </w:p>
    <w:p>
      <w:pPr>
        <w:spacing w:after="0" w:line="163" w:lineRule="exact"/>
        <w:rPr>
          <w:sz w:val="20"/>
          <w:szCs w:val="20"/>
          <w:color w:val="auto"/>
        </w:rPr>
      </w:pPr>
    </w:p>
    <w:tbl>
      <w:tblPr>
        <w:tblLayout w:type="fixed"/>
        <w:tblInd w:w="1144"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left="2"/>
              <w:spacing w:after="0"/>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5"/>
                <w:szCs w:val="15"/>
                <w:color w:val="auto"/>
              </w:rPr>
            </w:pPr>
          </w:p>
        </w:tc>
        <w:tc>
          <w:tcPr>
            <w:tcW w:w="9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line="181" w:lineRule="exact"/>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100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9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6"/>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6"/>
              </w:rPr>
              <w:t>Price</w:t>
            </w:r>
          </w:p>
        </w:tc>
        <w:tc>
          <w:tcPr>
            <w:tcW w:w="140" w:type="dxa"/>
            <w:vAlign w:val="bottom"/>
          </w:tcPr>
          <w:p>
            <w:pPr>
              <w:spacing w:after="0"/>
              <w:rPr>
                <w:sz w:val="17"/>
                <w:szCs w:val="17"/>
                <w:color w:val="auto"/>
              </w:rPr>
            </w:pPr>
          </w:p>
        </w:tc>
        <w:tc>
          <w:tcPr>
            <w:tcW w:w="980" w:type="dxa"/>
            <w:vAlign w:val="bottom"/>
          </w:tcPr>
          <w:p>
            <w:pPr>
              <w:jc w:val="center"/>
              <w:ind w:left="2"/>
              <w:spacing w:after="0"/>
              <w:rPr>
                <w:sz w:val="20"/>
                <w:szCs w:val="20"/>
                <w:color w:val="auto"/>
              </w:rPr>
            </w:pPr>
            <w:r>
              <w:rPr>
                <w:rFonts w:ascii="Arial" w:cs="Arial" w:eastAsia="Arial" w:hAnsi="Arial"/>
                <w:sz w:val="16"/>
                <w:szCs w:val="16"/>
                <w:b w:val="1"/>
                <w:bCs w:val="1"/>
                <w:color w:val="auto"/>
                <w:w w:val="97"/>
              </w:rPr>
              <w:t>Term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8"/>
              </w:rPr>
              <w:t>(in years)</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2016</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1,583,691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1.64</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9.10</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356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1,546,874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3.90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(7,501)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3.75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Outstanding as of December 31, 2017</w:t>
            </w:r>
          </w:p>
        </w:tc>
        <w:tc>
          <w:tcPr>
            <w:tcW w:w="9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3,123,064</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2.75</w:t>
            </w:r>
          </w:p>
        </w:tc>
        <w:tc>
          <w:tcPr>
            <w:tcW w:w="11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8.82</w:t>
            </w:r>
          </w:p>
        </w:tc>
        <w:tc>
          <w:tcPr>
            <w:tcW w:w="2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6,010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1,652,321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10.36</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(4,574)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(68,621)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Outstanding as of March 31, 2018 (unaudited)</w:t>
            </w:r>
          </w:p>
        </w:tc>
        <w:tc>
          <w:tcPr>
            <w:tcW w:w="9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4,702,190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5.41</w:t>
            </w:r>
          </w:p>
        </w:tc>
        <w:tc>
          <w:tcPr>
            <w:tcW w:w="11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9.03</w:t>
            </w:r>
          </w:p>
        </w:tc>
        <w:tc>
          <w:tcPr>
            <w:tcW w:w="2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23,280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Options exercisable as of December 31, 2017</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2,580</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vMerge w:val="continue"/>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6"/>
                <w:szCs w:val="16"/>
                <w:color w:val="auto"/>
              </w:rPr>
              <w:t>843,454</w:t>
            </w:r>
          </w:p>
        </w:tc>
        <w:tc>
          <w:tcPr>
            <w:tcW w:w="10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exercisable as of March 31, 2018 (unaudited)</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955,119</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1.64</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7.82</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line="181" w:lineRule="exact"/>
              <w:rPr>
                <w:sz w:val="20"/>
                <w:szCs w:val="20"/>
                <w:color w:val="auto"/>
              </w:rPr>
            </w:pPr>
            <w:r>
              <w:rPr>
                <w:rFonts w:ascii="Arial" w:cs="Arial" w:eastAsia="Arial" w:hAnsi="Arial"/>
                <w:sz w:val="16"/>
                <w:szCs w:val="16"/>
                <w:color w:val="auto"/>
              </w:rPr>
              <w:t>Options unvested as of December 31, 2017</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2,279,610</w:t>
            </w:r>
          </w:p>
        </w:tc>
        <w:tc>
          <w:tcPr>
            <w:tcW w:w="100" w:type="dxa"/>
            <w:vAlign w:val="bottom"/>
          </w:tcPr>
          <w:p>
            <w:pPr>
              <w:spacing w:after="0"/>
              <w:rPr>
                <w:sz w:val="15"/>
                <w:szCs w:val="15"/>
                <w:color w:val="auto"/>
              </w:rPr>
            </w:pP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3.17</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9.09</w:t>
            </w:r>
          </w:p>
        </w:tc>
        <w:tc>
          <w:tcPr>
            <w:tcW w:w="2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3,431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unvested as of March 31, 2018 (unaudited)</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3,747,071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6.37</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9.34</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14,947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 w:right="100" w:firstLine="433"/>
        <w:spacing w:after="0" w:line="241" w:lineRule="auto"/>
        <w:rPr>
          <w:sz w:val="20"/>
          <w:szCs w:val="20"/>
          <w:color w:val="auto"/>
        </w:rPr>
      </w:pPr>
      <w:r>
        <w:rPr>
          <w:rFonts w:ascii="Arial" w:cs="Arial" w:eastAsia="Arial" w:hAnsi="Arial"/>
          <w:sz w:val="16"/>
          <w:szCs w:val="16"/>
          <w:color w:val="auto"/>
        </w:rPr>
        <w:t>The aggregate intrinsic value of options is calculated as the difference between the exercise price of the options and the fair value of the Company's common shares for those options that had exercise prices lower than the fair value of the Company's common shares.</w:t>
      </w:r>
    </w:p>
    <w:p>
      <w:pPr>
        <w:spacing w:after="0" w:line="185" w:lineRule="exact"/>
        <w:rPr>
          <w:sz w:val="20"/>
          <w:szCs w:val="20"/>
          <w:color w:val="auto"/>
        </w:rPr>
      </w:pPr>
    </w:p>
    <w:p>
      <w:pPr>
        <w:ind w:left="4" w:firstLine="436"/>
        <w:spacing w:after="0" w:line="239" w:lineRule="auto"/>
        <w:rPr>
          <w:sz w:val="20"/>
          <w:szCs w:val="20"/>
          <w:color w:val="auto"/>
        </w:rPr>
      </w:pPr>
      <w:r>
        <w:rPr>
          <w:rFonts w:ascii="Arial" w:cs="Arial" w:eastAsia="Arial" w:hAnsi="Arial"/>
          <w:sz w:val="16"/>
          <w:szCs w:val="16"/>
          <w:color w:val="auto"/>
        </w:rPr>
        <w:t>During the year ended December 31, 2016, an option holder exercised 6,309 options for Class A common shares with an intrinsic value of $2 for total cash proceeds of $10. There were no options exercised during the year ended December 31, 2017. During the three months ended March 31, 2018 (unaudited), an option holder exercised 4,574 options for Class A common shares with an instrinsic value of $30 for total cash proceeds of $17.</w:t>
      </w:r>
    </w:p>
    <w:p>
      <w:pPr>
        <w:spacing w:after="0" w:line="186" w:lineRule="exact"/>
        <w:rPr>
          <w:sz w:val="20"/>
          <w:szCs w:val="20"/>
          <w:color w:val="auto"/>
        </w:rPr>
      </w:pPr>
    </w:p>
    <w:p>
      <w:pPr>
        <w:ind w:left="4" w:right="340" w:firstLine="433"/>
        <w:spacing w:after="0" w:line="239" w:lineRule="auto"/>
        <w:rPr>
          <w:sz w:val="20"/>
          <w:szCs w:val="20"/>
          <w:color w:val="auto"/>
        </w:rPr>
      </w:pPr>
      <w:r>
        <w:rPr>
          <w:rFonts w:ascii="Arial" w:cs="Arial" w:eastAsia="Arial" w:hAnsi="Arial"/>
          <w:sz w:val="16"/>
          <w:szCs w:val="16"/>
          <w:color w:val="auto"/>
        </w:rPr>
        <w:t>The weighted-average grant-date fair value per share of options granted during the years ended December 31, 2016 and 2017 was $1.16 and $2.57, respectively. The weighted-average grant-date fair value per share of options granted during the three months ended March 31, 2017 and 2018 (unaudited) was $2.54 and $7.18, respectively.</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44" w:name="page245"/>
    <w:bookmarkEnd w:id="2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Share-Based Compensation (Continued)</w:t>
      </w:r>
    </w:p>
    <w:p>
      <w:pPr>
        <w:spacing w:after="0" w:line="210" w:lineRule="exact"/>
        <w:rPr>
          <w:sz w:val="20"/>
          <w:szCs w:val="20"/>
          <w:color w:val="auto"/>
        </w:rPr>
      </w:pPr>
    </w:p>
    <w:p>
      <w:pPr>
        <w:ind w:right="40" w:firstLine="433"/>
        <w:spacing w:after="0" w:line="241" w:lineRule="auto"/>
        <w:rPr>
          <w:sz w:val="20"/>
          <w:szCs w:val="20"/>
          <w:color w:val="auto"/>
        </w:rPr>
      </w:pPr>
      <w:r>
        <w:rPr>
          <w:rFonts w:ascii="Arial" w:cs="Arial" w:eastAsia="Arial" w:hAnsi="Arial"/>
          <w:sz w:val="16"/>
          <w:szCs w:val="16"/>
          <w:color w:val="auto"/>
        </w:rPr>
        <w:t>The total fair value of options vested during the years ended December 31, 2016 and 2017 and the three months ended March 31, 2017 and 2018 (unaudited) was $402, $445, $89 and $126, respectively.</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208"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color w:val="auto"/>
        </w:rPr>
        <w:t>Under terms of the Class A and Class B restricted share agreements covering the Class A and Class B common shares, restricted common shares are subject to a vesting schedule. The restricted shares vest over a four-year period during which time the Company has the right to repurchase up to all unvested shares at the amount paid if the relationship between the recipient and the Company ceases. Subject to the continued employment (or other engagement of the recipient by the Company as described in the restricted share agreements), all of the restricted common shares become fully vested within four years of the date of issuance.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restricted share activity for the year ended December 31, 2017 and the three months ended March 31, 2018 (unaudited):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2160" w:type="dxa"/>
            <w:vAlign w:val="bottom"/>
            <w:gridSpan w:val="5"/>
          </w:tcPr>
          <w:p>
            <w:pPr>
              <w:jc w:val="right"/>
              <w:ind w:right="662"/>
              <w:spacing w:after="0"/>
              <w:rPr>
                <w:sz w:val="20"/>
                <w:szCs w:val="20"/>
                <w:color w:val="auto"/>
              </w:rPr>
            </w:pPr>
            <w:r>
              <w:rPr>
                <w:rFonts w:ascii="Arial" w:cs="Arial" w:eastAsia="Arial" w:hAnsi="Arial"/>
                <w:sz w:val="16"/>
                <w:szCs w:val="16"/>
                <w:b w:val="1"/>
                <w:bCs w:val="1"/>
                <w:color w:val="auto"/>
              </w:rPr>
              <w:t>Class A</w:t>
            </w:r>
          </w:p>
        </w:tc>
        <w:tc>
          <w:tcPr>
            <w:tcW w:w="140" w:type="dxa"/>
            <w:vAlign w:val="bottom"/>
          </w:tcPr>
          <w:p>
            <w:pPr>
              <w:spacing w:after="0"/>
              <w:rPr>
                <w:sz w:val="17"/>
                <w:szCs w:val="17"/>
                <w:color w:val="auto"/>
              </w:rPr>
            </w:pPr>
          </w:p>
        </w:tc>
        <w:tc>
          <w:tcPr>
            <w:tcW w:w="232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Class B</w:t>
            </w:r>
          </w:p>
        </w:tc>
      </w:tr>
      <w:tr>
        <w:trPr>
          <w:trHeight w:val="164"/>
        </w:trPr>
        <w:tc>
          <w:tcPr>
            <w:tcW w:w="45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4"/>
                <w:szCs w:val="14"/>
                <w:color w:val="auto"/>
              </w:rPr>
            </w:pPr>
          </w:p>
        </w:tc>
      </w:tr>
      <w:tr>
        <w:trPr>
          <w:trHeight w:val="181"/>
        </w:trPr>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4"/>
              </w:rPr>
              <w:t>Average</w:t>
            </w:r>
          </w:p>
        </w:tc>
      </w:tr>
      <w:tr>
        <w:trPr>
          <w:trHeight w:val="181"/>
        </w:trPr>
        <w:tc>
          <w:tcPr>
            <w:tcW w:w="4580" w:type="dxa"/>
            <w:vAlign w:val="bottom"/>
          </w:tcPr>
          <w:p>
            <w:pPr>
              <w:spacing w:after="0"/>
              <w:rPr>
                <w:sz w:val="15"/>
                <w:szCs w:val="15"/>
                <w:color w:val="auto"/>
              </w:rPr>
            </w:pPr>
          </w:p>
        </w:tc>
        <w:tc>
          <w:tcPr>
            <w:tcW w:w="1000" w:type="dxa"/>
            <w:vAlign w:val="bottom"/>
            <w:gridSpan w:val="2"/>
          </w:tcPr>
          <w:p>
            <w:pPr>
              <w:jc w:val="right"/>
              <w:ind w:right="100"/>
              <w:spacing w:after="0" w:line="181" w:lineRule="exact"/>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9"/>
              </w:rPr>
              <w:t>Fair Value</w:t>
            </w:r>
          </w:p>
        </w:tc>
      </w:tr>
      <w:tr>
        <w:trPr>
          <w:trHeight w:val="202"/>
        </w:trPr>
        <w:tc>
          <w:tcPr>
            <w:tcW w:w="45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at Issuance</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at Issuance</w:t>
            </w:r>
          </w:p>
        </w:tc>
      </w:tr>
      <w:tr>
        <w:trPr>
          <w:trHeight w:val="18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shares outstanding as of December 31,</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8"/>
        </w:trPr>
        <w:tc>
          <w:tcPr>
            <w:tcW w:w="45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2016</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490,646</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2,527,583</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181"/>
        </w:trPr>
        <w:tc>
          <w:tcPr>
            <w:tcW w:w="458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10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r>
      <w:tr>
        <w:trPr>
          <w:trHeight w:val="181"/>
        </w:trPr>
        <w:tc>
          <w:tcPr>
            <w:tcW w:w="4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Vested</w:t>
            </w:r>
          </w:p>
        </w:tc>
        <w:tc>
          <w:tcPr>
            <w:tcW w:w="10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(178,417)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0.000273235</w:t>
            </w:r>
          </w:p>
        </w:tc>
        <w:tc>
          <w:tcPr>
            <w:tcW w:w="1160" w:type="dxa"/>
            <w:vAlign w:val="bottom"/>
            <w:gridSpan w:val="3"/>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(892,088)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176"/>
        </w:trPr>
        <w:tc>
          <w:tcPr>
            <w:tcW w:w="4580" w:type="dxa"/>
            <w:vAlign w:val="bottom"/>
          </w:tcPr>
          <w:p>
            <w:pPr>
              <w:spacing w:after="0" w:line="176" w:lineRule="exact"/>
              <w:rPr>
                <w:sz w:val="20"/>
                <w:szCs w:val="20"/>
                <w:color w:val="auto"/>
              </w:rPr>
            </w:pPr>
            <w:r>
              <w:rPr>
                <w:rFonts w:ascii="Arial" w:cs="Arial" w:eastAsia="Arial" w:hAnsi="Arial"/>
                <w:sz w:val="16"/>
                <w:szCs w:val="16"/>
                <w:color w:val="auto"/>
              </w:rPr>
              <w:t>Unvested restricted shares outstanding as of December 31,</w:t>
            </w: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4580" w:type="dxa"/>
            <w:vAlign w:val="bottom"/>
          </w:tcPr>
          <w:p>
            <w:pPr>
              <w:ind w:left="160"/>
              <w:spacing w:after="0" w:line="178" w:lineRule="exact"/>
              <w:rPr>
                <w:sz w:val="20"/>
                <w:szCs w:val="20"/>
                <w:color w:val="auto"/>
              </w:rPr>
            </w:pPr>
            <w:r>
              <w:rPr>
                <w:rFonts w:ascii="Arial" w:cs="Arial" w:eastAsia="Arial" w:hAnsi="Arial"/>
                <w:sz w:val="16"/>
                <w:szCs w:val="16"/>
                <w:color w:val="auto"/>
              </w:rPr>
              <w:t>2017</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312,229</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1,635,495</w:t>
            </w:r>
          </w:p>
        </w:tc>
        <w:tc>
          <w:tcPr>
            <w:tcW w:w="100" w:type="dxa"/>
            <w:vAlign w:val="bottom"/>
          </w:tcPr>
          <w:p>
            <w:pPr>
              <w:spacing w:after="0"/>
              <w:rPr>
                <w:sz w:val="15"/>
                <w:szCs w:val="15"/>
                <w:color w:val="auto"/>
              </w:rPr>
            </w:pPr>
          </w:p>
        </w:tc>
        <w:tc>
          <w:tcPr>
            <w:tcW w:w="1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tcPr>
          <w:p>
            <w:pPr>
              <w:spacing w:after="0"/>
              <w:rPr>
                <w:sz w:val="15"/>
                <w:szCs w:val="15"/>
                <w:color w:val="auto"/>
              </w:rPr>
            </w:pPr>
          </w:p>
        </w:tc>
      </w:tr>
      <w:tr>
        <w:trPr>
          <w:trHeight w:val="181"/>
        </w:trPr>
        <w:tc>
          <w:tcPr>
            <w:tcW w:w="4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Granted</w:t>
            </w:r>
          </w:p>
        </w:tc>
        <w:tc>
          <w:tcPr>
            <w:tcW w:w="10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r>
      <w:tr>
        <w:trPr>
          <w:trHeight w:val="181"/>
        </w:trPr>
        <w:tc>
          <w:tcPr>
            <w:tcW w:w="4580" w:type="dxa"/>
            <w:vAlign w:val="bottom"/>
          </w:tcPr>
          <w:p>
            <w:pPr>
              <w:ind w:left="160"/>
              <w:spacing w:after="0" w:line="181" w:lineRule="exact"/>
              <w:rPr>
                <w:sz w:val="20"/>
                <w:szCs w:val="20"/>
                <w:color w:val="auto"/>
              </w:rPr>
            </w:pPr>
            <w:r>
              <w:rPr>
                <w:rFonts w:ascii="Arial" w:cs="Arial" w:eastAsia="Arial" w:hAnsi="Arial"/>
                <w:sz w:val="16"/>
                <w:szCs w:val="16"/>
                <w:color w:val="auto"/>
              </w:rPr>
              <w:t>Vested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(44,604)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0.000273235</w:t>
            </w:r>
          </w:p>
        </w:tc>
        <w:tc>
          <w:tcPr>
            <w:tcW w:w="11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(223,022)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0.000273235</w:t>
            </w:r>
          </w:p>
        </w:tc>
        <w:tc>
          <w:tcPr>
            <w:tcW w:w="16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Unvested restricted shares outstanding as of March 31, 2018</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8"/>
        </w:trPr>
        <w:tc>
          <w:tcPr>
            <w:tcW w:w="45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(unaudited)</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267,625</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1,412,473</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0" w:firstLine="433"/>
        <w:spacing w:after="0" w:line="241" w:lineRule="auto"/>
        <w:rPr>
          <w:sz w:val="20"/>
          <w:szCs w:val="20"/>
          <w:color w:val="auto"/>
        </w:rPr>
      </w:pPr>
      <w:r>
        <w:rPr>
          <w:rFonts w:ascii="Arial" w:cs="Arial" w:eastAsia="Arial" w:hAnsi="Arial"/>
          <w:sz w:val="16"/>
          <w:szCs w:val="16"/>
          <w:color w:val="auto"/>
        </w:rPr>
        <w:t>The aggregate fair value of restricted shares that vested during the years ended December 31, 2016 and 2017 and the three months ended March 31, 2017 and 2018 (unaudited) was $2,348, $3,973, $670 and $1,757,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5" w:name="page246"/>
    <w:bookmarkEnd w:id="245"/>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160" w:hanging="484"/>
        <w:spacing w:after="0" w:line="534" w:lineRule="auto"/>
        <w:tabs>
          <w:tab w:leader="none" w:pos="175"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b w:val="1"/>
          <w:bCs w:val="1"/>
          <w:i w:val="1"/>
          <w:iCs w:val="1"/>
          <w:color w:val="auto"/>
        </w:rPr>
        <w:t>Share-Based Compensation</w:t>
      </w:r>
    </w:p>
    <w:p>
      <w:pPr>
        <w:ind w:left="444"/>
        <w:spacing w:after="0"/>
        <w:rPr>
          <w:sz w:val="20"/>
          <w:szCs w:val="20"/>
          <w:color w:val="auto"/>
        </w:rPr>
      </w:pPr>
      <w:r>
        <w:rPr>
          <w:rFonts w:ascii="Arial" w:cs="Arial" w:eastAsia="Arial" w:hAnsi="Arial"/>
          <w:sz w:val="16"/>
          <w:szCs w:val="16"/>
          <w:color w:val="auto"/>
        </w:rPr>
        <w:t>Share-based compensation expense was classified in the consolidated statements of operations and comprehensive loss as follows:</w:t>
      </w:r>
    </w:p>
    <w:p>
      <w:pPr>
        <w:spacing w:after="0" w:line="167" w:lineRule="exact"/>
        <w:rPr>
          <w:sz w:val="20"/>
          <w:szCs w:val="20"/>
          <w:color w:val="auto"/>
        </w:rPr>
      </w:pPr>
    </w:p>
    <w:tbl>
      <w:tblPr>
        <w:tblLayout w:type="fixed"/>
        <w:tblInd w:w="1144"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w:t>
            </w:r>
          </w:p>
        </w:tc>
      </w:tr>
      <w:tr>
        <w:trPr>
          <w:trHeight w:val="205"/>
        </w:trPr>
        <w:tc>
          <w:tcPr>
            <w:tcW w:w="4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360"/>
              <w:spacing w:after="0"/>
              <w:rPr>
                <w:sz w:val="20"/>
                <w:szCs w:val="20"/>
                <w:color w:val="auto"/>
              </w:rPr>
            </w:pPr>
            <w:r>
              <w:rPr>
                <w:rFonts w:ascii="Arial" w:cs="Arial" w:eastAsia="Arial" w:hAnsi="Arial"/>
                <w:sz w:val="16"/>
                <w:szCs w:val="16"/>
                <w:b w:val="1"/>
                <w:bCs w:val="1"/>
                <w:color w:val="auto"/>
              </w:rPr>
              <w:t>Ended</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7"/>
        </w:trPr>
        <w:tc>
          <w:tcPr>
            <w:tcW w:w="4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4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16"/>
                <w:szCs w:val="16"/>
                <w:color w:val="auto"/>
              </w:rPr>
            </w:pPr>
          </w:p>
        </w:tc>
      </w:tr>
      <w:tr>
        <w:trPr>
          <w:trHeight w:val="181"/>
        </w:trPr>
        <w:tc>
          <w:tcPr>
            <w:tcW w:w="4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Research and development expenses</w:t>
            </w:r>
          </w:p>
        </w:tc>
        <w:tc>
          <w:tcPr>
            <w:tcW w:w="17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59</w:t>
            </w:r>
          </w:p>
        </w:tc>
        <w:tc>
          <w:tcPr>
            <w:tcW w:w="620" w:type="dxa"/>
            <w:vAlign w:val="bottom"/>
            <w:gridSpan w:val="2"/>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324</w:t>
            </w:r>
          </w:p>
        </w:tc>
        <w:tc>
          <w:tcPr>
            <w:tcW w:w="3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w:t>
            </w:r>
          </w:p>
        </w:tc>
        <w:tc>
          <w:tcPr>
            <w:tcW w:w="5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15"/>
                <w:szCs w:val="15"/>
                <w:color w:val="auto"/>
              </w:rPr>
            </w:pPr>
          </w:p>
        </w:tc>
      </w:tr>
      <w:tr>
        <w:trPr>
          <w:trHeight w:val="181"/>
        </w:trPr>
        <w:tc>
          <w:tcPr>
            <w:tcW w:w="4260" w:type="dxa"/>
            <w:vAlign w:val="bottom"/>
          </w:tcPr>
          <w:p>
            <w:pPr>
              <w:spacing w:after="0" w:line="181" w:lineRule="exact"/>
              <w:rPr>
                <w:sz w:val="20"/>
                <w:szCs w:val="20"/>
                <w:color w:val="auto"/>
              </w:rPr>
            </w:pPr>
            <w:r>
              <w:rPr>
                <w:rFonts w:ascii="Arial" w:cs="Arial" w:eastAsia="Arial" w:hAnsi="Arial"/>
                <w:sz w:val="16"/>
                <w:szCs w:val="16"/>
                <w:color w:val="auto"/>
              </w:rPr>
              <w:t>General and administrative expenses</w:t>
            </w: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309</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573</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356</w:t>
            </w:r>
          </w:p>
        </w:tc>
        <w:tc>
          <w:tcPr>
            <w:tcW w:w="140" w:type="dxa"/>
            <w:vAlign w:val="bottom"/>
          </w:tcPr>
          <w:p>
            <w:pPr>
              <w:spacing w:after="0"/>
              <w:rPr>
                <w:sz w:val="15"/>
                <w:szCs w:val="15"/>
                <w:color w:val="auto"/>
              </w:rPr>
            </w:pPr>
          </w:p>
        </w:tc>
      </w:tr>
      <w:tr>
        <w:trPr>
          <w:trHeight w:val="185"/>
        </w:trPr>
        <w:tc>
          <w:tcPr>
            <w:tcW w:w="42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2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40" w:type="dxa"/>
            <w:vAlign w:val="bottom"/>
            <w:shd w:val="clear" w:color="auto" w:fill="CCEEFF"/>
          </w:tcPr>
          <w:p>
            <w:pPr>
              <w:spacing w:after="0"/>
              <w:rPr>
                <w:sz w:val="16"/>
                <w:szCs w:val="16"/>
                <w:color w:val="auto"/>
              </w:rPr>
            </w:pPr>
          </w:p>
        </w:tc>
      </w:tr>
      <w:tr>
        <w:trPr>
          <w:trHeight w:val="20"/>
        </w:trPr>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 w:right="200" w:firstLine="427"/>
        <w:spacing w:after="0" w:line="241" w:lineRule="auto"/>
        <w:rPr>
          <w:sz w:val="20"/>
          <w:szCs w:val="20"/>
          <w:color w:val="auto"/>
        </w:rPr>
      </w:pPr>
      <w:r>
        <w:rPr>
          <w:rFonts w:ascii="Arial" w:cs="Arial" w:eastAsia="Arial" w:hAnsi="Arial"/>
          <w:sz w:val="16"/>
          <w:szCs w:val="16"/>
          <w:color w:val="auto"/>
        </w:rPr>
        <w:t>As of December 31, 2017 and March 31, 2018 (unaudited), total unrecognized compensation cost related to the unvested share-based awards was $4,280 and $16,226, respectively, which is expected to be recognized over a weighted average remaining period of 3.22 years and 4.58 years, respectively.</w:t>
      </w:r>
    </w:p>
    <w:p>
      <w:pPr>
        <w:spacing w:after="0" w:line="165" w:lineRule="exact"/>
        <w:rPr>
          <w:sz w:val="20"/>
          <w:szCs w:val="20"/>
          <w:color w:val="auto"/>
        </w:rPr>
      </w:pPr>
    </w:p>
    <w:p>
      <w:pPr>
        <w:ind w:left="484" w:right="8240" w:hanging="484"/>
        <w:spacing w:after="0" w:line="534" w:lineRule="auto"/>
        <w:tabs>
          <w:tab w:leader="none" w:pos="175"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Acquisition Agreements </w:t>
      </w:r>
      <w:r>
        <w:rPr>
          <w:rFonts w:ascii="Arial" w:cs="Arial" w:eastAsia="Arial" w:hAnsi="Arial"/>
          <w:sz w:val="15"/>
          <w:szCs w:val="15"/>
          <w:b w:val="1"/>
          <w:bCs w:val="1"/>
          <w:i w:val="1"/>
          <w:iCs w:val="1"/>
          <w:color w:val="auto"/>
        </w:rPr>
        <w:t>Biogen Asset Purchase Agreement</w:t>
      </w:r>
    </w:p>
    <w:p>
      <w:pPr>
        <w:ind w:left="4" w:right="20" w:firstLine="436"/>
        <w:spacing w:after="0" w:line="237" w:lineRule="auto"/>
        <w:rPr>
          <w:sz w:val="20"/>
          <w:szCs w:val="20"/>
          <w:color w:val="auto"/>
        </w:rPr>
      </w:pPr>
      <w:r>
        <w:rPr>
          <w:rFonts w:ascii="Arial" w:cs="Arial" w:eastAsia="Arial" w:hAnsi="Arial"/>
          <w:sz w:val="16"/>
          <w:szCs w:val="16"/>
          <w:color w:val="auto"/>
        </w:rPr>
        <w:t>In September 2016, the Company entered into an asset purchase agreement (the "Biogen Agreement") with Biogen MA Inc. ("Biogen") to acquire all of Biogen's right, title and interest in and to certain assets used in or relating to KPL-716 and other antibodies covered by certain patent rights, including patents and other intellectual property rights, clinical data, know-how, and clinical drug supply. In addition, Biogen granted to the Company a non-exclusive, sublicensable, worldwide license to certain background patent rights related to the KPL-716 program. The Company is obligated to use commercially reasonable efforts to develop and commercialize such acquired products.</w:t>
      </w:r>
    </w:p>
    <w:p>
      <w:pPr>
        <w:spacing w:after="0" w:line="189" w:lineRule="exact"/>
        <w:rPr>
          <w:sz w:val="20"/>
          <w:szCs w:val="20"/>
          <w:color w:val="auto"/>
        </w:rPr>
      </w:pPr>
    </w:p>
    <w:p>
      <w:pPr>
        <w:ind w:left="4" w:firstLine="436"/>
        <w:spacing w:after="0" w:line="238" w:lineRule="auto"/>
        <w:rPr>
          <w:sz w:val="20"/>
          <w:szCs w:val="20"/>
          <w:color w:val="auto"/>
        </w:rPr>
      </w:pPr>
      <w:r>
        <w:rPr>
          <w:rFonts w:ascii="Arial" w:cs="Arial" w:eastAsia="Arial" w:hAnsi="Arial"/>
          <w:sz w:val="16"/>
          <w:szCs w:val="16"/>
          <w:color w:val="auto"/>
        </w:rPr>
        <w:t>In exchange for these rights, the Company made an upfront payment to Biogen of $11,500 and a technology transfer payment of $500. The Company accounted for the acquisition of technology as an asset acquisition because it did not meet the definition of a business. The Company recorded the upfront payment and technology transfer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5"/>
          <w:szCs w:val="15"/>
          <w:color w:val="auto"/>
        </w:rPr>
        <w:t>Under the Biogen Agreement, the Company is obligated to make milestone payments to Biogen of up to $179,000 upon the achievement of specified clinical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regulatory milestones in multiple indications in various territories. During the year ended December 31, 2017, the Company made a milestone payment of</w:t>
      </w:r>
    </w:p>
    <w:p>
      <w:pPr>
        <w:ind w:left="4"/>
        <w:spacing w:after="0"/>
        <w:rPr>
          <w:sz w:val="20"/>
          <w:szCs w:val="20"/>
          <w:color w:val="auto"/>
        </w:rPr>
      </w:pPr>
      <w:r>
        <w:rPr>
          <w:rFonts w:ascii="Arial" w:cs="Arial" w:eastAsia="Arial" w:hAnsi="Arial"/>
          <w:sz w:val="15"/>
          <w:szCs w:val="15"/>
          <w:color w:val="auto"/>
        </w:rPr>
        <w:t>$4,000 associated with the achievement of a specified clinical milestone event. Additionally, the Company could be obligated to make up to an aggregate of up to</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$150,000 of payments upon the achievement of specified annual net sales milestones and to pay</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4"/>
          </w:cols>
          <w:pgMar w:left="236" w:top="142" w:right="319" w:bottom="1440" w:gutter="0" w:footer="0" w:header="0"/>
        </w:sectPr>
      </w:pPr>
    </w:p>
    <w:bookmarkStart w:id="246" w:name="page247"/>
    <w:bookmarkEnd w:id="2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tiered royalties on escalating tiers of annual net sales of licensed products starting in the high single-digit percentages and ending below the teens.</w:t>
      </w:r>
    </w:p>
    <w:p>
      <w:pPr>
        <w:spacing w:after="0" w:line="190" w:lineRule="exact"/>
        <w:rPr>
          <w:sz w:val="20"/>
          <w:szCs w:val="20"/>
          <w:color w:val="auto"/>
        </w:rPr>
      </w:pPr>
    </w:p>
    <w:p>
      <w:pPr>
        <w:ind w:right="40" w:firstLine="433"/>
        <w:spacing w:after="0" w:line="258" w:lineRule="auto"/>
        <w:rPr>
          <w:sz w:val="20"/>
          <w:szCs w:val="20"/>
          <w:color w:val="auto"/>
        </w:rPr>
      </w:pPr>
      <w:r>
        <w:rPr>
          <w:rFonts w:ascii="Arial" w:cs="Arial" w:eastAsia="Arial" w:hAnsi="Arial"/>
          <w:sz w:val="15"/>
          <w:szCs w:val="15"/>
          <w:color w:val="auto"/>
        </w:rPr>
        <w:t>The Company also agreed to pay certain obligations under third-party contracts retained by Biogen that relate to the KPL-716 program. Under these retained contracts, the Company paid a one-time upfront sublicense fee of $150 and is obligated to pay insignificant annual maintenance fees as well as clinical and regulatory milestone payments of up to an aggregate of $1,575. During the year ended December 31, 2017 the Company paid $75 upon the achievement of certain milestones in connection with the retained contracts. There were no milestone payments made during the three months ended March 31, 2018 (unaudited).</w:t>
      </w:r>
    </w:p>
    <w:p>
      <w:pPr>
        <w:spacing w:after="0" w:line="175"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Biogen Agreement will terminate upon the expiration of all payment obligations with respect to the last product in all countries in the territory. The Company has the right to terminate the agreement with 90 days' prior written notice. Both parties may terminate by mutual written consent or in the event of material breach of the agreement by the other party that remains uncured for 90 days (or 30 days for payment-related breaches).</w:t>
      </w:r>
    </w:p>
    <w:p>
      <w:pPr>
        <w:spacing w:after="0" w:line="186" w:lineRule="exact"/>
        <w:rPr>
          <w:sz w:val="20"/>
          <w:szCs w:val="20"/>
          <w:color w:val="auto"/>
        </w:rPr>
      </w:pPr>
    </w:p>
    <w:p>
      <w:pPr>
        <w:ind w:right="180" w:firstLine="436"/>
        <w:spacing w:after="0" w:line="241" w:lineRule="auto"/>
        <w:rPr>
          <w:sz w:val="20"/>
          <w:szCs w:val="20"/>
          <w:color w:val="auto"/>
        </w:rPr>
      </w:pPr>
      <w:r>
        <w:rPr>
          <w:rFonts w:ascii="Arial" w:cs="Arial" w:eastAsia="Arial" w:hAnsi="Arial"/>
          <w:sz w:val="16"/>
          <w:szCs w:val="16"/>
          <w:color w:val="auto"/>
        </w:rPr>
        <w:t>During the years ended December 31, 2016 and 2017 and the three months ended March 31, 2017 and 2018 (unaudited), the Company recorded research and development expense in connection with the Biogen Agreement of $12,100, $4,169, $61 and $11, respectively.</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Novo Nordisk License Agreement</w:t>
      </w:r>
    </w:p>
    <w:p>
      <w:pPr>
        <w:spacing w:after="0" w:line="208"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In August 2017, the Company entered into a license agreement (the "Novo Nordisk Agreement") with Novo Nordisk A/S ("Novo Nordisk"), pursuant to which the Company has been granted an exclusive, sublicensable, worldwide license under certain intellectual property rights controlled by Novo Nordisk to make, use, develop and commercialize KPL-045 for all indications. The Company is obligated to use commercially reasonable efforts to develop and commercialize such licensed products.</w:t>
      </w:r>
    </w:p>
    <w:p>
      <w:pPr>
        <w:spacing w:after="0" w:line="187"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In consideration for the license, the Company made an upfront payment of $1,500 to Novo Nordisk.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right="120" w:firstLine="436"/>
        <w:spacing w:after="0" w:line="256" w:lineRule="auto"/>
        <w:rPr>
          <w:sz w:val="20"/>
          <w:szCs w:val="20"/>
          <w:color w:val="auto"/>
        </w:rPr>
      </w:pPr>
      <w:r>
        <w:rPr>
          <w:rFonts w:ascii="Arial" w:cs="Arial" w:eastAsia="Arial" w:hAnsi="Arial"/>
          <w:sz w:val="15"/>
          <w:szCs w:val="15"/>
          <w:color w:val="auto"/>
        </w:rPr>
        <w:t>Under the Novo Nordisk Agreement, the Company is also required to make a payment of $150 upon completion of the technology transfer by Novo Nordisk. The technology was transferred during the three months ended March 31, 2018 and, as a result, this payment was made and is recorded in the Company's statement of operations for the three months ended March 31, 2018 (unaudited). In addition, the Company is obligated to make milestone payments upon the achievement of specified clinical, regulatory and initial sales milestones and upon the achievement of annual net sales thresholds, including a payment of $1,000 upon the earlier to occur of a specified regulatory milestone and January 2020, unless the Novo Nordisk Agreement is earlier terminated by either party. As of December 31, 2017 and March 31, 2018 (unaudited), the Company determined that the payment related to the milestone was not probable and, therefore, no</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47" w:name="page248"/>
    <w:bookmarkEnd w:id="2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amount was recorded in the Company's consolidated statement of operations and comprehensive loss during the year ended December 31, 2017 and the three months ended March 31, 2018 (unaudited). The Company has also agreed to pay royalties on annual net sales of products licensed under the agreement.</w:t>
      </w:r>
    </w:p>
    <w:p>
      <w:pPr>
        <w:spacing w:after="0" w:line="162"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Under the Novo Nordisk Agreement, the Company is solely responsible for all development, regulatory and commercial activities and costs. The Company is also responsible for costs related to filing, prosecuting and maintaining the licensed patent rights.</w:t>
      </w:r>
    </w:p>
    <w:p>
      <w:pPr>
        <w:spacing w:after="0" w:line="185"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Novo Nordisk Agreement will terminate upon expiration of the last-to-expire royalty term for any licensed product in the territories, as defined in the agreement. Either party may terminate the agreement upon the other party's insolvency or bankruptcy or for uncured material breach of the agreement by the other party. Novo Nordisk has the right to terminate the agreement if the Company challenges any of the licensed patent rights. The Company may also terminate the agreement for any reason upon prior written notice to Novo Nordisk.</w:t>
      </w:r>
    </w:p>
    <w:p>
      <w:pPr>
        <w:spacing w:after="0" w:line="187" w:lineRule="exact"/>
        <w:rPr>
          <w:sz w:val="20"/>
          <w:szCs w:val="20"/>
          <w:color w:val="auto"/>
        </w:rPr>
      </w:pPr>
    </w:p>
    <w:p>
      <w:pPr>
        <w:ind w:right="420" w:firstLine="436"/>
        <w:spacing w:after="0" w:line="241" w:lineRule="auto"/>
        <w:rPr>
          <w:sz w:val="20"/>
          <w:szCs w:val="20"/>
          <w:color w:val="auto"/>
        </w:rPr>
      </w:pPr>
      <w:r>
        <w:rPr>
          <w:rFonts w:ascii="Arial" w:cs="Arial" w:eastAsia="Arial" w:hAnsi="Arial"/>
          <w:sz w:val="16"/>
          <w:szCs w:val="16"/>
          <w:color w:val="auto"/>
        </w:rPr>
        <w:t>During the year ended December 31, 2017 and the three months ended March 31, 2018 (unaudited), the Company recorded research and development expense of $1,500 and $150, respectively, in connection with the Novo Nordisk Agreement.</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Primatope Stock Purchase Option Agreement</w:t>
      </w:r>
    </w:p>
    <w:p>
      <w:pPr>
        <w:spacing w:after="0" w:line="208"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In September 2017, the Company entered into a stock purchase option agreement (the "Primatope Agreement") with Primatope Therapeutics, Inc. ("Primatope"), pursuant to which the Company has been granted a license to certain intellectual property rights controlled by Primatope to research, develop, and manufacture the pre-clinical antibody, KPL-404.</w:t>
      </w:r>
    </w:p>
    <w:p>
      <w:pPr>
        <w:spacing w:after="0" w:line="18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agreement provides the Company with an exclusive call option to purchase 100% of the capital stock of Primatope. Upon execution of the agreement, the Company made $500 in upfront payments for the initial option period through April 2018 (the "Initial Option Period"). The Primatope Agreement allows up to three extensions of the Initial Option Period through January 2019 (including the initial option period, the "Option Period") for total extension payments of up to $800. In April 2018, the Company made a payment of $250 to extend the Option Period for an additional three months to June 2018. During the Option Period, the Company may conduct research and pre-clinical work to assess the viability of the asset.</w:t>
      </w:r>
    </w:p>
    <w:p>
      <w:pPr>
        <w:spacing w:after="0" w:line="189"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If the call option is exercised, the Company will acquire all of the outstanding equity of Primatope in exchange for upfront consideration of $10,000 as well as potential milestone payments of up to $10,000. The upfront payment and the milestone payments may be paid in a combination of cash and issuance of the Company's Class A common shares.</w:t>
      </w:r>
    </w:p>
    <w:p>
      <w:pPr>
        <w:spacing w:after="0" w:line="186" w:lineRule="exact"/>
        <w:rPr>
          <w:sz w:val="20"/>
          <w:szCs w:val="20"/>
          <w:color w:val="auto"/>
        </w:rPr>
      </w:pPr>
    </w:p>
    <w:p>
      <w:pPr>
        <w:ind w:right="20" w:firstLine="433"/>
        <w:spacing w:after="0" w:line="238" w:lineRule="auto"/>
        <w:rPr>
          <w:sz w:val="20"/>
          <w:szCs w:val="20"/>
          <w:color w:val="auto"/>
        </w:rPr>
      </w:pPr>
      <w:r>
        <w:rPr>
          <w:rFonts w:ascii="Arial" w:cs="Arial" w:eastAsia="Arial" w:hAnsi="Arial"/>
          <w:sz w:val="16"/>
          <w:szCs w:val="16"/>
          <w:color w:val="auto"/>
        </w:rPr>
        <w:t>The Company has determined that the call option represents a variable interest in Primatope and that Primatope is a VIE. However, as the Company has no ability to control the board of directors or direct the ongoing activities of Primatope, the Company does not have power over the activities that most significantly impact Primatope's economic performance and is not the primary beneficiary of Primatope. As a result, the Company does not consolidate the assets, liabilities, and results of operations of Primatope.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48" w:name="page249"/>
    <w:bookmarkEnd w:id="2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Either party may terminate the Primatope Agreement for uncured material breach of the agreement by the other party or by mutual written consent.</w:t>
      </w:r>
    </w:p>
    <w:p>
      <w:pPr>
        <w:spacing w:after="0" w:line="190"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During the year ended December 31, 2017, the Company recorded research and development expense of $500 in connection with the Primatope Agreement. The Company did not incur any research and development expense in connection with the Primatope Agreement during the three months ended March 31, 2018 (unaudited).</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Regeneron License Agreement</w:t>
      </w:r>
    </w:p>
    <w:p>
      <w:pPr>
        <w:spacing w:after="0" w:line="208" w:lineRule="exact"/>
        <w:rPr>
          <w:sz w:val="20"/>
          <w:szCs w:val="20"/>
          <w:color w:val="auto"/>
        </w:rPr>
      </w:pPr>
    </w:p>
    <w:p>
      <w:pPr>
        <w:ind w:right="160" w:firstLine="436"/>
        <w:spacing w:after="0" w:line="238" w:lineRule="auto"/>
        <w:rPr>
          <w:sz w:val="20"/>
          <w:szCs w:val="20"/>
          <w:color w:val="auto"/>
        </w:rPr>
      </w:pPr>
      <w:r>
        <w:rPr>
          <w:rFonts w:ascii="Arial" w:cs="Arial" w:eastAsia="Arial" w:hAnsi="Arial"/>
          <w:sz w:val="16"/>
          <w:szCs w:val="16"/>
          <w:color w:val="auto"/>
        </w:rPr>
        <w:t>In September 2017, the Company entered into a license agreement (the "Regeneron Agreement") with Regeneron Pharmaceuticals, Inc. ("Regeneron"), pursuant to which the Company has been granted an exclusive, sublicensable license under certain intellectual property rights controlled by Regeneron to develop and commercialize rilonacept in certain fields and territories. The Company is obligated to use commercially reasonable efforts to develop and commercialize such licensed products.</w:t>
      </w:r>
    </w:p>
    <w:p>
      <w:pPr>
        <w:spacing w:after="0" w:line="187" w:lineRule="exact"/>
        <w:rPr>
          <w:sz w:val="20"/>
          <w:szCs w:val="20"/>
          <w:color w:val="auto"/>
        </w:rPr>
      </w:pPr>
    </w:p>
    <w:p>
      <w:pPr>
        <w:ind w:right="380" w:firstLine="436"/>
        <w:spacing w:after="0" w:line="238" w:lineRule="auto"/>
        <w:rPr>
          <w:sz w:val="20"/>
          <w:szCs w:val="20"/>
          <w:color w:val="auto"/>
        </w:rPr>
      </w:pPr>
      <w:r>
        <w:rPr>
          <w:rFonts w:ascii="Arial" w:cs="Arial" w:eastAsia="Arial" w:hAnsi="Arial"/>
          <w:sz w:val="16"/>
          <w:szCs w:val="16"/>
          <w:color w:val="auto"/>
        </w:rPr>
        <w:t>In exchange for these rights, the Company made an upfront payment of $5,000.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Under the Regeneron Agreement, the Company is also obligated to make payments to Regeneron of up to an aggregate of $27,500 upon the achievement of specified regulatory milestones. Upon commercialization of the licensed products, the parties will share profits equally, after deducting certain commercialization expenses subject to specified limits.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Under the Regeneron Agreement, the Company is solely responsible for all development and commercialization activities and costs in its respective territory.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responsible for costs related to the filing, prosecution and maintenance of certain licensed patent rights.</w:t>
      </w:r>
    </w:p>
    <w:p>
      <w:pPr>
        <w:spacing w:after="0" w:line="190"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parties also entered into a clinical supply agreement under which Regeneron agreed to manufacture the developed product during the clinical phase. During the year ended December 31, 2017 and the three months ended March 31, 2018 (unaudited), the Company recognized research and development expense of $208 and $376, respectively related to the purchase of drug materials under this agreement. As of December 31, 2017 and March 31, 2018 (unaudited), the Company has non-cancelable purchase commitments under the clinical supply agreement (see Note 12).</w:t>
      </w:r>
    </w:p>
    <w:p>
      <w:pPr>
        <w:spacing w:after="0" w:line="187"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Regeneron Agreement will expire when the Company is no longer developing or commercializing any licensed product under the Regeneron Agreement. Either party may terminate the agreement upon the other party's insolvency or bankruptcy or for material breach of the agreement by the other party that remains uncured for 90 days (or 30 days for payment-related breaches). Regeneron has the right to terminate the agreement if the Company suspends its development or commercialization activities for a consecutive 12 month period or does not grant a sublicense to a third-party to perform such activities, or if the Company challenges any of the licensed patent rights. The Company may terminate the agreement at any time that is 18 months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9" w:name="page250"/>
    <w:bookmarkEnd w:id="2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after the effective date of the agreement with 180 days' written notice or with one years' written notice if we terminate the agreement following U.S. marketing approval of a rilonacept product developed by the Company. The Company may also terminate the agreement with three month's written notice if the products are determined to have certain safety concerns.</w:t>
      </w:r>
    </w:p>
    <w:p>
      <w:pPr>
        <w:spacing w:after="0" w:line="186" w:lineRule="exact"/>
        <w:rPr>
          <w:sz w:val="20"/>
          <w:szCs w:val="20"/>
          <w:color w:val="auto"/>
        </w:rPr>
      </w:pPr>
    </w:p>
    <w:p>
      <w:pPr>
        <w:ind w:right="440" w:firstLine="436"/>
        <w:spacing w:after="0" w:line="241" w:lineRule="auto"/>
        <w:rPr>
          <w:sz w:val="20"/>
          <w:szCs w:val="20"/>
          <w:color w:val="auto"/>
        </w:rPr>
      </w:pPr>
      <w:r>
        <w:rPr>
          <w:rFonts w:ascii="Arial" w:cs="Arial" w:eastAsia="Arial" w:hAnsi="Arial"/>
          <w:sz w:val="16"/>
          <w:szCs w:val="16"/>
          <w:color w:val="auto"/>
        </w:rPr>
        <w:t>During the year ended December 31, 2017 and the three months ended March 31, 2018 (unaudited), the Company recorded research and development expense of $5,208 and $376, respectively, in connection with the agreements with Regeneron.</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MedImmune License Agreement</w:t>
      </w:r>
    </w:p>
    <w:p>
      <w:pPr>
        <w:spacing w:after="0" w:line="20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In December 2017, the Company entered into a license agreement (the "MedImmune Agreement") with MedImmune, Limited ("MedImmune"), pursuant to which MedImmune granted the Company an exclusive, sublicensable, worldwide license to certain intellectual property rights to make, use, develop and commercialize mavrilimumab. Under the MedImmune Agreement, the Company also acquired reference rights to relevant manufacturing and regulatory documents and MedImmune's existing supply of mavrilimumab drug substance and product. The Company is obligated use commercially reasonable efforts to develop and commercialize the licensed products.</w:t>
      </w:r>
    </w:p>
    <w:p>
      <w:pPr>
        <w:spacing w:after="0" w:line="189"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In exchange for these rights, the Company made an upfront payment of $8,000.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 In addition, the Company is obligated to make clinical, regulatory and initial sales milestone payments of up to $72,500 in aggregate for the first two indications, including a milestone payment of $10,000 upon the earlier to occur of a specified regulatory milestone and December 31, 2018, unless the MedImmune Agreement is earlier terminated by either party. As of December 31, 2017, the Company determined that the payment related to this milestone was probable and, therefore, recognized research and development expense and an accrued milestone of $10,000 during the year ended December 31, 2017. In addition, the Company is obligated to make clinical and regulatory milestone payments of up to $15,000 in the aggregate for each subsequent indication. The Company is obligated to make milestone payments to MedImmune of up to $85,000 upon the achievement of annual net sales thresholds up to, but excluding, $1,000,000 in annual net sales as well as additional milestone payments aggregating up to $1,100,000 upon the achievement of additional specified annual net sales thresholds starting at $1,000,000 and higher. The Company has also agreed to pay tiered royalties on escalating tiers of annual net sales of licensed products starting in the low double-digit percentages and ending at twenty percent. Royalty rates are subject to reductions upon certain events.</w:t>
      </w:r>
    </w:p>
    <w:p>
      <w:pPr>
        <w:spacing w:after="0" w:line="193" w:lineRule="exact"/>
        <w:rPr>
          <w:sz w:val="20"/>
          <w:szCs w:val="20"/>
          <w:color w:val="auto"/>
        </w:rPr>
      </w:pPr>
    </w:p>
    <w:p>
      <w:pPr>
        <w:jc w:val="both"/>
        <w:ind w:firstLine="433"/>
        <w:spacing w:after="0" w:line="239" w:lineRule="auto"/>
        <w:rPr>
          <w:sz w:val="20"/>
          <w:szCs w:val="20"/>
          <w:color w:val="auto"/>
        </w:rPr>
      </w:pPr>
      <w:r>
        <w:rPr>
          <w:rFonts w:ascii="Arial" w:cs="Arial" w:eastAsia="Arial" w:hAnsi="Arial"/>
          <w:sz w:val="16"/>
          <w:szCs w:val="16"/>
          <w:color w:val="auto"/>
        </w:rPr>
        <w:t>The Company is solely responsible for all development, manufacturing, and commercial activities and costs of the licensed products, including clinical studies or other tests necessary to support the use of a licensed product. The Company is also responsible for costs related to the filing, prosecution and maintenance of the licensed patent rights.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0" w:name="page251"/>
    <w:bookmarkEnd w:id="2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MedImmune Agreement will expire upon the expiration of the royalty term in the last country for the last indication, as defined in the agreement. Either party may terminate the agreement upon the other party's insolvency or bankruptcy or for material breach of the agreement by the other party that remains uncured for 90 days. MedImmune has the right to terminate the agreement if the Company challenges any of the licensed patent rights. The Company may terminate the agreement at any time upon 90 days' prior written notice.</w:t>
      </w:r>
    </w:p>
    <w:p>
      <w:pPr>
        <w:spacing w:after="0" w:line="187" w:lineRule="exact"/>
        <w:rPr>
          <w:sz w:val="20"/>
          <w:szCs w:val="20"/>
          <w:color w:val="auto"/>
        </w:rPr>
      </w:pPr>
    </w:p>
    <w:p>
      <w:pPr>
        <w:ind w:right="420" w:firstLine="436"/>
        <w:spacing w:after="0" w:line="239" w:lineRule="auto"/>
        <w:rPr>
          <w:sz w:val="20"/>
          <w:szCs w:val="20"/>
          <w:color w:val="auto"/>
        </w:rPr>
      </w:pPr>
      <w:r>
        <w:rPr>
          <w:rFonts w:ascii="Arial" w:cs="Arial" w:eastAsia="Arial" w:hAnsi="Arial"/>
          <w:sz w:val="16"/>
          <w:szCs w:val="16"/>
          <w:color w:val="auto"/>
        </w:rPr>
        <w:t>During the year ended December 31, 2017, the Company recorded research and development expense of $18,000 in connection with the MedImmune Agreement. The Company did not incur any research and development expense in connection with the MedImmune Agreement during the three months ended March 31, 2018 (unaudited).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10" w:lineRule="exact"/>
        <w:rPr>
          <w:sz w:val="20"/>
          <w:szCs w:val="20"/>
          <w:color w:val="auto"/>
        </w:rPr>
      </w:pPr>
    </w:p>
    <w:p>
      <w:pPr>
        <w:jc w:val="both"/>
        <w:ind w:right="160" w:firstLine="427"/>
        <w:spacing w:after="0" w:line="239" w:lineRule="auto"/>
        <w:rPr>
          <w:sz w:val="20"/>
          <w:szCs w:val="20"/>
          <w:color w:val="auto"/>
        </w:rPr>
      </w:pPr>
      <w:r>
        <w:rPr>
          <w:rFonts w:ascii="Arial" w:cs="Arial" w:eastAsia="Arial" w:hAnsi="Arial"/>
          <w:sz w:val="16"/>
          <w:szCs w:val="16"/>
          <w:color w:val="auto"/>
        </w:rPr>
        <w:t>As a company incorporated in Bermuda, the Company is principally subject to taxation in Bermuda. Under the current laws of Bermuda, tax on a company's income is assessed at a zero percent tax rate. As a result, the Company has not recorded any income tax benefits from its losses incurred in Bermuda during each reporting period, and no net operating loss carryforwards will be available to the Company for those losses.</w:t>
      </w:r>
    </w:p>
    <w:p>
      <w:pPr>
        <w:spacing w:after="0" w:line="186"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In August 2015, the Company entered into agreements with its wholly owned subsidiary, Kiniksa US, under which Kiniksa US provides management and research and development services to the Company for which the Company pays costs plus a service fee. Kiniksa US is subject to tax for federal and state tax purposes. On December 22, 2017, the United States enacted new tax reform ("Tax Cuts and Jobs Act"). The Tax Cuts and Jobs Act contains provisions with separate effective dates but is generally effective for taxable years beginning after December 31, 2017. Beginning with the year ending December 31, 2018, the corporate statutory rates on U.S. earnings will be reduced from a top marginal rate of 35% to a flat rate of 21%. The impact of the future rate reduction resulted in a provision for income taxes of $69 for the year ended December 31, 2017 relating to the revaluation of the Company's net deferred tax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(loss) before provision for income taxes consisted of the following:</w:t>
      </w:r>
    </w:p>
    <w:p>
      <w:pPr>
        <w:spacing w:after="0" w:line="170"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201"/>
        </w:trPr>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2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Bermuda</w:t>
            </w:r>
          </w:p>
        </w:tc>
        <w:tc>
          <w:tcPr>
            <w:tcW w:w="404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(24,254)</w:t>
            </w:r>
          </w:p>
        </w:tc>
        <w:tc>
          <w:tcPr>
            <w:tcW w:w="46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(65,391)</w:t>
            </w:r>
          </w:p>
        </w:tc>
        <w:tc>
          <w:tcPr>
            <w:tcW w:w="1160" w:type="dxa"/>
            <w:vAlign w:val="bottom"/>
          </w:tcPr>
          <w:p>
            <w:pPr>
              <w:spacing w:after="0"/>
              <w:rPr>
                <w:sz w:val="15"/>
                <w:szCs w:val="15"/>
                <w:color w:val="auto"/>
              </w:rPr>
            </w:pPr>
          </w:p>
        </w:tc>
      </w:tr>
      <w:tr>
        <w:trPr>
          <w:trHeight w:val="181"/>
        </w:trPr>
        <w:tc>
          <w:tcPr>
            <w:tcW w:w="384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Foreign (U.S.)</w:t>
            </w:r>
          </w:p>
        </w:tc>
        <w:tc>
          <w:tcPr>
            <w:tcW w:w="3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(23,937)</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(64,871)</w:t>
            </w:r>
          </w:p>
        </w:tc>
        <w:tc>
          <w:tcPr>
            <w:tcW w:w="116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40" w:type="dxa"/>
            <w:vAlign w:val="bottom"/>
            <w:gridSpan w:val="2"/>
          </w:tcPr>
          <w:p>
            <w:pPr>
              <w:jc w:val="right"/>
              <w:ind w:right="2000"/>
              <w:spacing w:after="0"/>
              <w:rPr>
                <w:sz w:val="20"/>
                <w:szCs w:val="20"/>
                <w:color w:val="auto"/>
              </w:rPr>
            </w:pPr>
            <w:r>
              <w:rPr>
                <w:rFonts w:ascii="Arial" w:cs="Arial" w:eastAsia="Arial" w:hAnsi="Arial"/>
                <w:sz w:val="16"/>
                <w:szCs w:val="16"/>
                <w:color w:val="auto"/>
              </w:rPr>
              <w:t>F-34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51" w:name="page252"/>
    <w:bookmarkEnd w:id="2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 (Continued)</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Company's income tax provision for the years ended December 31, 2016 and 2017 are as follows:</w:t>
      </w:r>
    </w:p>
    <w:p>
      <w:pPr>
        <w:spacing w:after="0" w:line="170"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1"/>
        </w:trPr>
        <w:tc>
          <w:tcPr>
            <w:tcW w:w="5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 income tax provision:</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Bermuda</w:t>
            </w:r>
          </w:p>
        </w:tc>
        <w:tc>
          <w:tcPr>
            <w:tcW w:w="2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U.S. federal</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U.S. state</w:t>
            </w:r>
          </w:p>
        </w:tc>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current income tax provision</w:t>
            </w:r>
          </w:p>
        </w:tc>
        <w:tc>
          <w:tcPr>
            <w:tcW w:w="20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6"/>
                <w:szCs w:val="16"/>
                <w:color w:val="auto"/>
              </w:rPr>
              <w:t>Deferred income tax provision (benefit):</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Bermuda</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U.S. federal</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U.S. state</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320"/>
              <w:spacing w:after="0"/>
              <w:rPr>
                <w:sz w:val="20"/>
                <w:szCs w:val="20"/>
                <w:color w:val="auto"/>
              </w:rPr>
            </w:pPr>
            <w:r>
              <w:rPr>
                <w:rFonts w:ascii="Arial" w:cs="Arial" w:eastAsia="Arial" w:hAnsi="Arial"/>
                <w:sz w:val="16"/>
                <w:szCs w:val="16"/>
                <w:color w:val="auto"/>
              </w:rPr>
              <w:t>Total deferred income tax provision (benefit)</w:t>
            </w: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Total provision for income taxes</w:t>
            </w:r>
          </w:p>
        </w:tc>
        <w:tc>
          <w:tcPr>
            <w:tcW w:w="224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the Bermuda statutory income tax rate of 0% to the Company's effective income tax rate is as follows:</w:t>
      </w:r>
    </w:p>
    <w:p>
      <w:pPr>
        <w:spacing w:after="0" w:line="170"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1"/>
        </w:trPr>
        <w:tc>
          <w:tcPr>
            <w:tcW w:w="77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7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Bermuda statutory income tax rate</w:t>
            </w:r>
          </w:p>
        </w:tc>
        <w:tc>
          <w:tcPr>
            <w:tcW w:w="7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r>
      <w:tr>
        <w:trPr>
          <w:trHeight w:val="181"/>
        </w:trPr>
        <w:tc>
          <w:tcPr>
            <w:tcW w:w="7780" w:type="dxa"/>
            <w:vAlign w:val="bottom"/>
          </w:tcPr>
          <w:p>
            <w:pPr>
              <w:ind w:left="160"/>
              <w:spacing w:after="0" w:line="181" w:lineRule="exact"/>
              <w:rPr>
                <w:sz w:val="20"/>
                <w:szCs w:val="20"/>
                <w:color w:val="auto"/>
              </w:rPr>
            </w:pPr>
            <w:r>
              <w:rPr>
                <w:rFonts w:ascii="Arial" w:cs="Arial" w:eastAsia="Arial" w:hAnsi="Arial"/>
                <w:sz w:val="16"/>
                <w:szCs w:val="16"/>
                <w:color w:val="auto"/>
              </w:rPr>
              <w:t>Foreign (U.S.) tax rate differential</w:t>
            </w:r>
          </w:p>
        </w:tc>
        <w:tc>
          <w:tcPr>
            <w:tcW w:w="7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(0.5)</w:t>
            </w:r>
          </w:p>
        </w:tc>
        <w:tc>
          <w:tcPr>
            <w:tcW w:w="6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(0.4)</w:t>
            </w:r>
          </w:p>
        </w:tc>
      </w:tr>
      <w:tr>
        <w:trPr>
          <w:trHeight w:val="181"/>
        </w:trPr>
        <w:tc>
          <w:tcPr>
            <w:tcW w:w="77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 tax credits</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0.5</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5"/>
                <w:szCs w:val="15"/>
                <w:color w:val="auto"/>
              </w:rPr>
            </w:pPr>
          </w:p>
        </w:tc>
      </w:tr>
      <w:tr>
        <w:trPr>
          <w:trHeight w:val="181"/>
        </w:trPr>
        <w:tc>
          <w:tcPr>
            <w:tcW w:w="7780" w:type="dxa"/>
            <w:vAlign w:val="bottom"/>
          </w:tcPr>
          <w:p>
            <w:pPr>
              <w:ind w:left="160"/>
              <w:spacing w:after="0" w:line="181" w:lineRule="exact"/>
              <w:rPr>
                <w:sz w:val="20"/>
                <w:szCs w:val="20"/>
                <w:color w:val="auto"/>
              </w:rPr>
            </w:pPr>
            <w:r>
              <w:rPr>
                <w:rFonts w:ascii="Arial" w:cs="Arial" w:eastAsia="Arial" w:hAnsi="Arial"/>
                <w:sz w:val="16"/>
                <w:szCs w:val="16"/>
                <w:color w:val="auto"/>
              </w:rPr>
              <w:t>2017 Tax Cuts and Jobs Act</w:t>
            </w:r>
          </w:p>
        </w:tc>
        <w:tc>
          <w:tcPr>
            <w:tcW w:w="760" w:type="dxa"/>
            <w:vAlign w:val="bottom"/>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(0.1)</w:t>
            </w:r>
          </w:p>
        </w:tc>
      </w:tr>
      <w:tr>
        <w:trPr>
          <w:trHeight w:val="20"/>
        </w:trPr>
        <w:tc>
          <w:tcPr>
            <w:tcW w:w="7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77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Effective income tax rate</w:t>
            </w:r>
          </w:p>
        </w:tc>
        <w:tc>
          <w:tcPr>
            <w:tcW w:w="760" w:type="dxa"/>
            <w:vAlign w:val="bottom"/>
            <w:gridSpan w:val="2"/>
            <w:shd w:val="clear" w:color="auto" w:fill="CCEEFF"/>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r>
      <w:tr>
        <w:trPr>
          <w:trHeight w:val="20"/>
        </w:trPr>
        <w:tc>
          <w:tcPr>
            <w:tcW w:w="7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Company recorded immaterial tax benefits in the three months ended March 31, 2017 and 2018 (unaudited). The Company expects an immaterial level of tax benefit in 2018, comprised of current tax expense related to the Company's operations in the U.S. which is more than offset by federal and state research and development tax credits.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84"/>
        </w:trPr>
        <w:tc>
          <w:tcPr>
            <w:tcW w:w="86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7"/>
              </w:rPr>
              <w:t>KINIKSA PHARMACEUTICALS, LTD.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7"/>
              </w:rPr>
              <w:t>NOTES TO CONSOLIDATED FINANCIAL STATEMENTS (Continued)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8"/>
              </w:rPr>
              <w:t>(Amounts in thousands, except share and per share amounts)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10. Income Taxes (Continued)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8680" w:type="dxa"/>
            <w:vAlign w:val="bottom"/>
            <w:gridSpan w:val="3"/>
          </w:tcPr>
          <w:p>
            <w:pPr>
              <w:ind w:left="440"/>
              <w:spacing w:after="0"/>
              <w:rPr>
                <w:sz w:val="20"/>
                <w:szCs w:val="20"/>
                <w:color w:val="auto"/>
              </w:rPr>
            </w:pPr>
            <w:r>
              <w:rPr>
                <w:rFonts w:ascii="Arial" w:cs="Arial" w:eastAsia="Arial" w:hAnsi="Arial"/>
                <w:sz w:val="16"/>
                <w:szCs w:val="16"/>
                <w:color w:val="auto"/>
              </w:rPr>
              <w:t>Net deferred tax assets consisted of the following:</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rPr>
              <w:t>December 31,</w:t>
            </w: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Research and development tax credit carryforwards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15"/>
                <w:szCs w:val="15"/>
                <w:color w:val="auto"/>
              </w:rPr>
            </w:pPr>
          </w:p>
        </w:tc>
      </w:tr>
      <w:tr>
        <w:trPr>
          <w:trHeight w:val="181"/>
        </w:trPr>
        <w:tc>
          <w:tcPr>
            <w:tcW w:w="86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5"/>
                <w:szCs w:val="15"/>
                <w:color w:val="auto"/>
              </w:rPr>
            </w:pPr>
          </w:p>
        </w:tc>
        <w:tc>
          <w:tcPr>
            <w:tcW w:w="6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(14)</w:t>
            </w: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Accrued expenses and other</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5"/>
                <w:szCs w:val="15"/>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60" w:type="dxa"/>
            <w:vAlign w:val="bottom"/>
          </w:tcPr>
          <w:p>
            <w:pPr>
              <w:ind w:left="80"/>
              <w:spacing w:after="0" w:line="173" w:lineRule="exact"/>
              <w:rPr>
                <w:sz w:val="20"/>
                <w:szCs w:val="20"/>
                <w:color w:val="auto"/>
              </w:rPr>
            </w:pPr>
            <w:r>
              <w:rPr>
                <w:rFonts w:ascii="Arial" w:cs="Arial" w:eastAsia="Arial" w:hAnsi="Arial"/>
                <w:sz w:val="16"/>
                <w:szCs w:val="16"/>
                <w:color w:val="auto"/>
              </w:rPr>
              <w:t>Total deferred tax assets</w:t>
            </w:r>
          </w:p>
        </w:tc>
        <w:tc>
          <w:tcPr>
            <w:tcW w:w="16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265</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Valuation allowance</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(27)</w:t>
            </w: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60" w:type="dxa"/>
            <w:vAlign w:val="bottom"/>
          </w:tcPr>
          <w:p>
            <w:pPr>
              <w:ind w:left="80"/>
              <w:spacing w:after="0" w:line="173" w:lineRule="exact"/>
              <w:rPr>
                <w:sz w:val="20"/>
                <w:szCs w:val="20"/>
                <w:color w:val="auto"/>
              </w:rPr>
            </w:pPr>
            <w:r>
              <w:rPr>
                <w:rFonts w:ascii="Arial" w:cs="Arial" w:eastAsia="Arial" w:hAnsi="Arial"/>
                <w:sz w:val="16"/>
                <w:szCs w:val="16"/>
                <w:color w:val="auto"/>
              </w:rPr>
              <w:t>Net deferred tax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238</w:t>
            </w:r>
          </w:p>
        </w:tc>
        <w:tc>
          <w:tcPr>
            <w:tcW w:w="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firstLine="427"/>
        <w:spacing w:after="0" w:line="239" w:lineRule="auto"/>
        <w:rPr>
          <w:sz w:val="20"/>
          <w:szCs w:val="20"/>
          <w:color w:val="auto"/>
        </w:rPr>
      </w:pPr>
      <w:r>
        <w:rPr>
          <w:rFonts w:ascii="Arial" w:cs="Arial" w:eastAsia="Arial" w:hAnsi="Arial"/>
          <w:sz w:val="16"/>
          <w:szCs w:val="16"/>
          <w:color w:val="auto"/>
        </w:rPr>
        <w:t>As of December 31, 2017, the Company had state research and development tax credit carryforwards of approximately $113, available to reduce future tax liabilities, which begin to expire in 2031 through 2032. As of March 31, 2018 (unaudited), the amount of the Company's deferred tax assets did not change materially from the amount as of December 31, 2017.</w:t>
      </w:r>
    </w:p>
    <w:p>
      <w:pPr>
        <w:spacing w:after="0" w:line="186"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required by ASC 740, the Company has evaluated the positive and negative evidence bearing upon its ability to realize the deferred tax assets. In order to utilize state research and development tax credits, the Company will need taxable income in the jurisdiction of where the credit was generated. The Company currently has no taxable income in certain state jurisdictions and thus management has determined that it is more likely than not that the Company will not recognize the benefits of state research and development tax credits generated in those jurisdictions, and as a result, a valuation allowance of $10 and $27 has been established at December 31, 2016 and 2017, respectively. The remaining deferred tax assets will be fully utilized in the United States based on future income generated under the cost-plus arrangement in place.</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Utilization of the state research and development tax credits may be subject to substantial annual limitation under Section 382 of the Internal Revenue Code of 1986 due to ownership changes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3" w:name="page254"/>
    <w:bookmarkEnd w:id="2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 (Continued)</w:t>
      </w:r>
    </w:p>
    <w:p>
      <w:pPr>
        <w:spacing w:after="0" w:line="210"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Changes in the valuation allowance for deferred tax assets during the years ended December 31, 2016 and 2017 were due primarily to an increase in state research and development tax credits and were as follows:</w:t>
      </w:r>
    </w:p>
    <w:p>
      <w:pPr>
        <w:spacing w:after="0" w:line="165" w:lineRule="exact"/>
        <w:rPr>
          <w:sz w:val="20"/>
          <w:szCs w:val="20"/>
          <w:color w:val="auto"/>
        </w:rPr>
      </w:pPr>
    </w:p>
    <w:p>
      <w:pPr>
        <w:jc w:val="center"/>
        <w:ind w:left="756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56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1"/>
        </w:trPr>
        <w:tc>
          <w:tcPr>
            <w:tcW w:w="5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53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Valuation allowance at beginning of year</w:t>
            </w:r>
          </w:p>
        </w:tc>
        <w:tc>
          <w:tcPr>
            <w:tcW w:w="2320" w:type="dxa"/>
            <w:vAlign w:val="bottom"/>
            <w:gridSpan w:val="2"/>
            <w:shd w:val="clear" w:color="auto" w:fill="CCEEFF"/>
          </w:tcPr>
          <w:p>
            <w:pPr>
              <w:jc w:val="right"/>
              <w:ind w:right="7"/>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w:t>
            </w:r>
          </w:p>
        </w:tc>
      </w:tr>
      <w:tr>
        <w:trPr>
          <w:trHeight w:val="181"/>
        </w:trPr>
        <w:tc>
          <w:tcPr>
            <w:tcW w:w="5320" w:type="dxa"/>
            <w:vAlign w:val="bottom"/>
          </w:tcPr>
          <w:p>
            <w:pPr>
              <w:ind w:left="160"/>
              <w:spacing w:after="0" w:line="181" w:lineRule="exact"/>
              <w:rPr>
                <w:sz w:val="20"/>
                <w:szCs w:val="20"/>
                <w:color w:val="auto"/>
              </w:rPr>
            </w:pPr>
            <w:r>
              <w:rPr>
                <w:rFonts w:ascii="Arial" w:cs="Arial" w:eastAsia="Arial" w:hAnsi="Arial"/>
                <w:sz w:val="16"/>
                <w:szCs w:val="16"/>
                <w:color w:val="auto"/>
              </w:rPr>
              <w:t>Increases recorded to income tax provision</w:t>
            </w: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(17)</w:t>
            </w:r>
          </w:p>
        </w:tc>
      </w:tr>
      <w:tr>
        <w:trPr>
          <w:trHeight w:val="20"/>
        </w:trPr>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53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Valuation allowance at end of year</w:t>
            </w:r>
          </w:p>
        </w:tc>
        <w:tc>
          <w:tcPr>
            <w:tcW w:w="2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(10)</w:t>
            </w:r>
          </w:p>
        </w:tc>
        <w:tc>
          <w:tcPr>
            <w:tcW w:w="30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(27)</w:t>
            </w:r>
          </w:p>
        </w:tc>
      </w:tr>
      <w:tr>
        <w:trPr>
          <w:trHeight w:val="20"/>
        </w:trPr>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33"/>
        <w:spacing w:after="0" w:line="239" w:lineRule="auto"/>
        <w:rPr>
          <w:sz w:val="20"/>
          <w:szCs w:val="20"/>
          <w:color w:val="auto"/>
        </w:rPr>
      </w:pPr>
      <w:r>
        <w:rPr>
          <w:rFonts w:ascii="Arial" w:cs="Arial" w:eastAsia="Arial" w:hAnsi="Arial"/>
          <w:sz w:val="16"/>
          <w:szCs w:val="16"/>
          <w:color w:val="auto"/>
        </w:rPr>
        <w:t>The Company has not recorded any amounts for unrecognized tax benefits as of December 31, 2016 or 2017. The Company's policy is to record interest and penalties related to income taxes as part of its income tax provision. As of December 31, 2016 and 2017, the Company had no accrued interest or penalties related to uncertain tax positions and no amounts had been recognized in the Company's consolidated statements of operations and comprehensive loss.</w:t>
      </w:r>
    </w:p>
    <w:p>
      <w:pPr>
        <w:spacing w:after="0" w:line="186" w:lineRule="exact"/>
        <w:rPr>
          <w:sz w:val="20"/>
          <w:szCs w:val="20"/>
          <w:color w:val="auto"/>
        </w:rPr>
      </w:pPr>
    </w:p>
    <w:p>
      <w:pPr>
        <w:jc w:val="both"/>
        <w:ind w:firstLine="433"/>
        <w:spacing w:after="0" w:line="238" w:lineRule="auto"/>
        <w:rPr>
          <w:sz w:val="20"/>
          <w:szCs w:val="20"/>
          <w:color w:val="auto"/>
        </w:rPr>
      </w:pPr>
      <w:r>
        <w:rPr>
          <w:rFonts w:ascii="Arial" w:cs="Arial" w:eastAsia="Arial" w:hAnsi="Arial"/>
          <w:sz w:val="16"/>
          <w:szCs w:val="16"/>
          <w:color w:val="auto"/>
        </w:rPr>
        <w:t>The Company files income tax returns in the United States and certain state jurisdictions. Kiniksa US's federal and state income tax returns are subject to tax examinations for the tax years ended December 31, 2013 and subsequent years. To the extent the Company has tax attribute carryforwards, the tax years in which the attribute was generated may still be adjusted upon examination by the Internal Revenue Service and state tax authorities to the extent utilized in a future period. There are currently no income tax examinations pending.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 and Unaudited Pro Forma Net Loss per Share</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208" w:lineRule="exact"/>
        <w:rPr>
          <w:sz w:val="20"/>
          <w:szCs w:val="20"/>
          <w:color w:val="auto"/>
        </w:rPr>
      </w:pPr>
    </w:p>
    <w:p>
      <w:pPr>
        <w:ind w:right="200" w:firstLine="433"/>
        <w:spacing w:after="0" w:line="239"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shares are identical, except with respect to voting rights. As the liquidation and dividend rights are identical, losses are allocated on a proportionate basis and the resulting net loss per share attributed to common shareholders will, therefore, be the same for both Class A and Class B common shares on an individual or combined basis.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54" w:name="page255"/>
    <w:bookmarkEnd w:id="2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 and Unaudited Pro Forma Net Loss per Share (Continued)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Basic and diluted net loss per share attributable to common shareholders was calculated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5"/>
              </w:rPr>
              <w:t>Year Ended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7"/>
              </w:rPr>
              <w:t>Three Months Ended</w:t>
            </w:r>
          </w:p>
        </w:tc>
      </w:tr>
      <w:tr>
        <w:trPr>
          <w:trHeight w:val="202"/>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8"/>
              </w:rPr>
              <w:t>(unaudited)</w:t>
            </w:r>
          </w:p>
        </w:tc>
      </w:tr>
      <w:tr>
        <w:trPr>
          <w:trHeight w:val="181"/>
        </w:trPr>
        <w:tc>
          <w:tcPr>
            <w:tcW w:w="4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Numerator:</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6"/>
                <w:szCs w:val="16"/>
                <w:color w:val="auto"/>
              </w:rPr>
              <w:t>Net loss attributable to common shareholders</w:t>
            </w:r>
          </w:p>
        </w:tc>
        <w:tc>
          <w:tcPr>
            <w:tcW w:w="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center"/>
              <w:ind w:right="20"/>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(4,941)</w:t>
            </w: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98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Denominator:</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6"/>
                <w:szCs w:val="16"/>
                <w:color w:val="auto"/>
                <w:w w:val="99"/>
              </w:rPr>
              <w:t>Weighted average common shares outstanding — basic and diluted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1,405,400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9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Net loss per share attributable to common shareholders — basic and</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78"/>
        </w:trPr>
        <w:tc>
          <w:tcPr>
            <w:tcW w:w="49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diluted</w:t>
            </w:r>
          </w:p>
        </w:tc>
        <w:tc>
          <w:tcPr>
            <w:tcW w:w="2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(91.61)</w:t>
            </w:r>
          </w:p>
        </w:tc>
        <w:tc>
          <w:tcPr>
            <w:tcW w:w="180" w:type="dxa"/>
            <w:vAlign w:val="bottom"/>
            <w:gridSpan w:val="2"/>
            <w:shd w:val="clear" w:color="auto" w:fill="CCEEFF"/>
          </w:tcPr>
          <w:p>
            <w:pPr>
              <w:jc w:val="center"/>
              <w:ind w:right="20"/>
              <w:spacing w:after="0" w:line="178" w:lineRule="exact"/>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(3.52)</w:t>
            </w:r>
          </w:p>
        </w:tc>
        <w:tc>
          <w:tcPr>
            <w:tcW w:w="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(6.45)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900" w:firstLine="433"/>
        <w:spacing w:after="0" w:line="241" w:lineRule="auto"/>
        <w:rPr>
          <w:sz w:val="20"/>
          <w:szCs w:val="20"/>
          <w:color w:val="auto"/>
        </w:rPr>
      </w:pPr>
      <w:r>
        <w:rPr>
          <w:rFonts w:ascii="Arial" w:cs="Arial" w:eastAsia="Arial" w:hAnsi="Arial"/>
          <w:sz w:val="16"/>
          <w:szCs w:val="16"/>
          <w:color w:val="auto"/>
        </w:rPr>
        <w:t>The Company's unvested restricted common shares have been excluded from the computation of basic net loss per share attributable to common shareholders.</w:t>
      </w:r>
    </w:p>
    <w:p>
      <w:pPr>
        <w:spacing w:after="0" w:line="185"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Company's potentially dilutive securities, which include options, unvested restricted shares and convertible preferred shares,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920" w:type="dxa"/>
            <w:vAlign w:val="bottom"/>
            <w:gridSpan w:val="3"/>
          </w:tcPr>
          <w:p>
            <w:pPr>
              <w:jc w:val="right"/>
              <w:ind w:right="402"/>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6"/>
                <w:szCs w:val="16"/>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8"/>
              </w:rPr>
              <w:t>Three Months Ended</w:t>
            </w:r>
          </w:p>
        </w:tc>
      </w:tr>
      <w:tr>
        <w:trPr>
          <w:trHeight w:val="202"/>
        </w:trPr>
        <w:tc>
          <w:tcPr>
            <w:tcW w:w="5000" w:type="dxa"/>
            <w:vAlign w:val="bottom"/>
          </w:tcPr>
          <w:p>
            <w:pPr>
              <w:spacing w:after="0"/>
              <w:rPr>
                <w:sz w:val="17"/>
                <w:szCs w:val="17"/>
                <w:color w:val="auto"/>
              </w:rPr>
            </w:pPr>
          </w:p>
        </w:tc>
        <w:tc>
          <w:tcPr>
            <w:tcW w:w="1920" w:type="dxa"/>
            <w:vAlign w:val="bottom"/>
            <w:gridSpan w:val="3"/>
          </w:tcPr>
          <w:p>
            <w:pPr>
              <w:jc w:val="right"/>
              <w:ind w:right="322"/>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50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5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6"/>
              </w:rPr>
              <w:t>(unaudited)</w:t>
            </w:r>
          </w:p>
        </w:tc>
      </w:tr>
      <w:tr>
        <w:trPr>
          <w:trHeight w:val="181"/>
        </w:trPr>
        <w:tc>
          <w:tcPr>
            <w:tcW w:w="5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to purchase common shares</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1,583,691</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3,123,064</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1,622,850</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4,702,190</w:t>
            </w:r>
          </w:p>
        </w:tc>
        <w:tc>
          <w:tcPr>
            <w:tcW w:w="140" w:type="dxa"/>
            <w:vAlign w:val="bottom"/>
            <w:shd w:val="clear" w:color="auto" w:fill="CCEEFF"/>
          </w:tcPr>
          <w:p>
            <w:pPr>
              <w:spacing w:after="0"/>
              <w:rPr>
                <w:sz w:val="15"/>
                <w:szCs w:val="15"/>
                <w:color w:val="auto"/>
              </w:rPr>
            </w:pPr>
          </w:p>
        </w:tc>
      </w:tr>
      <w:tr>
        <w:trPr>
          <w:trHeight w:val="181"/>
        </w:trPr>
        <w:tc>
          <w:tcPr>
            <w:tcW w:w="5000" w:type="dxa"/>
            <w:vAlign w:val="bottom"/>
          </w:tcPr>
          <w:p>
            <w:pPr>
              <w:spacing w:after="0" w:line="181" w:lineRule="exact"/>
              <w:rPr>
                <w:sz w:val="20"/>
                <w:szCs w:val="20"/>
                <w:color w:val="auto"/>
              </w:rPr>
            </w:pPr>
            <w:r>
              <w:rPr>
                <w:rFonts w:ascii="Arial" w:cs="Arial" w:eastAsia="Arial" w:hAnsi="Arial"/>
                <w:sz w:val="16"/>
                <w:szCs w:val="16"/>
                <w:color w:val="auto"/>
              </w:rPr>
              <w:t>Unvested restricted shares</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3,018,229</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1,947,724</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2,750,603</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1,680,098</w:t>
            </w:r>
          </w:p>
        </w:tc>
        <w:tc>
          <w:tcPr>
            <w:tcW w:w="140" w:type="dxa"/>
            <w:vAlign w:val="bottom"/>
          </w:tcPr>
          <w:p>
            <w:pPr>
              <w:spacing w:after="0"/>
              <w:rPr>
                <w:sz w:val="15"/>
                <w:szCs w:val="15"/>
                <w:color w:val="auto"/>
              </w:rPr>
            </w:pPr>
          </w:p>
        </w:tc>
      </w:tr>
      <w:tr>
        <w:trPr>
          <w:trHeight w:val="181"/>
        </w:trPr>
        <w:tc>
          <w:tcPr>
            <w:tcW w:w="5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 (as converted to common shares)</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22,885,492</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22,885,492</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35,670,093</w:t>
            </w:r>
          </w:p>
        </w:tc>
        <w:tc>
          <w:tcPr>
            <w:tcW w:w="140" w:type="dxa"/>
            <w:vAlign w:val="bottom"/>
            <w:shd w:val="clear" w:color="auto" w:fill="CCEEFF"/>
          </w:tcPr>
          <w:p>
            <w:pPr>
              <w:spacing w:after="0"/>
              <w:rPr>
                <w:sz w:val="15"/>
                <w:szCs w:val="15"/>
                <w:color w:val="auto"/>
              </w:rPr>
            </w:pPr>
          </w:p>
        </w:tc>
      </w:tr>
      <w:tr>
        <w:trPr>
          <w:trHeight w:val="185"/>
        </w:trPr>
        <w:tc>
          <w:tcPr>
            <w:tcW w:w="50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21,730,040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27,956,280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27,258,945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42,052,381</w:t>
            </w:r>
          </w:p>
        </w:tc>
        <w:tc>
          <w:tcPr>
            <w:tcW w:w="140" w:type="dxa"/>
            <w:vAlign w:val="bottom"/>
          </w:tcPr>
          <w:p>
            <w:pPr>
              <w:spacing w:after="0"/>
              <w:rPr>
                <w:sz w:val="16"/>
                <w:szCs w:val="16"/>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208" w:lineRule="exact"/>
        <w:rPr>
          <w:sz w:val="20"/>
          <w:szCs w:val="20"/>
          <w:color w:val="auto"/>
        </w:rPr>
      </w:pPr>
    </w:p>
    <w:p>
      <w:pPr>
        <w:ind w:right="480" w:firstLine="433"/>
        <w:spacing w:after="0" w:line="241" w:lineRule="auto"/>
        <w:rPr>
          <w:sz w:val="20"/>
          <w:szCs w:val="20"/>
          <w:color w:val="auto"/>
        </w:rPr>
      </w:pPr>
      <w:r>
        <w:rPr>
          <w:rFonts w:ascii="Arial" w:cs="Arial" w:eastAsia="Arial" w:hAnsi="Arial"/>
          <w:sz w:val="16"/>
          <w:szCs w:val="16"/>
          <w:color w:val="auto"/>
        </w:rPr>
        <w:t>The unaudited pro forma basic and diluted net loss per share attributable to common shareholders for the year ended December 31, 2017 and the three months ended March 31,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5" w:name="page256"/>
    <w:bookmarkEnd w:id="2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 and Unaudited Pro Forma Net Loss per Share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to give effect to adjustments arising upon the closing of a qualified initial public offering.</w:t>
      </w:r>
    </w:p>
    <w:p>
      <w:pPr>
        <w:spacing w:after="0" w:line="190"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unaudited pro forma basic and diluted weighted average common shares outstanding used in the calculation of unaudited pro forma basic and diluted net loss per share attributable to common shareholders for the year ended December 31, 2017 and the three months ended March 31, 2018 have been prepared to give effect, upon a qualified initial public offering, to the automatic conversion of (i) all outstanding Series A preferred shares into Class B common shares and Class B1 common shares and (ii) all outstanding Series B and Series C preferred shares into Class A common shares and Class A1 common shares as if the proposed initial public offering had occurred on the later of January 1, 2017 or the issuance date of the Preferred Shares.</w:t>
      </w:r>
    </w:p>
    <w:p>
      <w:pPr>
        <w:spacing w:after="0" w:line="189"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rights, including the liquidation and dividend rights, of the holders of Class A, Class A1, Class B and Class B1 common shares are identical, except with respect to voting rights. As the liquidation and dividend rights are identical, losses are allocated on a proportionate basis and the resulting unaudited pro forma net loss per share attributed to common shareholders will, therefore, be the same for both Class A, Class A1, Class B and Class B1 common shares on an individual or combined basis.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Unaudited pro forma basic and diluted net loss per share attributable to common shareholders was calculated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center"/>
              <w:ind w:right="1300"/>
              <w:spacing w:after="0"/>
              <w:rPr>
                <w:sz w:val="20"/>
                <w:szCs w:val="20"/>
                <w:color w:val="auto"/>
              </w:rPr>
            </w:pPr>
            <w:r>
              <w:rPr>
                <w:rFonts w:ascii="Arial" w:cs="Arial" w:eastAsia="Arial" w:hAnsi="Arial"/>
                <w:sz w:val="16"/>
                <w:szCs w:val="16"/>
                <w:b w:val="1"/>
                <w:bCs w:val="1"/>
                <w:color w:val="auto"/>
                <w:w w:val="97"/>
              </w:rPr>
              <w:t>Three Months</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3"/>
          </w:tcPr>
          <w:p>
            <w:pPr>
              <w:jc w:val="center"/>
              <w:ind w:right="1300"/>
              <w:spacing w:after="0" w:line="181" w:lineRule="exact"/>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3"/>
          </w:tcPr>
          <w:p>
            <w:pPr>
              <w:jc w:val="center"/>
              <w:ind w:right="1300"/>
              <w:spacing w:after="0" w:line="181" w:lineRule="exact"/>
              <w:rPr>
                <w:sz w:val="20"/>
                <w:szCs w:val="20"/>
                <w:color w:val="auto"/>
              </w:rPr>
            </w:pPr>
            <w:r>
              <w:rPr>
                <w:rFonts w:ascii="Arial" w:cs="Arial" w:eastAsia="Arial" w:hAnsi="Arial"/>
                <w:sz w:val="16"/>
                <w:szCs w:val="16"/>
                <w:b w:val="1"/>
                <w:bCs w:val="1"/>
                <w:color w:val="auto"/>
              </w:rPr>
              <w:t>March 21,</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7"/>
          </w:tcPr>
          <w:p>
            <w:pPr>
              <w:ind w:left="76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ind w:left="320"/>
              <w:spacing w:after="0" w:line="181" w:lineRule="exact"/>
              <w:rPr>
                <w:sz w:val="20"/>
                <w:szCs w:val="20"/>
                <w:color w:val="auto"/>
              </w:rPr>
            </w:pPr>
            <w:r>
              <w:rPr>
                <w:rFonts w:ascii="Arial" w:cs="Arial" w:eastAsia="Arial" w:hAnsi="Arial"/>
                <w:sz w:val="16"/>
                <w:szCs w:val="16"/>
                <w:color w:val="auto"/>
              </w:rPr>
              <w:t>Net loss attributable to common shareholders</w:t>
            </w:r>
          </w:p>
        </w:tc>
        <w:tc>
          <w:tcPr>
            <w:tcW w:w="2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1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42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ind w:left="160"/>
              <w:spacing w:after="0" w:line="181" w:lineRule="exact"/>
              <w:rPr>
                <w:sz w:val="20"/>
                <w:szCs w:val="20"/>
                <w:color w:val="auto"/>
              </w:rPr>
            </w:pPr>
            <w:r>
              <w:rPr>
                <w:rFonts w:ascii="Arial" w:cs="Arial" w:eastAsia="Arial" w:hAnsi="Arial"/>
                <w:sz w:val="16"/>
                <w:szCs w:val="16"/>
                <w:color w:val="auto"/>
              </w:rPr>
              <w:t>Weighted average common shares outstanding — basic and 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Pro forma adjustment to reflect assumed automatic conversion of Preferred Shares upon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642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the closing of the proposed initial public offering</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21,828,659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29,988,048</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420" w:type="dxa"/>
            <w:vAlign w:val="bottom"/>
          </w:tcPr>
          <w:p>
            <w:pPr>
              <w:ind w:left="320"/>
              <w:spacing w:after="0" w:line="173" w:lineRule="exact"/>
              <w:rPr>
                <w:sz w:val="20"/>
                <w:szCs w:val="20"/>
                <w:color w:val="auto"/>
              </w:rPr>
            </w:pPr>
            <w:r>
              <w:rPr>
                <w:rFonts w:ascii="Arial" w:cs="Arial" w:eastAsia="Arial" w:hAnsi="Arial"/>
                <w:sz w:val="16"/>
                <w:szCs w:val="16"/>
                <w:color w:val="auto"/>
              </w:rPr>
              <w:t>Pro forma weighted average common shares outstanding — basic and diluted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23,638,410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42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Pro forma net loss per share attributable to common shareholders — basic and diluted</w:t>
            </w: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6"/>
                <w:szCs w:val="16"/>
                <w:color w:val="auto"/>
              </w:rPr>
              <w:t>(2.74)</w:t>
            </w:r>
          </w:p>
        </w:tc>
        <w:tc>
          <w:tcPr>
            <w:tcW w:w="1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6"/>
                <w:szCs w:val="16"/>
                <w:color w:val="auto"/>
              </w:rPr>
              <w:t>(0.49)</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vMerge w:val="restart"/>
          </w:tcPr>
          <w:p>
            <w:pPr>
              <w:ind w:left="4420"/>
              <w:spacing w:after="0"/>
              <w:rPr>
                <w:sz w:val="20"/>
                <w:szCs w:val="20"/>
                <w:color w:val="auto"/>
              </w:rPr>
            </w:pPr>
            <w:r>
              <w:rPr>
                <w:rFonts w:ascii="Arial" w:cs="Arial" w:eastAsia="Arial" w:hAnsi="Arial"/>
                <w:sz w:val="16"/>
                <w:szCs w:val="16"/>
                <w:color w:val="auto"/>
              </w:rPr>
              <w:t>F-39</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64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56" w:name="page257"/>
    <w:bookmarkEnd w:id="256"/>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640" w:hanging="484"/>
        <w:spacing w:after="0" w:line="534" w:lineRule="auto"/>
        <w:tabs>
          <w:tab w:leader="none" w:pos="263"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Agreements</w:t>
      </w:r>
    </w:p>
    <w:p>
      <w:pPr>
        <w:ind w:left="4" w:right="20" w:firstLine="436"/>
        <w:spacing w:after="0" w:line="237" w:lineRule="auto"/>
        <w:rPr>
          <w:sz w:val="20"/>
          <w:szCs w:val="20"/>
          <w:color w:val="auto"/>
        </w:rPr>
      </w:pPr>
      <w:r>
        <w:rPr>
          <w:rFonts w:ascii="Arial" w:cs="Arial" w:eastAsia="Arial" w:hAnsi="Arial"/>
          <w:sz w:val="16"/>
          <w:szCs w:val="16"/>
          <w:color w:val="auto"/>
        </w:rPr>
        <w:t>On July 24, 2015, Kiniksa US entered into an operating lease in Wellesley Hills, Massachusetts for office space that comprises the headquarters for Kiniksa US. In March 2016, effective August 1, 2016, Kiniksa US entered into an expansion and extension on its lease, which expanded its leased space to a total of 10,800 square feet. On March 31, 2017, Kiniksa US renewed this lease and extended the lease term to August 2018. Monthly lease payments, inclusive of base rent and ancillary charges, total $27. As of December 31, 2017 future minimum lease payments under non-cancelable operating lease commitments, which are all due during the year ending December 31, 2018, totaled $270.</w:t>
      </w:r>
    </w:p>
    <w:p>
      <w:pPr>
        <w:spacing w:after="0" w:line="189" w:lineRule="exact"/>
        <w:rPr>
          <w:sz w:val="20"/>
          <w:szCs w:val="20"/>
          <w:color w:val="auto"/>
        </w:rPr>
      </w:pPr>
    </w:p>
    <w:p>
      <w:pPr>
        <w:ind w:left="4" w:right="60" w:firstLine="436"/>
        <w:spacing w:after="0" w:line="238" w:lineRule="auto"/>
        <w:rPr>
          <w:sz w:val="20"/>
          <w:szCs w:val="20"/>
          <w:color w:val="auto"/>
        </w:rPr>
      </w:pPr>
      <w:r>
        <w:rPr>
          <w:rFonts w:ascii="Arial" w:cs="Arial" w:eastAsia="Arial" w:hAnsi="Arial"/>
          <w:sz w:val="16"/>
          <w:szCs w:val="16"/>
          <w:color w:val="auto"/>
        </w:rPr>
        <w:t>On March 13, 2018, Kiniksa US entered into an operating lease in Lexington, Massachusetts for office and laboratory space that comprises the new headquarters for Kiniksa US. The lease expires on July 31, 2021. Upon execution of the lease, the Company made a prepayment of $67 for August 2018 base rent. Monthly lease payments begin in September 2018 and include base rent of $67 as well as, ancillary charges such as the share of operating expenses and real estate taxes.</w:t>
      </w:r>
    </w:p>
    <w:p>
      <w:pPr>
        <w:spacing w:after="0" w:line="184"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 following table summarizes the future minimum lease payments under non-cancelable operating lease commitments, for the Lexington office, as of</w:t>
      </w:r>
    </w:p>
    <w:p>
      <w:pPr>
        <w:ind w:left="4"/>
        <w:spacing w:after="0"/>
        <w:rPr>
          <w:sz w:val="20"/>
          <w:szCs w:val="20"/>
          <w:color w:val="auto"/>
        </w:rPr>
      </w:pPr>
      <w:r>
        <w:rPr>
          <w:rFonts w:ascii="Arial" w:cs="Arial" w:eastAsia="Arial" w:hAnsi="Arial"/>
          <w:sz w:val="16"/>
          <w:szCs w:val="16"/>
          <w:color w:val="auto"/>
        </w:rPr>
        <w:t>March 31, 2018 (unaudited):</w:t>
      </w:r>
    </w:p>
    <w:p>
      <w:pPr>
        <w:spacing w:after="0" w:line="175" w:lineRule="exact"/>
        <w:rPr>
          <w:sz w:val="20"/>
          <w:szCs w:val="20"/>
          <w:color w:val="auto"/>
        </w:rPr>
      </w:pPr>
    </w:p>
    <w:tbl>
      <w:tblPr>
        <w:tblLayout w:type="fixed"/>
        <w:tblInd w:w="1704" w:type="dxa"/>
        <w:tblCellMar>
          <w:top w:w="0" w:type="dxa"/>
          <w:left w:w="0" w:type="dxa"/>
          <w:bottom w:w="0" w:type="dxa"/>
          <w:right w:w="0" w:type="dxa"/>
        </w:tblCellMar>
      </w:tblPr>
      <w:tr>
        <w:trPr>
          <w:trHeight w:val="161"/>
        </w:trPr>
        <w:tc>
          <w:tcPr>
            <w:tcW w:w="694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1"/>
        </w:trPr>
        <w:tc>
          <w:tcPr>
            <w:tcW w:w="162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2018</w:t>
            </w:r>
          </w:p>
        </w:tc>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267</w:t>
            </w:r>
          </w:p>
        </w:tc>
      </w:tr>
      <w:tr>
        <w:trPr>
          <w:trHeight w:val="181"/>
        </w:trPr>
        <w:tc>
          <w:tcPr>
            <w:tcW w:w="1620" w:type="dxa"/>
            <w:vAlign w:val="bottom"/>
          </w:tcPr>
          <w:p>
            <w:pPr>
              <w:ind w:left="20"/>
              <w:spacing w:after="0" w:line="181" w:lineRule="exact"/>
              <w:rPr>
                <w:sz w:val="20"/>
                <w:szCs w:val="20"/>
                <w:color w:val="auto"/>
              </w:rPr>
            </w:pPr>
            <w:r>
              <w:rPr>
                <w:rFonts w:ascii="Arial" w:cs="Arial" w:eastAsia="Arial" w:hAnsi="Arial"/>
                <w:sz w:val="16"/>
                <w:szCs w:val="16"/>
                <w:color w:val="auto"/>
              </w:rPr>
              <w:t>2019</w:t>
            </w:r>
          </w:p>
        </w:tc>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802</w:t>
            </w:r>
          </w:p>
        </w:tc>
      </w:tr>
      <w:tr>
        <w:trPr>
          <w:trHeight w:val="181"/>
        </w:trPr>
        <w:tc>
          <w:tcPr>
            <w:tcW w:w="16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2020</w:t>
            </w:r>
          </w:p>
        </w:tc>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802</w:t>
            </w:r>
          </w:p>
        </w:tc>
      </w:tr>
      <w:tr>
        <w:trPr>
          <w:trHeight w:val="181"/>
        </w:trPr>
        <w:tc>
          <w:tcPr>
            <w:tcW w:w="1620" w:type="dxa"/>
            <w:vAlign w:val="bottom"/>
          </w:tcPr>
          <w:p>
            <w:pPr>
              <w:ind w:left="20"/>
              <w:spacing w:after="0" w:line="181" w:lineRule="exact"/>
              <w:rPr>
                <w:sz w:val="20"/>
                <w:szCs w:val="20"/>
                <w:color w:val="auto"/>
              </w:rPr>
            </w:pPr>
            <w:r>
              <w:rPr>
                <w:rFonts w:ascii="Arial" w:cs="Arial" w:eastAsia="Arial" w:hAnsi="Arial"/>
                <w:sz w:val="16"/>
                <w:szCs w:val="16"/>
                <w:color w:val="auto"/>
              </w:rPr>
              <w:t>2021</w:t>
            </w:r>
          </w:p>
        </w:tc>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468</w:t>
            </w:r>
          </w:p>
        </w:tc>
      </w:tr>
      <w:tr>
        <w:trPr>
          <w:trHeight w:val="20"/>
        </w:trPr>
        <w:tc>
          <w:tcPr>
            <w:tcW w:w="1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620" w:type="dxa"/>
            <w:vAlign w:val="bottom"/>
            <w:shd w:val="clear" w:color="auto" w:fill="CCEEFF"/>
          </w:tcPr>
          <w:p>
            <w:pPr>
              <w:spacing w:after="0"/>
              <w:rPr>
                <w:sz w:val="16"/>
                <w:szCs w:val="16"/>
                <w:color w:val="auto"/>
              </w:rPr>
            </w:pPr>
          </w:p>
        </w:tc>
        <w:tc>
          <w:tcPr>
            <w:tcW w:w="5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2,339</w:t>
            </w:r>
          </w:p>
        </w:tc>
      </w:tr>
      <w:tr>
        <w:trPr>
          <w:trHeight w:val="20"/>
        </w:trPr>
        <w:tc>
          <w:tcPr>
            <w:tcW w:w="1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 w:firstLine="433"/>
        <w:spacing w:after="0" w:line="239" w:lineRule="auto"/>
        <w:rPr>
          <w:sz w:val="20"/>
          <w:szCs w:val="20"/>
          <w:color w:val="auto"/>
        </w:rPr>
      </w:pPr>
      <w:r>
        <w:rPr>
          <w:rFonts w:ascii="Arial" w:cs="Arial" w:eastAsia="Arial" w:hAnsi="Arial"/>
          <w:sz w:val="16"/>
          <w:szCs w:val="16"/>
          <w:color w:val="auto"/>
        </w:rPr>
        <w:t>The Company recognizes rent expense on a straight-line basis over the respective lease period and has recorded deferred rent for rent expense incurred but not yet paid. The Company recorded rent expense of $286, $402, $100 and $130 during the years ended December 31, 2016 and 2017 and the three months ended March 31, 2017 and 2018 (unaudited), respectively.</w:t>
      </w:r>
    </w:p>
    <w:p>
      <w:pPr>
        <w:spacing w:after="0" w:line="16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208" w:lineRule="exact"/>
        <w:rPr>
          <w:sz w:val="20"/>
          <w:szCs w:val="20"/>
          <w:color w:val="auto"/>
        </w:rPr>
      </w:pPr>
    </w:p>
    <w:p>
      <w:pPr>
        <w:ind w:left="4" w:right="360" w:firstLine="433"/>
        <w:spacing w:after="0" w:line="241" w:lineRule="auto"/>
        <w:rPr>
          <w:sz w:val="20"/>
          <w:szCs w:val="20"/>
          <w:color w:val="auto"/>
        </w:rPr>
      </w:pPr>
      <w:r>
        <w:rPr>
          <w:rFonts w:ascii="Arial" w:cs="Arial" w:eastAsia="Arial" w:hAnsi="Arial"/>
          <w:sz w:val="16"/>
          <w:szCs w:val="16"/>
          <w:color w:val="auto"/>
        </w:rPr>
        <w:t>The Company has entered into license agreements with various parties under which it is obligated to make contingent and non-contingent payments (see Note 9).</w:t>
      </w:r>
    </w:p>
    <w:p>
      <w:pPr>
        <w:spacing w:after="0" w:line="167"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Manufacturing Commitments</w:t>
      </w:r>
    </w:p>
    <w:p>
      <w:pPr>
        <w:spacing w:after="0" w:line="208" w:lineRule="exact"/>
        <w:rPr>
          <w:sz w:val="20"/>
          <w:szCs w:val="20"/>
          <w:color w:val="auto"/>
        </w:rPr>
      </w:pPr>
    </w:p>
    <w:p>
      <w:pPr>
        <w:ind w:left="4" w:right="40" w:firstLine="436"/>
        <w:spacing w:after="0" w:line="262" w:lineRule="auto"/>
        <w:rPr>
          <w:sz w:val="20"/>
          <w:szCs w:val="20"/>
          <w:color w:val="auto"/>
        </w:rPr>
      </w:pPr>
      <w:r>
        <w:rPr>
          <w:rFonts w:ascii="Arial" w:cs="Arial" w:eastAsia="Arial" w:hAnsi="Arial"/>
          <w:sz w:val="15"/>
          <w:szCs w:val="15"/>
          <w:color w:val="auto"/>
        </w:rPr>
        <w:t>During the year ended December 31, 2017 and three months ended March 31, 2018 (unaudited), the Company entered into agreements with several contract manufacturing organizations to provide pre-clinical and clinical trial materials. As of December 31, 2017 and March 31, 2018 (unaudited), the Company had non-cancelable purchase commitments under these agreements totaling $7,766 and $5,870, respectively, which are all due during the year ending December 31, 2018.</w:t>
      </w:r>
    </w:p>
    <w:p>
      <w:pPr>
        <w:spacing w:after="0" w:line="17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257" w:name="page258"/>
    <w:bookmarkEnd w:id="257"/>
    <w:p>
      <w:pPr>
        <w:ind w:left="4"/>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640" w:hanging="484"/>
        <w:spacing w:after="0" w:line="500" w:lineRule="auto"/>
        <w:tabs>
          <w:tab w:leader="none" w:pos="263"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(Continued) </w:t>
      </w:r>
      <w:r>
        <w:rPr>
          <w:rFonts w:ascii="Arial" w:cs="Arial" w:eastAsia="Arial" w:hAnsi="Arial"/>
          <w:sz w:val="16"/>
          <w:szCs w:val="16"/>
          <w:b w:val="1"/>
          <w:bCs w:val="1"/>
          <w:i w:val="1"/>
          <w:iCs w:val="1"/>
          <w:color w:val="auto"/>
        </w:rPr>
        <w:t>Indemnification Agreements</w:t>
      </w:r>
    </w:p>
    <w:p>
      <w:pPr>
        <w:spacing w:after="0" w:line="1"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2016 or 2017.</w:t>
      </w:r>
    </w:p>
    <w:p>
      <w:pPr>
        <w:spacing w:after="0" w:line="169"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208"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 Company is not a party to any litigation and does not have contingency reserves established for any litigation liabilities.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13. Benefit Plans</w:t>
      </w:r>
    </w:p>
    <w:p>
      <w:pPr>
        <w:spacing w:after="0" w:line="210" w:lineRule="exact"/>
        <w:rPr>
          <w:sz w:val="20"/>
          <w:szCs w:val="20"/>
          <w:color w:val="auto"/>
        </w:rPr>
      </w:pPr>
    </w:p>
    <w:p>
      <w:pPr>
        <w:ind w:left="4" w:firstLine="433"/>
        <w:spacing w:after="0" w:line="237" w:lineRule="auto"/>
        <w:rPr>
          <w:sz w:val="20"/>
          <w:szCs w:val="20"/>
          <w:color w:val="auto"/>
        </w:rPr>
      </w:pPr>
      <w:r>
        <w:rPr>
          <w:rFonts w:ascii="Arial" w:cs="Arial" w:eastAsia="Arial" w:hAnsi="Arial"/>
          <w:sz w:val="16"/>
          <w:szCs w:val="16"/>
          <w:color w:val="auto"/>
        </w:rPr>
        <w:t>The Company has established a defined-contribution savings plan under Section 401(k) of the Internal Revenue Code. This plan covers substantially all employees who meet minimum age and service requirements and allows participants to defer a portion of their annual compensation on a pre-tax basis. The Company provides matching contributions of 100% of the first 3% of each participant's salary contributed, plus 50% for each of the next 2% contributed. Employees are immediately and fully vested in their own contributions and the Company's match. During the years ended December 31, 2016 and 2017 and the three months ended March 31, 2017 and 2018 (unaudited), the Company contributed $143, $264, $75 and $115, respectively, to the plan.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14. Subsequent Events</w:t>
      </w:r>
    </w:p>
    <w:p>
      <w:pPr>
        <w:spacing w:after="0" w:line="210" w:lineRule="exact"/>
        <w:rPr>
          <w:sz w:val="20"/>
          <w:szCs w:val="20"/>
          <w:color w:val="auto"/>
        </w:rPr>
      </w:pPr>
    </w:p>
    <w:p>
      <w:pPr>
        <w:ind w:left="4" w:right="140" w:firstLine="436"/>
        <w:spacing w:after="0" w:line="273" w:lineRule="auto"/>
        <w:rPr>
          <w:sz w:val="20"/>
          <w:szCs w:val="20"/>
          <w:color w:val="auto"/>
        </w:rPr>
      </w:pPr>
      <w:r>
        <w:rPr>
          <w:rFonts w:ascii="Arial" w:cs="Arial" w:eastAsia="Arial" w:hAnsi="Arial"/>
          <w:sz w:val="15"/>
          <w:szCs w:val="15"/>
          <w:color w:val="auto"/>
        </w:rPr>
        <w:t>For its consolidated financial statements as of December 31, 2017 and for the year then ended, the Company evaluated subsequent events through February 27, 2018, the date on which those financial statements were issued, and, with respect to the reverse share split described below, through May 14, 2018.</w:t>
      </w:r>
    </w:p>
    <w:p>
      <w:pPr>
        <w:spacing w:after="0" w:line="144"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Reverse Share Split</w:t>
      </w:r>
    </w:p>
    <w:p>
      <w:pPr>
        <w:spacing w:after="0" w:line="208" w:lineRule="exact"/>
        <w:rPr>
          <w:sz w:val="20"/>
          <w:szCs w:val="20"/>
          <w:color w:val="auto"/>
        </w:rPr>
      </w:pPr>
    </w:p>
    <w:p>
      <w:pPr>
        <w:ind w:left="4" w:right="80" w:firstLine="436"/>
        <w:spacing w:after="0" w:line="239" w:lineRule="auto"/>
        <w:rPr>
          <w:sz w:val="20"/>
          <w:szCs w:val="20"/>
          <w:color w:val="auto"/>
        </w:rPr>
      </w:pPr>
      <w:r>
        <w:rPr>
          <w:rFonts w:ascii="Arial" w:cs="Arial" w:eastAsia="Arial" w:hAnsi="Arial"/>
          <w:sz w:val="16"/>
          <w:szCs w:val="16"/>
          <w:color w:val="auto"/>
        </w:rPr>
        <w:t>On May 11, 2018, the Company effected a 1-for-2.73235 reverse share split of its authorized, designated, issued and outstanding common shares and Preferred Shares. Accordingly, all share and per share amounts for all periods presented in the accompanying consolidated financial statements and notes thereto have been adjusted retroactively, where applicable, to reflect this reverse share split.</w:t>
      </w:r>
    </w:p>
    <w:p>
      <w:pPr>
        <w:spacing w:after="0" w:line="186"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4"/>
          </w:cols>
          <w:pgMar w:left="236" w:top="142" w:right="339" w:bottom="1440" w:gutter="0" w:footer="0" w:header="0"/>
        </w:sectPr>
      </w:pPr>
    </w:p>
    <w:bookmarkStart w:id="258" w:name="page259"/>
    <w:bookmarkEnd w:id="2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 (Unaudited)</w:t>
      </w:r>
    </w:p>
    <w:p>
      <w:pPr>
        <w:spacing w:after="0" w:line="210" w:lineRule="exact"/>
        <w:rPr>
          <w:sz w:val="20"/>
          <w:szCs w:val="20"/>
          <w:color w:val="auto"/>
        </w:rPr>
      </w:pPr>
    </w:p>
    <w:p>
      <w:pPr>
        <w:ind w:right="360" w:firstLine="436"/>
        <w:spacing w:after="0" w:line="239" w:lineRule="auto"/>
        <w:rPr>
          <w:sz w:val="20"/>
          <w:szCs w:val="20"/>
          <w:color w:val="auto"/>
        </w:rPr>
      </w:pPr>
      <w:r>
        <w:rPr>
          <w:rFonts w:ascii="Arial" w:cs="Arial" w:eastAsia="Arial" w:hAnsi="Arial"/>
          <w:sz w:val="16"/>
          <w:szCs w:val="16"/>
          <w:color w:val="auto"/>
        </w:rPr>
        <w:t>For its interim consolidated financial statements as of March 31, 2018 and for the three months then ended, the Company evaluated subsequent events through April 27, 2018, the date on which those financial statements were issued, and, with respect to the reverse share split described above, through May 14, 2018.</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2018 Incentive Award Plan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On May 11, 2018, the Company's board of directors and shareholders approved the 2018 Incentive Award Plan (the "2018 Plan"), which will become effective upon the date of the effectiveness of the registration statement for the Company's initial public offering. The 2018 Plan provides for the grant of incentive options, nonqualified options, share appreciation rights, restricted shares, dividend equivalents, restricted share units and other share- or cash-based awards. A total of 4,466,500 Class A common shares were initially reserved for issuance under the 2018 Plan. The number of Class A common shares that may be issued under the 2018 Plan will automatically increase on each January 1, beginning with the fiscal year ending December 31, 2019 and continuing for each fiscal year until, and including, the fiscal year ending December 31, 2028, equal to the lesser of (i) 4% of the Class A common shares outstanding (on an as-converted basis) on the final day of the immediately preceding calendar year and (ii) a smaller number of Class A common shares determined by the Company's board of directors. No more than 27,915,000 Class A common shares may be issued under the 2018 Plan upon the exercise of incentive options. The Class A common shares underlying any awards that expire, lapse unexercised or are terminated, exchanged for cash, surrendered, repurchased, canceled without having been fully exercised or forfeited under the 2018 Plan or the 2015 Plan will be added back to the Class A common shares available for issuance under the 2018 Plan.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2018 Employee Share Purchase Plan</w:t>
      </w:r>
    </w:p>
    <w:p>
      <w:pPr>
        <w:spacing w:after="0" w:line="20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On May 11, 2018, the Company's board of directors and shareholders approved the 2018 Employee Share Purchase Plan (the "2018 ESPP"), which will become effective upon the date of the effectiveness of the registration statement for the Company's initial public offering. A total of 670,000 Class A common shares were initially reserved for issuance under the 2018 ESPP. The number of Class A common shares that may be issued under the 2018 ESPP will automatically increase on each January 1, beginning with the fiscal year ending December 31, 2019 and continuing for each fiscal year until, and including, the fiscal year ending December 31, 2028, equal to the lesser of (i) 1% of the Class A common shares outstanding (on an as-converted basis) on the final day of the immediately preceding calendar year and (ii) a smaller number of Class A common shares determined by the Company's board of directors, provided that no more than 6,420,000 Class A common shares may be issued under the 2018 ESPP.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9" w:name="page260"/>
    <w:bookmarkEnd w:id="2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726122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122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8,477,777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125095</wp:posOffset>
            </wp:positionV>
            <wp:extent cx="139382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93825" cy="762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1664335</wp:posOffset>
            </wp:positionV>
            <wp:extent cx="139382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93825" cy="762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477520</wp:posOffset>
            </wp:positionV>
            <wp:extent cx="1539875" cy="10648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39875" cy="106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Goldman, Sachs &amp; Co. LLC</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J.P. Morgan</w:t>
      </w:r>
    </w:p>
    <w:p>
      <w:pPr>
        <w:jc w:val="center"/>
        <w:ind w:right="-139"/>
        <w:spacing w:after="0"/>
        <w:rPr>
          <w:sz w:val="20"/>
          <w:szCs w:val="20"/>
          <w:color w:val="auto"/>
        </w:rPr>
      </w:pPr>
      <w:r>
        <w:rPr>
          <w:rFonts w:ascii="Arial" w:cs="Arial" w:eastAsia="Arial" w:hAnsi="Arial"/>
          <w:sz w:val="22"/>
          <w:szCs w:val="22"/>
          <w:b w:val="1"/>
          <w:bCs w:val="1"/>
          <w:color w:val="auto"/>
        </w:rPr>
        <w:t>JMP Securities</w:t>
      </w:r>
    </w:p>
    <w:p>
      <w:pPr>
        <w:jc w:val="center"/>
        <w:ind w:right="-139"/>
        <w:spacing w:after="0"/>
        <w:rPr>
          <w:sz w:val="20"/>
          <w:szCs w:val="20"/>
          <w:color w:val="auto"/>
        </w:rPr>
      </w:pPr>
      <w:r>
        <w:rPr>
          <w:rFonts w:ascii="Arial" w:cs="Arial" w:eastAsia="Arial" w:hAnsi="Arial"/>
          <w:sz w:val="22"/>
          <w:szCs w:val="22"/>
          <w:b w:val="1"/>
          <w:bCs w:val="1"/>
          <w:color w:val="auto"/>
        </w:rPr>
        <w:t>Wedbush PacGrow</w:t>
      </w:r>
    </w:p>
    <w:p>
      <w:pPr>
        <w:spacing w:after="0" w:line="183" w:lineRule="exact"/>
        <w:rPr>
          <w:sz w:val="20"/>
          <w:szCs w:val="20"/>
          <w:color w:val="auto"/>
        </w:rPr>
      </w:pPr>
    </w:p>
    <w:p>
      <w:pPr>
        <w:ind w:firstLine="436"/>
        <w:spacing w:after="0" w:line="216" w:lineRule="auto"/>
        <w:rPr>
          <w:sz w:val="20"/>
          <w:szCs w:val="20"/>
          <w:color w:val="auto"/>
        </w:rPr>
      </w:pPr>
      <w:r>
        <w:rPr>
          <w:rFonts w:ascii="Arial" w:cs="Arial" w:eastAsia="Arial" w:hAnsi="Arial"/>
          <w:sz w:val="16"/>
          <w:szCs w:val="16"/>
          <w:b w:val="1"/>
          <w:bCs w:val="1"/>
          <w:color w:val="auto"/>
        </w:rPr>
        <w:t>Through and including June 17, 2018 (the 25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26122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7261225" cy="304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122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283845</wp:posOffset>
            </wp:positionV>
            <wp:extent cx="7266305"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260" w:name="page261"/>
    <w:bookmarkEnd w:id="2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1)"/>
      <w:numFmt w:val="decimal"/>
      <w:start w:val="1"/>
    </w:lvl>
  </w:abstractNum>
  <w:abstractNum w:abstractNumId="10">
    <w:nsid w:val="8F2B15E"/>
    <w:multiLevelType w:val="hybridMultilevel"/>
    <w:lvl w:ilvl="0">
      <w:lvlJc w:val="left"/>
      <w:lvlText w:val="(%1)"/>
      <w:numFmt w:val="decimal"/>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
      <w:numFmt w:val="bullet"/>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lvl w:ilvl="1">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1)"/>
      <w:numFmt w:val="decimal"/>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
      <w:numFmt w:val="bullet"/>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1."/>
      <w:numFmt w:val="decimal"/>
      <w:start w:val="716"/>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
      <w:numFmt w:val="bullet"/>
      <w:start w:val="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1)"/>
      <w:numFmt w:val="lowerLetter"/>
      <w:start w:val="2"/>
    </w:lvl>
  </w:abstractNum>
  <w:abstractNum w:abstractNumId="79">
    <w:nsid w:val="45E6D486"/>
    <w:multiLevelType w:val="hybridMultilevel"/>
    <w:lvl w:ilvl="0">
      <w:lvlJc w:val="left"/>
      <w:lvlText w:val="•"/>
      <w:numFmt w:val="bullet"/>
      <w:start w:val="1"/>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1)"/>
      <w:numFmt w:val="decimal"/>
      <w:start w:val="1"/>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
      <w:numFmt w:val="bullet"/>
      <w:start w:val="1"/>
    </w:lvl>
  </w:abstractNum>
  <w:abstractNum w:abstractNumId="89">
    <w:nsid w:val="69E373"/>
    <w:multiLevelType w:val="hybridMultilevel"/>
    <w:lvl w:ilvl="0">
      <w:lvlJc w:val="left"/>
      <w:lvlText w:val="(%1)"/>
      <w:numFmt w:val="decimal"/>
      <w:start w:val="1"/>
    </w:lvl>
  </w:abstractNum>
  <w:abstractNum w:abstractNumId="90">
    <w:nsid w:val="2C27173B"/>
    <w:multiLevelType w:val="hybridMultilevel"/>
    <w:lvl w:ilvl="0">
      <w:lvlJc w:val="left"/>
      <w:lvlText w:val="•"/>
      <w:numFmt w:val="bullet"/>
      <w:start w:val="1"/>
    </w:lvl>
    <w:lvl w:ilvl="1">
      <w:lvlJc w:val="left"/>
      <w:lvlText w:val="•"/>
      <w:numFmt w:val="bullet"/>
      <w:start w:val="1"/>
    </w:lvl>
  </w:abstractNum>
  <w:abstractNum w:abstractNumId="91">
    <w:nsid w:val="4C9B0904"/>
    <w:multiLevelType w:val="hybridMultilevel"/>
    <w:lvl w:ilvl="0">
      <w:lvlJc w:val="left"/>
      <w:lvlText w:val="•"/>
      <w:numFmt w:val="bullet"/>
      <w:start w:val="1"/>
    </w:lvl>
  </w:abstractNum>
  <w:abstractNum w:abstractNumId="92">
    <w:nsid w:val="6AA7B75C"/>
    <w:multiLevelType w:val="hybridMultilevel"/>
    <w:lvl w:ilvl="0">
      <w:lvlJc w:val="left"/>
      <w:lvlText w:val="•"/>
      <w:numFmt w:val="bullet"/>
      <w:start w:val="1"/>
    </w:lvl>
  </w:abstractNum>
  <w:abstractNum w:abstractNumId="93">
    <w:nsid w:val="1DF029D3"/>
    <w:multiLevelType w:val="hybridMultilevel"/>
    <w:lvl w:ilvl="0">
      <w:lvlJc w:val="left"/>
      <w:lvlText w:val="(%1)"/>
      <w:numFmt w:val="decimal"/>
      <w:start w:val="1"/>
    </w:lvl>
  </w:abstractNum>
  <w:abstractNum w:abstractNumId="94">
    <w:nsid w:val="5675FF36"/>
    <w:multiLevelType w:val="hybridMultilevel"/>
    <w:lvl w:ilvl="0">
      <w:lvlJc w:val="left"/>
      <w:lvlText w:val="•"/>
      <w:numFmt w:val="bullet"/>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1)"/>
      <w:numFmt w:val="decimal"/>
      <w:start w:val="1"/>
    </w:lvl>
  </w:abstractNum>
  <w:abstractNum w:abstractNumId="97">
    <w:nsid w:val="2708C9AF"/>
    <w:multiLevelType w:val="hybridMultilevel"/>
    <w:lvl w:ilvl="0">
      <w:lvlJc w:val="left"/>
      <w:lvlText w:val="(%1)"/>
      <w:numFmt w:val="decimal"/>
      <w:start w:val="5"/>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
      <w:numFmt w:val="bullet"/>
      <w:start w:val="1"/>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
      <w:numFmt w:val="bullet"/>
      <w:start w:val="1"/>
    </w:lvl>
  </w:abstractNum>
  <w:abstractNum w:abstractNumId="104">
    <w:nsid w:val="56438D15"/>
    <w:multiLevelType w:val="hybridMultilevel"/>
    <w:lvl w:ilvl="0">
      <w:lvlJc w:val="left"/>
      <w:lvlText w:val="•"/>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
      <w:numFmt w:val="bullet"/>
      <w:start w:val="1"/>
    </w:lvl>
  </w:abstractNum>
  <w:abstractNum w:abstractNumId="110">
    <w:nsid w:val="5D888A08"/>
    <w:multiLevelType w:val="hybridMultilevel"/>
    <w:lvl w:ilvl="0">
      <w:lvlJc w:val="left"/>
      <w:lvlText w:val="•"/>
      <w:numFmt w:val="bullet"/>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
      <w:numFmt w:val="bullet"/>
      <w:start w:val="1"/>
    </w:lvl>
  </w:abstractNum>
  <w:abstractNum w:abstractNumId="113">
    <w:nsid w:val="19E21BB2"/>
    <w:multiLevelType w:val="hybridMultilevel"/>
    <w:lvl w:ilvl="0">
      <w:lvlJc w:val="left"/>
      <w:lvlText w:val="•"/>
      <w:numFmt w:val="bullet"/>
      <w:start w:val="1"/>
    </w:lvl>
  </w:abstractNum>
  <w:abstractNum w:abstractNumId="114">
    <w:nsid w:val="75E0858A"/>
    <w:multiLevelType w:val="hybridMultilevel"/>
    <w:lvl w:ilvl="0">
      <w:lvlJc w:val="left"/>
      <w:lvlText w:val="•"/>
      <w:numFmt w:val="bullet"/>
      <w:start w:val="1"/>
    </w:lvl>
    <w:lvl w:ilvl="1">
      <w:lvlJc w:val="left"/>
      <w:lvlText w:val="•"/>
      <w:numFmt w:val="bullet"/>
      <w:start w:val="1"/>
    </w:lvl>
  </w:abstractNum>
  <w:abstractNum w:abstractNumId="115">
    <w:nsid w:val="57A61A29"/>
    <w:multiLevelType w:val="hybridMultilevel"/>
    <w:lvl w:ilvl="0">
      <w:lvlJc w:val="left"/>
      <w:lvlText w:val="•"/>
      <w:numFmt w:val="bullet"/>
      <w:start w:val="1"/>
    </w:lvl>
    <w:lvl w:ilvl="1">
      <w:lvlJc w:val="left"/>
      <w:lvlText w:val="•"/>
      <w:numFmt w:val="bullet"/>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
      <w:numFmt w:val="bullet"/>
      <w:start w:val="1"/>
    </w:lvl>
    <w:lvl w:ilvl="1">
      <w:lvlJc w:val="left"/>
      <w:lvlText w:val="•"/>
      <w:numFmt w:val="bullet"/>
      <w:start w:val="1"/>
    </w:lvl>
  </w:abstractNum>
  <w:abstractNum w:abstractNumId="118">
    <w:nsid w:val="4427069A"/>
    <w:multiLevelType w:val="hybridMultilevel"/>
    <w:lvl w:ilvl="0">
      <w:lvlJc w:val="left"/>
      <w:lvlText w:val="•"/>
      <w:numFmt w:val="bullet"/>
      <w:start w:val="1"/>
    </w:lvl>
  </w:abstractNum>
  <w:abstractNum w:abstractNumId="119">
    <w:nsid w:val="B37E80A"/>
    <w:multiLevelType w:val="hybridMultilevel"/>
    <w:lvl w:ilvl="0">
      <w:lvlJc w:val="left"/>
      <w:lvlText w:val="•"/>
      <w:numFmt w:val="bullet"/>
      <w:start w:val="1"/>
    </w:lvl>
  </w:abstractNum>
  <w:abstractNum w:abstractNumId="120">
    <w:nsid w:val="2157F6BC"/>
    <w:multiLevelType w:val="hybridMultilevel"/>
    <w:lvl w:ilvl="0">
      <w:lvlJc w:val="left"/>
      <w:lvlText w:val="•"/>
      <w:numFmt w:val="bullet"/>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
      <w:numFmt w:val="bullet"/>
      <w:start w:val="1"/>
    </w:lvl>
  </w:abstractNum>
  <w:abstractNum w:abstractNumId="123">
    <w:nsid w:val="BFFAE18"/>
    <w:multiLevelType w:val="hybridMultilevel"/>
    <w:lvl w:ilvl="0">
      <w:lvlJc w:val="left"/>
      <w:lvlText w:val="•"/>
      <w:numFmt w:val="bullet"/>
      <w:start w:val="1"/>
    </w:lvl>
  </w:abstractNum>
  <w:abstractNum w:abstractNumId="124">
    <w:nsid w:val="E3E47A8"/>
    <w:multiLevelType w:val="hybridMultilevel"/>
    <w:lvl w:ilvl="0">
      <w:lvlJc w:val="left"/>
      <w:lvlText w:val="•"/>
      <w:numFmt w:val="bullet"/>
      <w:start w:val="1"/>
    </w:lvl>
    <w:lvl w:ilvl="1">
      <w:lvlJc w:val="left"/>
      <w:lvlText w:val="(%2)"/>
      <w:numFmt w:val="decimal"/>
      <w:start w:val="1"/>
    </w:lvl>
  </w:abstractNum>
  <w:abstractNum w:abstractNumId="125">
    <w:nsid w:val="2E48F044"/>
    <w:multiLevelType w:val="hybridMultilevel"/>
    <w:lvl w:ilvl="0">
      <w:lvlJc w:val="left"/>
      <w:lvlText w:val="•"/>
      <w:numFmt w:val="bullet"/>
      <w:start w:val="1"/>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1."/>
      <w:numFmt w:val="decimal"/>
      <w:start w:val="2"/>
    </w:lvl>
  </w:abstractNum>
  <w:abstractNum w:abstractNumId="134">
    <w:nsid w:val="7DFF9D09"/>
    <w:multiLevelType w:val="hybridMultilevel"/>
    <w:lvl w:ilvl="0">
      <w:lvlJc w:val="left"/>
      <w:lvlText w:val="%1."/>
      <w:numFmt w:val="decimal"/>
      <w:start w:val="2"/>
    </w:lvl>
  </w:abstractNum>
  <w:abstractNum w:abstractNumId="135">
    <w:nsid w:val="754342"/>
    <w:multiLevelType w:val="hybridMultilevel"/>
    <w:lvl w:ilvl="0">
      <w:lvlJc w:val="left"/>
      <w:lvlText w:val="%1."/>
      <w:numFmt w:val="decimal"/>
      <w:start w:val="2"/>
    </w:lvl>
  </w:abstractNum>
  <w:abstractNum w:abstractNumId="136">
    <w:nsid w:val="69E7F3E5"/>
    <w:multiLevelType w:val="hybridMultilevel"/>
    <w:lvl w:ilvl="0">
      <w:lvlJc w:val="left"/>
      <w:lvlText w:val="•"/>
      <w:numFmt w:val="bullet"/>
      <w:start w:val="1"/>
    </w:lvl>
  </w:abstractNum>
  <w:abstractNum w:abstractNumId="137">
    <w:nsid w:val="2A6DE806"/>
    <w:multiLevelType w:val="hybridMultilevel"/>
    <w:lvl w:ilvl="0">
      <w:lvlJc w:val="left"/>
      <w:lvlText w:val="%1."/>
      <w:numFmt w:val="decimal"/>
      <w:start w:val="2"/>
    </w:lvl>
  </w:abstractNum>
  <w:abstractNum w:abstractNumId="138">
    <w:nsid w:val="1816F8C4"/>
    <w:multiLevelType w:val="hybridMultilevel"/>
    <w:lvl w:ilvl="0">
      <w:lvlJc w:val="left"/>
      <w:lvlText w:val="%1."/>
      <w:numFmt w:val="decimal"/>
      <w:start w:val="6"/>
    </w:lvl>
  </w:abstractNum>
  <w:abstractNum w:abstractNumId="139">
    <w:nsid w:val="37DF2233"/>
    <w:multiLevelType w:val="hybridMultilevel"/>
    <w:lvl w:ilvl="0">
      <w:lvlJc w:val="left"/>
      <w:lvlText w:val="%1."/>
      <w:numFmt w:val="decimal"/>
      <w:start w:val="7"/>
    </w:lvl>
  </w:abstractNum>
  <w:abstractNum w:abstractNumId="140">
    <w:nsid w:val="7AB49DAF"/>
    <w:multiLevelType w:val="hybridMultilevel"/>
    <w:lvl w:ilvl="0">
      <w:lvlJc w:val="left"/>
      <w:lvlText w:val="%1."/>
      <w:numFmt w:val="decimal"/>
      <w:start w:val="8"/>
    </w:lvl>
  </w:abstractNum>
  <w:abstractNum w:abstractNumId="141">
    <w:nsid w:val="759F82CD"/>
    <w:multiLevelType w:val="hybridMultilevel"/>
    <w:lvl w:ilvl="0">
      <w:lvlJc w:val="left"/>
      <w:lvlText w:val="%1."/>
      <w:numFmt w:val="decimal"/>
      <w:start w:val="8"/>
    </w:lvl>
  </w:abstractNum>
  <w:abstractNum w:abstractNumId="142">
    <w:nsid w:val="61E74EA3"/>
    <w:multiLevelType w:val="hybridMultilevel"/>
    <w:lvl w:ilvl="0">
      <w:lvlJc w:val="left"/>
      <w:lvlText w:val="%1."/>
      <w:numFmt w:val="decimal"/>
      <w:start w:val="8"/>
    </w:lvl>
  </w:abstractNum>
  <w:abstractNum w:abstractNumId="143">
    <w:nsid w:val="597B4D84"/>
    <w:multiLevelType w:val="hybridMultilevel"/>
    <w:lvl w:ilvl="0">
      <w:lvlJc w:val="left"/>
      <w:lvlText w:val="%1."/>
      <w:numFmt w:val="decimal"/>
      <w:start w:val="9"/>
    </w:lvl>
  </w:abstractNum>
  <w:abstractNum w:abstractNumId="144">
    <w:nsid w:val="F819E7F"/>
    <w:multiLevelType w:val="hybridMultilevel"/>
    <w:lvl w:ilvl="0">
      <w:lvlJc w:val="left"/>
      <w:lvlText w:val="%1."/>
      <w:numFmt w:val="decimal"/>
      <w:start w:val="12"/>
    </w:lvl>
  </w:abstractNum>
  <w:abstractNum w:abstractNumId="145">
    <w:nsid w:val="57C7D42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2019-12-08T17:48:12Z</dcterms:created>
  <dcterms:modified xsi:type="dcterms:W3CDTF">2019-12-08T17:48:12Z</dcterms:modified>
</cp:coreProperties>
</file>