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194945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6" w:lineRule="exact"/>
        <w:rPr>
          <w:sz w:val="24"/>
          <w:szCs w:val="24"/>
          <w:color w:val="auto"/>
        </w:rPr>
      </w:pPr>
    </w:p>
    <w:p>
      <w:pPr>
        <w:jc w:val="center"/>
        <w:ind w:right="-8"/>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8"/>
        <w:spacing w:after="0"/>
        <w:rPr>
          <w:sz w:val="20"/>
          <w:szCs w:val="20"/>
          <w:color w:val="auto"/>
        </w:rPr>
      </w:pPr>
      <w:r>
        <w:rPr>
          <w:rFonts w:ascii="Arial" w:cs="Arial" w:eastAsia="Arial" w:hAnsi="Arial"/>
          <w:sz w:val="23"/>
          <w:szCs w:val="23"/>
          <w:b w:val="1"/>
          <w:bCs w:val="1"/>
          <w:color w:val="auto"/>
        </w:rPr>
        <w:t>SECURITIES AND EXCHANGE COMMISSION</w:t>
      </w:r>
    </w:p>
    <w:p>
      <w:pPr>
        <w:spacing w:after="0" w:line="7" w:lineRule="exact"/>
        <w:rPr>
          <w:sz w:val="24"/>
          <w:szCs w:val="24"/>
          <w:color w:val="auto"/>
        </w:rPr>
      </w:pPr>
    </w:p>
    <w:p>
      <w:pPr>
        <w:jc w:val="center"/>
        <w:ind w:right="-8"/>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87630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48" w:lineRule="exact"/>
        <w:rPr>
          <w:sz w:val="24"/>
          <w:szCs w:val="24"/>
          <w:color w:val="auto"/>
        </w:rPr>
      </w:pPr>
    </w:p>
    <w:p>
      <w:pPr>
        <w:jc w:val="center"/>
        <w:ind w:right="-8"/>
        <w:spacing w:after="0"/>
        <w:rPr>
          <w:sz w:val="20"/>
          <w:szCs w:val="20"/>
          <w:color w:val="auto"/>
        </w:rPr>
      </w:pPr>
      <w:r>
        <w:rPr>
          <w:rFonts w:ascii="Arial" w:cs="Arial" w:eastAsia="Arial" w:hAnsi="Arial"/>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118110</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10" w:lineRule="exact"/>
        <w:rPr>
          <w:sz w:val="24"/>
          <w:szCs w:val="24"/>
          <w:color w:val="auto"/>
        </w:rPr>
      </w:pPr>
    </w:p>
    <w:p>
      <w:pPr>
        <w:ind w:left="9"/>
        <w:spacing w:after="0"/>
        <w:rPr>
          <w:sz w:val="20"/>
          <w:szCs w:val="20"/>
          <w:color w:val="auto"/>
        </w:rPr>
      </w:pPr>
      <w:r>
        <w:rPr>
          <w:rFonts w:ascii="Arial" w:cs="Arial" w:eastAsia="Arial" w:hAnsi="Arial"/>
          <w:sz w:val="13"/>
          <w:szCs w:val="13"/>
          <w:b w:val="1"/>
          <w:bCs w:val="1"/>
          <w:color w:val="auto"/>
        </w:rPr>
        <w:t>(Mark One)</w:t>
      </w:r>
    </w:p>
    <w:p>
      <w:pPr>
        <w:spacing w:after="0" w:line="30" w:lineRule="exact"/>
        <w:rPr>
          <w:sz w:val="24"/>
          <w:szCs w:val="24"/>
          <w:color w:val="auto"/>
        </w:rPr>
      </w:pPr>
    </w:p>
    <w:p>
      <w:pPr>
        <w:ind w:left="209" w:hanging="209"/>
        <w:spacing w:after="0"/>
        <w:tabs>
          <w:tab w:leader="none" w:pos="20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82" w:lineRule="exact"/>
        <w:rPr>
          <w:sz w:val="24"/>
          <w:szCs w:val="24"/>
          <w:color w:val="auto"/>
        </w:rPr>
      </w:pPr>
    </w:p>
    <w:p>
      <w:pPr>
        <w:jc w:val="center"/>
        <w:ind w:right="-8"/>
        <w:spacing w:after="0"/>
        <w:rPr>
          <w:sz w:val="20"/>
          <w:szCs w:val="20"/>
          <w:color w:val="auto"/>
        </w:rPr>
      </w:pPr>
      <w:r>
        <w:rPr>
          <w:rFonts w:ascii="Arial" w:cs="Arial" w:eastAsia="Arial" w:hAnsi="Arial"/>
          <w:sz w:val="13"/>
          <w:szCs w:val="13"/>
          <w:b w:val="1"/>
          <w:bCs w:val="1"/>
          <w:color w:val="auto"/>
        </w:rPr>
        <w:t>For the fiscal year ended December 31, 2019</w:t>
      </w:r>
    </w:p>
    <w:p>
      <w:pPr>
        <w:spacing w:after="0" w:line="53" w:lineRule="exact"/>
        <w:rPr>
          <w:sz w:val="24"/>
          <w:szCs w:val="24"/>
          <w:color w:val="auto"/>
        </w:rPr>
      </w:pPr>
    </w:p>
    <w:p>
      <w:pPr>
        <w:jc w:val="center"/>
        <w:ind w:right="-8"/>
        <w:spacing w:after="0"/>
        <w:rPr>
          <w:sz w:val="20"/>
          <w:szCs w:val="20"/>
          <w:color w:val="auto"/>
        </w:rPr>
      </w:pPr>
      <w:r>
        <w:rPr>
          <w:rFonts w:ascii="Arial" w:cs="Arial" w:eastAsia="Arial" w:hAnsi="Arial"/>
          <w:sz w:val="13"/>
          <w:szCs w:val="13"/>
          <w:b w:val="1"/>
          <w:bCs w:val="1"/>
          <w:color w:val="auto"/>
        </w:rPr>
        <w:t>OR</w:t>
      </w:r>
    </w:p>
    <w:p>
      <w:pPr>
        <w:spacing w:after="0" w:line="57" w:lineRule="exact"/>
        <w:rPr>
          <w:sz w:val="24"/>
          <w:szCs w:val="24"/>
          <w:color w:val="auto"/>
        </w:rPr>
      </w:pPr>
    </w:p>
    <w:p>
      <w:pPr>
        <w:ind w:left="209" w:hanging="209"/>
        <w:spacing w:after="0"/>
        <w:tabs>
          <w:tab w:leader="none" w:pos="209"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0409"/>
          </w:cols>
          <w:pgMar w:left="751" w:top="233" w:right="739" w:bottom="1440" w:gutter="0" w:footer="0" w:header="0"/>
        </w:sectPr>
      </w:pPr>
    </w:p>
    <w:p>
      <w:pPr>
        <w:spacing w:after="0" w:line="82" w:lineRule="exact"/>
        <w:rPr>
          <w:sz w:val="24"/>
          <w:szCs w:val="24"/>
          <w:color w:val="auto"/>
        </w:rPr>
      </w:pPr>
    </w:p>
    <w:p>
      <w:pPr>
        <w:ind w:left="3669"/>
        <w:spacing w:after="0"/>
        <w:rPr>
          <w:sz w:val="20"/>
          <w:szCs w:val="20"/>
          <w:color w:val="auto"/>
        </w:rPr>
      </w:pPr>
      <w:r>
        <w:rPr>
          <w:rFonts w:ascii="Arial" w:cs="Arial" w:eastAsia="Arial" w:hAnsi="Arial"/>
          <w:sz w:val="11"/>
          <w:szCs w:val="11"/>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65" w:lineRule="exact"/>
        <w:rPr>
          <w:sz w:val="24"/>
          <w:szCs w:val="24"/>
          <w:color w:val="auto"/>
        </w:rPr>
      </w:pPr>
    </w:p>
    <w:p>
      <w:pPr>
        <w:sectPr>
          <w:pgSz w:w="11900" w:h="16838" w:orient="portrait"/>
          <w:cols w:equalWidth="0" w:num="2">
            <w:col w:w="5309" w:space="680"/>
            <w:col w:w="4420"/>
          </w:cols>
          <w:pgMar w:left="751" w:top="233" w:right="739" w:bottom="1440" w:gutter="0" w:footer="0" w:header="0"/>
          <w:type w:val="continuous"/>
        </w:sectPr>
      </w:pPr>
    </w:p>
    <w:p>
      <w:pPr>
        <w:jc w:val="center"/>
        <w:ind w:right="11"/>
        <w:spacing w:after="0"/>
        <w:rPr>
          <w:sz w:val="20"/>
          <w:szCs w:val="20"/>
          <w:color w:val="auto"/>
        </w:rPr>
      </w:pPr>
      <w:r>
        <w:rPr>
          <w:rFonts w:ascii="Arial" w:cs="Arial" w:eastAsia="Arial" w:hAnsi="Arial"/>
          <w:sz w:val="11"/>
          <w:szCs w:val="11"/>
          <w:b w:val="1"/>
          <w:bCs w:val="1"/>
          <w:color w:val="auto"/>
        </w:rPr>
        <w:t>Commission file number: 001-38492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128270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type w:val="continuous"/>
        </w:sectPr>
      </w:pPr>
    </w:p>
    <w:p>
      <w:pPr>
        <w:spacing w:after="0" w:line="359" w:lineRule="exact"/>
        <w:rPr>
          <w:sz w:val="24"/>
          <w:szCs w:val="24"/>
          <w:color w:val="auto"/>
        </w:rPr>
      </w:pPr>
    </w:p>
    <w:tbl>
      <w:tblPr>
        <w:tblLayout w:type="fixed"/>
        <w:tblInd w:w="1789" w:type="dxa"/>
        <w:tblCellMar>
          <w:top w:w="0" w:type="dxa"/>
          <w:left w:w="0" w:type="dxa"/>
          <w:bottom w:w="0" w:type="dxa"/>
          <w:right w:w="0" w:type="dxa"/>
        </w:tblCellMar>
      </w:tblPr>
      <w:tr>
        <w:trPr>
          <w:trHeight w:val="288"/>
        </w:trPr>
        <w:tc>
          <w:tcPr>
            <w:tcW w:w="1700" w:type="dxa"/>
            <w:vAlign w:val="bottom"/>
          </w:tcPr>
          <w:p>
            <w:pPr>
              <w:spacing w:after="0"/>
              <w:rPr>
                <w:sz w:val="24"/>
                <w:szCs w:val="24"/>
                <w:color w:val="auto"/>
              </w:rPr>
            </w:pPr>
          </w:p>
        </w:tc>
        <w:tc>
          <w:tcPr>
            <w:tcW w:w="4960" w:type="dxa"/>
            <w:vAlign w:val="bottom"/>
            <w:gridSpan w:val="3"/>
          </w:tcPr>
          <w:p>
            <w:pPr>
              <w:jc w:val="center"/>
              <w:ind w:right="1457"/>
              <w:spacing w:after="0"/>
              <w:rPr>
                <w:sz w:val="20"/>
                <w:szCs w:val="20"/>
                <w:color w:val="auto"/>
              </w:rPr>
            </w:pPr>
            <w:r>
              <w:rPr>
                <w:rFonts w:ascii="Arial" w:cs="Arial" w:eastAsia="Arial" w:hAnsi="Arial"/>
                <w:sz w:val="23"/>
                <w:szCs w:val="23"/>
                <w:b w:val="1"/>
                <w:bCs w:val="1"/>
                <w:color w:val="auto"/>
                <w:w w:val="93"/>
              </w:rPr>
              <w:t>Kiniksa Pharmaceuticals, Ltd.</w:t>
            </w:r>
          </w:p>
        </w:tc>
      </w:tr>
      <w:tr>
        <w:trPr>
          <w:trHeight w:val="160"/>
        </w:trPr>
        <w:tc>
          <w:tcPr>
            <w:tcW w:w="1700" w:type="dxa"/>
            <w:vAlign w:val="bottom"/>
          </w:tcPr>
          <w:p>
            <w:pPr>
              <w:spacing w:after="0"/>
              <w:rPr>
                <w:sz w:val="13"/>
                <w:szCs w:val="13"/>
                <w:color w:val="auto"/>
              </w:rPr>
            </w:pPr>
          </w:p>
        </w:tc>
        <w:tc>
          <w:tcPr>
            <w:tcW w:w="4960" w:type="dxa"/>
            <w:vAlign w:val="bottom"/>
            <w:gridSpan w:val="3"/>
          </w:tcPr>
          <w:p>
            <w:pPr>
              <w:jc w:val="center"/>
              <w:ind w:right="1497"/>
              <w:spacing w:after="0"/>
              <w:rPr>
                <w:sz w:val="20"/>
                <w:szCs w:val="20"/>
                <w:color w:val="auto"/>
              </w:rPr>
            </w:pPr>
            <w:r>
              <w:rPr>
                <w:rFonts w:ascii="Arial" w:cs="Arial" w:eastAsia="Arial" w:hAnsi="Arial"/>
                <w:sz w:val="13"/>
                <w:szCs w:val="13"/>
                <w:color w:val="auto"/>
                <w:w w:val="87"/>
              </w:rPr>
              <w:t>(Exact name of registrant as specified in its charter)</w:t>
            </w:r>
          </w:p>
        </w:tc>
      </w:tr>
      <w:tr>
        <w:trPr>
          <w:trHeight w:val="97"/>
        </w:trPr>
        <w:tc>
          <w:tcPr>
            <w:tcW w:w="1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r>
      <w:tr>
        <w:trPr>
          <w:trHeight w:val="303"/>
        </w:trPr>
        <w:tc>
          <w:tcPr>
            <w:tcW w:w="1700" w:type="dxa"/>
            <w:vAlign w:val="bottom"/>
          </w:tcPr>
          <w:p>
            <w:pPr>
              <w:jc w:val="center"/>
              <w:ind w:right="97"/>
              <w:spacing w:after="0"/>
              <w:rPr>
                <w:sz w:val="20"/>
                <w:szCs w:val="20"/>
                <w:color w:val="auto"/>
              </w:rPr>
            </w:pPr>
            <w:r>
              <w:rPr>
                <w:rFonts w:ascii="Arial" w:cs="Arial" w:eastAsia="Arial" w:hAnsi="Arial"/>
                <w:sz w:val="13"/>
                <w:szCs w:val="13"/>
                <w:b w:val="1"/>
                <w:bCs w:val="1"/>
                <w:color w:val="auto"/>
                <w:w w:val="88"/>
              </w:rPr>
              <w:t>Bermuda</w:t>
            </w:r>
          </w:p>
        </w:tc>
        <w:tc>
          <w:tcPr>
            <w:tcW w:w="4960" w:type="dxa"/>
            <w:vAlign w:val="bottom"/>
            <w:gridSpan w:val="3"/>
          </w:tcPr>
          <w:p>
            <w:pPr>
              <w:jc w:val="center"/>
              <w:ind w:left="3703"/>
              <w:spacing w:after="0"/>
              <w:rPr>
                <w:sz w:val="20"/>
                <w:szCs w:val="20"/>
                <w:color w:val="auto"/>
              </w:rPr>
            </w:pPr>
            <w:r>
              <w:rPr>
                <w:rFonts w:ascii="Arial" w:cs="Arial" w:eastAsia="Arial" w:hAnsi="Arial"/>
                <w:sz w:val="13"/>
                <w:szCs w:val="13"/>
                <w:b w:val="1"/>
                <w:bCs w:val="1"/>
                <w:color w:val="auto"/>
                <w:w w:val="89"/>
              </w:rPr>
              <w:t>98-1327726</w:t>
            </w:r>
          </w:p>
        </w:tc>
      </w:tr>
      <w:tr>
        <w:trPr>
          <w:trHeight w:val="135"/>
        </w:trPr>
        <w:tc>
          <w:tcPr>
            <w:tcW w:w="170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89"/>
              </w:rPr>
              <w:t>(State or other jurisdiction of</w:t>
            </w:r>
          </w:p>
        </w:tc>
        <w:tc>
          <w:tcPr>
            <w:tcW w:w="4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4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90"/>
              </w:rPr>
              <w:t>(I.R.S. Employer</w:t>
            </w:r>
          </w:p>
        </w:tc>
      </w:tr>
      <w:tr>
        <w:trPr>
          <w:trHeight w:val="160"/>
        </w:trPr>
        <w:tc>
          <w:tcPr>
            <w:tcW w:w="1700" w:type="dxa"/>
            <w:vAlign w:val="bottom"/>
          </w:tcPr>
          <w:p>
            <w:pPr>
              <w:jc w:val="center"/>
              <w:ind w:right="117"/>
              <w:spacing w:after="0"/>
              <w:rPr>
                <w:sz w:val="20"/>
                <w:szCs w:val="20"/>
                <w:color w:val="auto"/>
              </w:rPr>
            </w:pPr>
            <w:r>
              <w:rPr>
                <w:rFonts w:ascii="Arial" w:cs="Arial" w:eastAsia="Arial" w:hAnsi="Arial"/>
                <w:sz w:val="13"/>
                <w:szCs w:val="13"/>
                <w:color w:val="auto"/>
                <w:w w:val="89"/>
              </w:rPr>
              <w:t>incorporation or organization)</w:t>
            </w:r>
          </w:p>
        </w:tc>
        <w:tc>
          <w:tcPr>
            <w:tcW w:w="4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940" w:type="dxa"/>
            <w:vAlign w:val="bottom"/>
          </w:tcPr>
          <w:p>
            <w:pPr>
              <w:jc w:val="center"/>
              <w:ind w:left="697"/>
              <w:spacing w:after="0"/>
              <w:rPr>
                <w:sz w:val="20"/>
                <w:szCs w:val="20"/>
                <w:color w:val="auto"/>
              </w:rPr>
            </w:pPr>
            <w:r>
              <w:rPr>
                <w:rFonts w:ascii="Arial" w:cs="Arial" w:eastAsia="Arial" w:hAnsi="Arial"/>
                <w:sz w:val="13"/>
                <w:szCs w:val="13"/>
                <w:color w:val="auto"/>
                <w:w w:val="92"/>
              </w:rPr>
              <w:t>Identification Number)</w:t>
            </w:r>
          </w:p>
        </w:tc>
      </w:tr>
      <w:tr>
        <w:trPr>
          <w:trHeight w:val="173"/>
        </w:trPr>
        <w:tc>
          <w:tcPr>
            <w:tcW w:w="1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540" w:type="dxa"/>
            <w:vAlign w:val="bottom"/>
            <w:gridSpan w:val="2"/>
          </w:tcPr>
          <w:p>
            <w:pPr>
              <w:jc w:val="center"/>
              <w:ind w:right="1877"/>
              <w:spacing w:after="0"/>
              <w:rPr>
                <w:sz w:val="20"/>
                <w:szCs w:val="20"/>
                <w:color w:val="auto"/>
              </w:rPr>
            </w:pPr>
            <w:r>
              <w:rPr>
                <w:rFonts w:ascii="Arial" w:cs="Arial" w:eastAsia="Arial" w:hAnsi="Arial"/>
                <w:sz w:val="13"/>
                <w:szCs w:val="13"/>
                <w:b w:val="1"/>
                <w:bCs w:val="1"/>
                <w:color w:val="auto"/>
                <w:w w:val="88"/>
              </w:rPr>
              <w:t>Kiniksa Pharmaceuticals, Ltd.</w:t>
            </w:r>
          </w:p>
        </w:tc>
      </w:tr>
      <w:tr>
        <w:trPr>
          <w:trHeight w:val="135"/>
        </w:trPr>
        <w:tc>
          <w:tcPr>
            <w:tcW w:w="1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540" w:type="dxa"/>
            <w:vAlign w:val="bottom"/>
            <w:gridSpan w:val="2"/>
          </w:tcPr>
          <w:p>
            <w:pPr>
              <w:jc w:val="center"/>
              <w:ind w:right="1897"/>
              <w:spacing w:after="0" w:line="135" w:lineRule="exact"/>
              <w:rPr>
                <w:sz w:val="20"/>
                <w:szCs w:val="20"/>
                <w:color w:val="auto"/>
              </w:rPr>
            </w:pPr>
            <w:r>
              <w:rPr>
                <w:rFonts w:ascii="Arial" w:cs="Arial" w:eastAsia="Arial" w:hAnsi="Arial"/>
                <w:sz w:val="13"/>
                <w:szCs w:val="13"/>
                <w:b w:val="1"/>
                <w:bCs w:val="1"/>
                <w:color w:val="auto"/>
                <w:w w:val="87"/>
              </w:rPr>
              <w:t>Clarendon House</w:t>
            </w:r>
          </w:p>
        </w:tc>
      </w:tr>
      <w:tr>
        <w:trPr>
          <w:trHeight w:val="135"/>
        </w:trPr>
        <w:tc>
          <w:tcPr>
            <w:tcW w:w="1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540" w:type="dxa"/>
            <w:vAlign w:val="bottom"/>
            <w:gridSpan w:val="2"/>
          </w:tcPr>
          <w:p>
            <w:pPr>
              <w:jc w:val="center"/>
              <w:ind w:right="1897"/>
              <w:spacing w:after="0" w:line="135" w:lineRule="exact"/>
              <w:rPr>
                <w:sz w:val="20"/>
                <w:szCs w:val="20"/>
                <w:color w:val="auto"/>
              </w:rPr>
            </w:pPr>
            <w:r>
              <w:rPr>
                <w:rFonts w:ascii="Arial" w:cs="Arial" w:eastAsia="Arial" w:hAnsi="Arial"/>
                <w:sz w:val="13"/>
                <w:szCs w:val="13"/>
                <w:b w:val="1"/>
                <w:bCs w:val="1"/>
                <w:color w:val="auto"/>
                <w:w w:val="88"/>
              </w:rPr>
              <w:t>2 Church Street</w:t>
            </w:r>
          </w:p>
        </w:tc>
      </w:tr>
      <w:tr>
        <w:trPr>
          <w:trHeight w:val="135"/>
        </w:trPr>
        <w:tc>
          <w:tcPr>
            <w:tcW w:w="1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540" w:type="dxa"/>
            <w:vAlign w:val="bottom"/>
            <w:gridSpan w:val="2"/>
          </w:tcPr>
          <w:p>
            <w:pPr>
              <w:jc w:val="center"/>
              <w:ind w:right="1877"/>
              <w:spacing w:after="0" w:line="135" w:lineRule="exact"/>
              <w:rPr>
                <w:sz w:val="20"/>
                <w:szCs w:val="20"/>
                <w:color w:val="auto"/>
              </w:rPr>
            </w:pPr>
            <w:r>
              <w:rPr>
                <w:rFonts w:ascii="Arial" w:cs="Arial" w:eastAsia="Arial" w:hAnsi="Arial"/>
                <w:sz w:val="13"/>
                <w:szCs w:val="13"/>
                <w:b w:val="1"/>
                <w:bCs w:val="1"/>
                <w:color w:val="auto"/>
                <w:w w:val="91"/>
              </w:rPr>
              <w:t>Hamilton HM11, Bermuda</w:t>
            </w:r>
          </w:p>
        </w:tc>
      </w:tr>
      <w:tr>
        <w:trPr>
          <w:trHeight w:val="149"/>
        </w:trPr>
        <w:tc>
          <w:tcPr>
            <w:tcW w:w="1700" w:type="dxa"/>
            <w:vAlign w:val="bottom"/>
          </w:tcPr>
          <w:p>
            <w:pPr>
              <w:spacing w:after="0"/>
              <w:rPr>
                <w:sz w:val="12"/>
                <w:szCs w:val="12"/>
                <w:color w:val="auto"/>
              </w:rPr>
            </w:pPr>
          </w:p>
        </w:tc>
        <w:tc>
          <w:tcPr>
            <w:tcW w:w="3020" w:type="dxa"/>
            <w:vAlign w:val="bottom"/>
            <w:gridSpan w:val="2"/>
          </w:tcPr>
          <w:p>
            <w:pPr>
              <w:jc w:val="center"/>
              <w:ind w:left="323"/>
              <w:spacing w:after="0"/>
              <w:rPr>
                <w:sz w:val="20"/>
                <w:szCs w:val="20"/>
                <w:color w:val="auto"/>
              </w:rPr>
            </w:pPr>
            <w:r>
              <w:rPr>
                <w:rFonts w:ascii="Arial" w:cs="Arial" w:eastAsia="Arial" w:hAnsi="Arial"/>
                <w:sz w:val="13"/>
                <w:szCs w:val="13"/>
                <w:b w:val="1"/>
                <w:bCs w:val="1"/>
                <w:color w:val="auto"/>
                <w:w w:val="89"/>
              </w:rPr>
              <w:t>+ (44) 808-189-6257</w:t>
            </w:r>
          </w:p>
        </w:tc>
        <w:tc>
          <w:tcPr>
            <w:tcW w:w="1940" w:type="dxa"/>
            <w:vAlign w:val="bottom"/>
          </w:tcPr>
          <w:p>
            <w:pPr>
              <w:spacing w:after="0"/>
              <w:rPr>
                <w:sz w:val="12"/>
                <w:szCs w:val="12"/>
                <w:color w:val="auto"/>
              </w:rPr>
            </w:pPr>
          </w:p>
        </w:tc>
      </w:tr>
    </w:tbl>
    <w:p>
      <w:pPr>
        <w:ind w:left="2869"/>
        <w:spacing w:after="0"/>
        <w:rPr>
          <w:sz w:val="20"/>
          <w:szCs w:val="20"/>
          <w:color w:val="auto"/>
        </w:rPr>
      </w:pPr>
      <w:r>
        <w:rPr>
          <w:rFonts w:ascii="Arial" w:cs="Arial" w:eastAsia="Arial" w:hAnsi="Arial"/>
          <w:sz w:val="13"/>
          <w:szCs w:val="13"/>
          <w:color w:val="auto"/>
        </w:rPr>
        <w:t>(Address, zip code and telephone number, including area code of principal executive offices)</w:t>
      </w:r>
    </w:p>
    <w:p>
      <w:pPr>
        <w:spacing w:after="0" w:line="39" w:lineRule="exact"/>
        <w:rPr>
          <w:sz w:val="24"/>
          <w:szCs w:val="24"/>
          <w:color w:val="auto"/>
        </w:rPr>
      </w:pPr>
    </w:p>
    <w:p>
      <w:pPr>
        <w:ind w:left="4349"/>
        <w:spacing w:after="0"/>
        <w:rPr>
          <w:sz w:val="20"/>
          <w:szCs w:val="20"/>
          <w:color w:val="auto"/>
        </w:rPr>
      </w:pPr>
      <w:r>
        <w:rPr>
          <w:rFonts w:ascii="Arial" w:cs="Arial" w:eastAsia="Arial" w:hAnsi="Arial"/>
          <w:sz w:val="13"/>
          <w:szCs w:val="13"/>
          <w:b w:val="1"/>
          <w:bCs w:val="1"/>
          <w:color w:val="auto"/>
        </w:rPr>
        <w:t>Kiniksa Pharmaceuticals Corp.</w:t>
      </w:r>
    </w:p>
    <w:p>
      <w:pPr>
        <w:jc w:val="center"/>
        <w:ind w:right="-8"/>
        <w:spacing w:after="0" w:line="216" w:lineRule="auto"/>
        <w:rPr>
          <w:sz w:val="20"/>
          <w:szCs w:val="20"/>
          <w:color w:val="auto"/>
        </w:rPr>
      </w:pPr>
      <w:r>
        <w:rPr>
          <w:rFonts w:ascii="Arial" w:cs="Arial" w:eastAsia="Arial" w:hAnsi="Arial"/>
          <w:sz w:val="13"/>
          <w:szCs w:val="13"/>
          <w:b w:val="1"/>
          <w:bCs w:val="1"/>
          <w:color w:val="auto"/>
        </w:rPr>
        <w:t>100 Hayden Avenue</w:t>
      </w:r>
    </w:p>
    <w:p>
      <w:pPr>
        <w:jc w:val="center"/>
        <w:ind w:right="-8"/>
        <w:spacing w:after="0" w:line="217" w:lineRule="auto"/>
        <w:rPr>
          <w:sz w:val="20"/>
          <w:szCs w:val="20"/>
          <w:color w:val="auto"/>
        </w:rPr>
      </w:pPr>
      <w:r>
        <w:rPr>
          <w:rFonts w:ascii="Arial" w:cs="Arial" w:eastAsia="Arial" w:hAnsi="Arial"/>
          <w:sz w:val="13"/>
          <w:szCs w:val="13"/>
          <w:b w:val="1"/>
          <w:bCs w:val="1"/>
          <w:color w:val="auto"/>
        </w:rPr>
        <w:t>Lexington, MA, 02421</w:t>
      </w:r>
    </w:p>
    <w:p>
      <w:pPr>
        <w:jc w:val="center"/>
        <w:ind w:right="-8"/>
        <w:spacing w:after="0" w:line="217" w:lineRule="auto"/>
        <w:rPr>
          <w:sz w:val="20"/>
          <w:szCs w:val="20"/>
          <w:color w:val="auto"/>
        </w:rPr>
      </w:pPr>
      <w:r>
        <w:rPr>
          <w:rFonts w:ascii="Arial" w:cs="Arial" w:eastAsia="Arial" w:hAnsi="Arial"/>
          <w:sz w:val="13"/>
          <w:szCs w:val="13"/>
          <w:b w:val="1"/>
          <w:bCs w:val="1"/>
          <w:color w:val="auto"/>
        </w:rPr>
        <w:t>(781) 431-9100</w:t>
      </w:r>
    </w:p>
    <w:p>
      <w:pPr>
        <w:jc w:val="center"/>
        <w:ind w:right="-8"/>
        <w:spacing w:after="0"/>
        <w:rPr>
          <w:sz w:val="20"/>
          <w:szCs w:val="20"/>
          <w:color w:val="auto"/>
        </w:rPr>
      </w:pPr>
      <w:r>
        <w:rPr>
          <w:rFonts w:ascii="Arial" w:cs="Arial" w:eastAsia="Arial" w:hAnsi="Arial"/>
          <w:sz w:val="13"/>
          <w:szCs w:val="13"/>
          <w:color w:val="auto"/>
        </w:rPr>
        <w:t>(Address, zip code and telephone number, including area code of agent for service)</w:t>
      </w:r>
    </w:p>
    <w:p>
      <w:pPr>
        <w:spacing w:after="0" w:line="39" w:lineRule="exact"/>
        <w:rPr>
          <w:sz w:val="24"/>
          <w:szCs w:val="24"/>
          <w:color w:val="auto"/>
        </w:rPr>
      </w:pPr>
    </w:p>
    <w:p>
      <w:pPr>
        <w:jc w:val="center"/>
        <w:ind w:right="-8"/>
        <w:spacing w:after="0"/>
        <w:rPr>
          <w:sz w:val="20"/>
          <w:szCs w:val="20"/>
          <w:color w:val="auto"/>
        </w:rPr>
      </w:pPr>
      <w:r>
        <w:rPr>
          <w:rFonts w:ascii="Arial" w:cs="Arial" w:eastAsia="Arial" w:hAnsi="Arial"/>
          <w:sz w:val="13"/>
          <w:szCs w:val="13"/>
          <w:b w:val="1"/>
          <w:bCs w:val="1"/>
          <w:color w:val="auto"/>
        </w:rPr>
        <w:t>N/A</w:t>
      </w:r>
    </w:p>
    <w:p>
      <w:pPr>
        <w:jc w:val="center"/>
        <w:ind w:right="-8"/>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104775</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16" w:lineRule="exact"/>
        <w:rPr>
          <w:sz w:val="24"/>
          <w:szCs w:val="24"/>
          <w:color w:val="auto"/>
        </w:rPr>
      </w:pPr>
    </w:p>
    <w:p>
      <w:pPr>
        <w:jc w:val="center"/>
        <w:ind w:right="-8"/>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132" w:lineRule="exact"/>
        <w:rPr>
          <w:sz w:val="24"/>
          <w:szCs w:val="24"/>
          <w:color w:val="auto"/>
        </w:rPr>
      </w:pPr>
    </w:p>
    <w:tbl>
      <w:tblPr>
        <w:tblLayout w:type="fixed"/>
        <w:tblInd w:w="1059" w:type="dxa"/>
        <w:tblCellMar>
          <w:top w:w="0" w:type="dxa"/>
          <w:left w:w="0" w:type="dxa"/>
          <w:bottom w:w="0" w:type="dxa"/>
          <w:right w:w="0" w:type="dxa"/>
        </w:tblCellMar>
      </w:tblPr>
      <w:tr>
        <w:trPr>
          <w:trHeight w:val="149"/>
        </w:trPr>
        <w:tc>
          <w:tcPr>
            <w:tcW w:w="2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Title of each class</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Trading Symbol(s)</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15"/>
        </w:trPr>
        <w:tc>
          <w:tcPr>
            <w:tcW w:w="2780" w:type="dxa"/>
            <w:vAlign w:val="bottom"/>
            <w:tcBorders>
              <w:left w:val="single" w:sz="8" w:color="auto"/>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87"/>
              </w:rPr>
              <w:t>Class A Common Shares</w:t>
            </w:r>
          </w:p>
        </w:tc>
        <w:tc>
          <w:tcPr>
            <w:tcW w:w="278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9"/>
              </w:rPr>
              <w:t>KNSA</w:t>
            </w:r>
          </w:p>
        </w:tc>
        <w:tc>
          <w:tcPr>
            <w:tcW w:w="278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88"/>
              </w:rPr>
              <w:t>The Nasdaq Global Select Market</w:t>
            </w:r>
          </w:p>
        </w:tc>
      </w:tr>
    </w:tbl>
    <w:p>
      <w:pPr>
        <w:spacing w:after="0" w:line="272" w:lineRule="exact"/>
        <w:rPr>
          <w:sz w:val="24"/>
          <w:szCs w:val="24"/>
          <w:color w:val="auto"/>
        </w:rPr>
      </w:pPr>
    </w:p>
    <w:p>
      <w:pPr>
        <w:ind w:left="409" w:right="3300"/>
        <w:spacing w:after="0" w:line="214"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42" w:lineRule="exact"/>
        <w:rPr>
          <w:sz w:val="24"/>
          <w:szCs w:val="24"/>
          <w:color w:val="auto"/>
        </w:rPr>
      </w:pPr>
    </w:p>
    <w:p>
      <w:pPr>
        <w:ind w:left="9" w:right="20" w:firstLine="405"/>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2" w:lineRule="exact"/>
        <w:rPr>
          <w:sz w:val="24"/>
          <w:szCs w:val="24"/>
          <w:color w:val="auto"/>
        </w:rPr>
      </w:pPr>
    </w:p>
    <w:p>
      <w:pPr>
        <w:ind w:left="9" w:right="20" w:firstLine="405"/>
        <w:spacing w:after="0" w:line="16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left="9" w:firstLine="405"/>
        <w:spacing w:after="0" w:line="22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1" w:lineRule="exact"/>
        <w:rPr>
          <w:sz w:val="24"/>
          <w:szCs w:val="24"/>
          <w:color w:val="auto"/>
        </w:rPr>
      </w:pPr>
    </w:p>
    <w:p>
      <w:pPr>
        <w:ind w:left="109"/>
        <w:spacing w:after="0" w:line="150" w:lineRule="exact"/>
        <w:tabs>
          <w:tab w:leader="none" w:pos="1888" w:val="left"/>
          <w:tab w:leader="none" w:pos="3828" w:val="left"/>
          <w:tab w:leader="none" w:pos="5988" w:val="left"/>
          <w:tab w:leader="none" w:pos="8388"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05" w:lineRule="exact"/>
        <w:rPr>
          <w:sz w:val="24"/>
          <w:szCs w:val="24"/>
          <w:color w:val="auto"/>
        </w:rPr>
      </w:pPr>
    </w:p>
    <w:p>
      <w:pPr>
        <w:ind w:left="9" w:right="20" w:firstLine="427"/>
        <w:spacing w:after="0" w:line="17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2" w:lineRule="exact"/>
        <w:rPr>
          <w:sz w:val="24"/>
          <w:szCs w:val="24"/>
          <w:color w:val="auto"/>
        </w:rPr>
      </w:pPr>
    </w:p>
    <w:p>
      <w:pPr>
        <w:ind w:left="429"/>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4" w:lineRule="exact"/>
        <w:rPr>
          <w:sz w:val="24"/>
          <w:szCs w:val="24"/>
          <w:color w:val="auto"/>
        </w:rPr>
      </w:pPr>
    </w:p>
    <w:p>
      <w:pPr>
        <w:ind w:left="429"/>
        <w:spacing w:after="0"/>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30, 2019, was approximately $304.6 million.</w:t>
      </w:r>
    </w:p>
    <w:p>
      <w:pPr>
        <w:spacing w:after="0" w:line="40" w:lineRule="exact"/>
        <w:rPr>
          <w:sz w:val="24"/>
          <w:szCs w:val="24"/>
          <w:color w:val="auto"/>
        </w:rPr>
      </w:pPr>
    </w:p>
    <w:p>
      <w:pPr>
        <w:ind w:left="429"/>
        <w:spacing w:after="0"/>
        <w:rPr>
          <w:sz w:val="20"/>
          <w:szCs w:val="20"/>
          <w:color w:val="auto"/>
        </w:rPr>
      </w:pPr>
      <w:r>
        <w:rPr>
          <w:rFonts w:ascii="Arial" w:cs="Arial" w:eastAsia="Arial" w:hAnsi="Arial"/>
          <w:sz w:val="13"/>
          <w:szCs w:val="13"/>
          <w:color w:val="auto"/>
        </w:rPr>
        <w:t>As of February 29, 2020, there were 55,547,374 common shares outstanding in aggregate, comprised of:</w:t>
      </w:r>
    </w:p>
    <w:p>
      <w:pPr>
        <w:spacing w:after="0" w:line="26" w:lineRule="exact"/>
        <w:rPr>
          <w:sz w:val="24"/>
          <w:szCs w:val="24"/>
          <w:color w:val="auto"/>
        </w:rPr>
      </w:pPr>
    </w:p>
    <w:p>
      <w:pPr>
        <w:ind w:left="429"/>
        <w:spacing w:after="0"/>
        <w:rPr>
          <w:sz w:val="20"/>
          <w:szCs w:val="20"/>
          <w:color w:val="auto"/>
        </w:rPr>
      </w:pPr>
      <w:r>
        <w:rPr>
          <w:rFonts w:ascii="Arial" w:cs="Arial" w:eastAsia="Arial" w:hAnsi="Arial"/>
          <w:sz w:val="13"/>
          <w:szCs w:val="13"/>
          <w:color w:val="auto"/>
        </w:rPr>
        <w:t>20,388,482 Class A common shares, par value $0.000273235 per share</w:t>
      </w:r>
    </w:p>
    <w:p>
      <w:pPr>
        <w:spacing w:after="0" w:line="26" w:lineRule="exact"/>
        <w:rPr>
          <w:sz w:val="24"/>
          <w:szCs w:val="24"/>
          <w:color w:val="auto"/>
        </w:rPr>
      </w:pPr>
    </w:p>
    <w:p>
      <w:pPr>
        <w:ind w:left="469"/>
        <w:spacing w:after="0"/>
        <w:rPr>
          <w:sz w:val="20"/>
          <w:szCs w:val="20"/>
          <w:color w:val="auto"/>
        </w:rPr>
      </w:pPr>
      <w:r>
        <w:rPr>
          <w:rFonts w:ascii="Arial" w:cs="Arial" w:eastAsia="Arial" w:hAnsi="Arial"/>
          <w:sz w:val="13"/>
          <w:szCs w:val="13"/>
          <w:color w:val="auto"/>
        </w:rPr>
        <w:t>4,105,320 Class B common shares, par value $0.000273235 per share</w:t>
      </w:r>
    </w:p>
    <w:p>
      <w:pPr>
        <w:spacing w:after="0" w:line="13" w:lineRule="exact"/>
        <w:rPr>
          <w:sz w:val="24"/>
          <w:szCs w:val="24"/>
          <w:color w:val="auto"/>
        </w:rPr>
      </w:pPr>
    </w:p>
    <w:p>
      <w:pPr>
        <w:ind w:left="429"/>
        <w:spacing w:after="0"/>
        <w:rPr>
          <w:sz w:val="20"/>
          <w:szCs w:val="20"/>
          <w:color w:val="auto"/>
        </w:rPr>
      </w:pPr>
      <w:r>
        <w:rPr>
          <w:rFonts w:ascii="Arial" w:cs="Arial" w:eastAsia="Arial" w:hAnsi="Arial"/>
          <w:sz w:val="13"/>
          <w:szCs w:val="13"/>
          <w:color w:val="auto"/>
        </w:rPr>
        <w:t>14,995,954 Class A1 common shares, par value $0.000273235 per share</w:t>
      </w:r>
    </w:p>
    <w:p>
      <w:pPr>
        <w:spacing w:after="0" w:line="26" w:lineRule="exact"/>
        <w:rPr>
          <w:sz w:val="24"/>
          <w:szCs w:val="24"/>
          <w:color w:val="auto"/>
        </w:rPr>
      </w:pPr>
    </w:p>
    <w:p>
      <w:pPr>
        <w:ind w:left="429"/>
        <w:spacing w:after="0"/>
        <w:rPr>
          <w:sz w:val="20"/>
          <w:szCs w:val="20"/>
          <w:color w:val="auto"/>
        </w:rPr>
      </w:pPr>
      <w:r>
        <w:rPr>
          <w:rFonts w:ascii="Arial" w:cs="Arial" w:eastAsia="Arial" w:hAnsi="Arial"/>
          <w:sz w:val="13"/>
          <w:szCs w:val="13"/>
          <w:color w:val="auto"/>
        </w:rPr>
        <w:t>16,057,618 Class B1 common shares, par value $0.000273235 per share</w:t>
      </w:r>
    </w:p>
    <w:p>
      <w:pPr>
        <w:spacing w:after="0" w:line="49" w:lineRule="exact"/>
        <w:rPr>
          <w:sz w:val="24"/>
          <w:szCs w:val="24"/>
          <w:color w:val="auto"/>
        </w:rPr>
      </w:pPr>
    </w:p>
    <w:p>
      <w:pPr>
        <w:jc w:val="center"/>
        <w:ind w:right="-8"/>
        <w:spacing w:after="0"/>
        <w:rPr>
          <w:sz w:val="20"/>
          <w:szCs w:val="20"/>
          <w:color w:val="auto"/>
        </w:rPr>
      </w:pPr>
      <w:r>
        <w:rPr>
          <w:rFonts w:ascii="Arial" w:cs="Arial" w:eastAsia="Arial" w:hAnsi="Arial"/>
          <w:sz w:val="13"/>
          <w:szCs w:val="13"/>
          <w:b w:val="1"/>
          <w:bCs w:val="1"/>
          <w:color w:val="auto"/>
        </w:rPr>
        <w:t>DOCUMENTS INCORPORATED BY REFERENCE</w:t>
      </w:r>
    </w:p>
    <w:p>
      <w:pPr>
        <w:ind w:left="9" w:right="300" w:firstLine="363"/>
        <w:spacing w:after="0" w:line="301" w:lineRule="auto"/>
        <w:rPr>
          <w:sz w:val="20"/>
          <w:szCs w:val="20"/>
          <w:color w:val="auto"/>
        </w:rPr>
      </w:pPr>
      <w:r>
        <w:rPr>
          <w:rFonts w:ascii="Arial" w:cs="Arial" w:eastAsia="Arial" w:hAnsi="Arial"/>
          <w:sz w:val="11"/>
          <w:szCs w:val="11"/>
          <w:color w:val="auto"/>
        </w:rPr>
        <w:t>Portions of the registrant’s definitive proxy statement for its 2020 Annual Meeting of Shareholders, which the registrant intends to file with the Securities and Exchange Commission pursuant to Regulation 14A within 120 days after the end of the registrant’s fiscal year ended December 31, 2019,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41275</wp:posOffset>
            </wp:positionV>
            <wp:extent cx="66122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650240</wp:posOffset>
            </wp:positionV>
            <wp:extent cx="66122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20" w:type="dxa"/>
            <w:vAlign w:val="bottom"/>
            <w:gridSpan w:val="20"/>
          </w:tcPr>
          <w:p>
            <w:pPr>
              <w:jc w:val="center"/>
              <w:ind w:right="2300"/>
              <w:spacing w:after="0"/>
              <w:rPr>
                <w:sz w:val="20"/>
                <w:szCs w:val="20"/>
                <w:color w:val="auto"/>
              </w:rPr>
            </w:pPr>
            <w:r>
              <w:rPr>
                <w:rFonts w:ascii="Arial" w:cs="Arial" w:eastAsia="Arial" w:hAnsi="Arial"/>
                <w:sz w:val="18"/>
                <w:szCs w:val="18"/>
                <w:b w:val="1"/>
                <w:bCs w:val="1"/>
                <w:color w:val="auto"/>
                <w:w w:val="91"/>
              </w:rPr>
              <w:t>Kiniksa Pharmaceuticals, Ltd.</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60" w:type="dxa"/>
            <w:vAlign w:val="bottom"/>
            <w:gridSpan w:val="17"/>
          </w:tcPr>
          <w:p>
            <w:pPr>
              <w:jc w:val="center"/>
              <w:ind w:right="3460"/>
              <w:spacing w:after="0" w:line="207" w:lineRule="exact"/>
              <w:rPr>
                <w:sz w:val="20"/>
                <w:szCs w:val="20"/>
                <w:color w:val="auto"/>
              </w:rPr>
            </w:pPr>
            <w:r>
              <w:rPr>
                <w:rFonts w:ascii="Arial" w:cs="Arial" w:eastAsia="Arial" w:hAnsi="Arial"/>
                <w:sz w:val="18"/>
                <w:szCs w:val="18"/>
                <w:b w:val="1"/>
                <w:bCs w:val="1"/>
                <w:color w:val="auto"/>
              </w:rPr>
              <w:t>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80" w:type="dxa"/>
            <w:vAlign w:val="bottom"/>
            <w:gridSpan w:val="21"/>
          </w:tcPr>
          <w:p>
            <w:pPr>
              <w:jc w:val="center"/>
              <w:ind w:right="2020"/>
              <w:spacing w:after="0"/>
              <w:rPr>
                <w:sz w:val="20"/>
                <w:szCs w:val="20"/>
                <w:color w:val="auto"/>
              </w:rPr>
            </w:pPr>
            <w:r>
              <w:rPr>
                <w:rFonts w:ascii="Arial" w:cs="Arial" w:eastAsia="Arial" w:hAnsi="Arial"/>
                <w:sz w:val="18"/>
                <w:szCs w:val="18"/>
                <w:b w:val="1"/>
                <w:bCs w:val="1"/>
                <w:color w:val="auto"/>
                <w:w w:val="98"/>
              </w:rPr>
              <w:t>FOR THE YEAR ENDED DECEMBER 31, 2019</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20" w:type="dxa"/>
            <w:vAlign w:val="bottom"/>
            <w:gridSpan w:val="19"/>
          </w:tcPr>
          <w:p>
            <w:pPr>
              <w:jc w:val="center"/>
              <w:ind w:right="308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gridSpan w:val="13"/>
            <w:vMerge w:val="restart"/>
          </w:tcPr>
          <w:p>
            <w:pPr>
              <w:jc w:val="center"/>
              <w:ind w:right="384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20" w:type="dxa"/>
            <w:vAlign w:val="bottom"/>
            <w:gridSpan w:val="13"/>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Item 1. Business</w:t>
              </w:r>
            </w:hyperlink>
          </w:p>
        </w:tc>
        <w:tc>
          <w:tcPr>
            <w:tcW w:w="3020" w:type="dxa"/>
            <w:vAlign w:val="bottom"/>
            <w:gridSpan w:val="15"/>
          </w:tcPr>
          <w:p>
            <w:pPr>
              <w:spacing w:after="0"/>
              <w:rPr>
                <w:sz w:val="24"/>
                <w:szCs w:val="24"/>
                <w:color w:val="auto"/>
              </w:rPr>
            </w:pPr>
          </w:p>
        </w:tc>
        <w:tc>
          <w:tcPr>
            <w:tcW w:w="580" w:type="dxa"/>
            <w:vAlign w:val="bottom"/>
            <w:tcBorders>
              <w:top w:val="single" w:sz="8" w:color="0000EE"/>
            </w:tcBorders>
            <w:gridSpan w:val="3"/>
          </w:tcPr>
          <w:p>
            <w:pPr>
              <w:spacing w:after="0"/>
              <w:rPr>
                <w:sz w:val="24"/>
                <w:szCs w:val="24"/>
                <w:color w:val="auto"/>
              </w:rPr>
            </w:pPr>
          </w:p>
        </w:tc>
        <w:tc>
          <w:tcPr>
            <w:tcW w:w="384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31"/>
        </w:trPr>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Item 1A. Risk Factors</w:t>
              </w:r>
            </w:hyperlink>
          </w:p>
        </w:tc>
        <w:tc>
          <w:tcPr>
            <w:tcW w:w="7040" w:type="dxa"/>
            <w:vAlign w:val="bottom"/>
            <w:gridSpan w:val="2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31"/>
        </w:trPr>
        <w:tc>
          <w:tcPr>
            <w:tcW w:w="8640" w:type="dxa"/>
            <w:vAlign w:val="bottom"/>
            <w:gridSpan w:val="30"/>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1B. Unresolved Staff Comments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331"/>
        </w:trPr>
        <w:tc>
          <w:tcPr>
            <w:tcW w:w="2720" w:type="dxa"/>
            <w:vAlign w:val="bottom"/>
            <w:tcBorders>
              <w:top w:val="single" w:sz="8" w:color="0000EE"/>
            </w:tcBorders>
            <w:gridSpan w:val="10"/>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2. Properties</w:t>
              </w:r>
            </w:hyperlink>
          </w:p>
        </w:tc>
        <w:tc>
          <w:tcPr>
            <w:tcW w:w="5920" w:type="dxa"/>
            <w:vAlign w:val="bottom"/>
            <w:gridSpan w:val="20"/>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9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13">
              <w:r>
                <w:rPr>
                  <w:rFonts w:ascii="Arial" w:cs="Arial" w:eastAsia="Arial" w:hAnsi="Arial"/>
                  <w:sz w:val="18"/>
                  <w:szCs w:val="18"/>
                  <w:color w:val="0000EE"/>
                  <w:w w:val="89"/>
                </w:rPr>
                <w:t>Item 3. Legal Proceedings</w:t>
              </w:r>
            </w:hyperlink>
          </w:p>
        </w:tc>
        <w:tc>
          <w:tcPr>
            <w:tcW w:w="6740" w:type="dxa"/>
            <w:vAlign w:val="bottom"/>
            <w:gridSpan w:val="2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331"/>
        </w:trPr>
        <w:tc>
          <w:tcPr>
            <w:tcW w:w="8640" w:type="dxa"/>
            <w:vAlign w:val="bottom"/>
            <w:gridSpan w:val="30"/>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4. Mine Safety Disclosures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700" w:type="dxa"/>
            <w:vAlign w:val="bottom"/>
            <w:tcBorders>
              <w:bottom w:val="single" w:sz="8" w:color="0000EE"/>
            </w:tcBorders>
            <w:gridSpan w:val="18"/>
          </w:tcPr>
          <w:p>
            <w:pPr>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EXECUTIVE OFFICER AND DIRECTOR BIOGRAPHIES</w:t>
              </w:r>
            </w:hyperlink>
          </w:p>
        </w:tc>
        <w:tc>
          <w:tcPr>
            <w:tcW w:w="3940" w:type="dxa"/>
            <w:vAlign w:val="bottom"/>
            <w:gridSpan w:val="1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331"/>
        </w:trPr>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PART II</w:t>
              </w:r>
            </w:hyperlink>
          </w:p>
        </w:tc>
        <w:tc>
          <w:tcPr>
            <w:tcW w:w="3800" w:type="dxa"/>
            <w:vAlign w:val="bottom"/>
            <w:gridSpan w:val="9"/>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88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117">
              <w:r>
                <w:rPr>
                  <w:rFonts w:ascii="Arial" w:cs="Arial" w:eastAsia="Arial" w:hAnsi="Arial"/>
                  <w:sz w:val="18"/>
                  <w:szCs w:val="18"/>
                  <w:color w:val="0000EE"/>
                  <w:w w:val="90"/>
                </w:rPr>
                <w:t>Item 5. Market for Registrant’s Common Equity, Related Stockholder Matters and Issuer Purchases of Equity</w:t>
              </w:r>
            </w:hyperlink>
          </w:p>
        </w:tc>
        <w:tc>
          <w:tcPr>
            <w:tcW w:w="76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17">
              <w:r>
                <w:rPr>
                  <w:rFonts w:ascii="Arial" w:cs="Arial" w:eastAsia="Arial" w:hAnsi="Arial"/>
                  <w:sz w:val="18"/>
                  <w:szCs w:val="18"/>
                  <w:color w:val="0000EE"/>
                  <w:w w:val="88"/>
                </w:rPr>
                <w:t>Securities</w:t>
              </w:r>
            </w:hyperlink>
          </w:p>
        </w:tc>
        <w:tc>
          <w:tcPr>
            <w:tcW w:w="7920" w:type="dxa"/>
            <w:vAlign w:val="bottom"/>
            <w:gridSpan w:val="2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331"/>
        </w:trPr>
        <w:tc>
          <w:tcPr>
            <w:tcW w:w="8640" w:type="dxa"/>
            <w:vAlign w:val="bottom"/>
            <w:gridSpan w:val="30"/>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Item 6. Selected Financial Data</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00" w:type="dxa"/>
            <w:vAlign w:val="bottom"/>
            <w:gridSpan w:val="6"/>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20" w:type="dxa"/>
            <w:vAlign w:val="bottom"/>
            <w:tcBorders>
              <w:bottom w:val="single" w:sz="8" w:color="0000EE"/>
            </w:tcBorders>
            <w:gridSpan w:val="26"/>
          </w:tcPr>
          <w:p>
            <w:pPr>
              <w:spacing w:after="0"/>
              <w:rPr>
                <w:rFonts w:ascii="Arial" w:cs="Arial" w:eastAsia="Arial" w:hAnsi="Arial"/>
                <w:sz w:val="18"/>
                <w:szCs w:val="18"/>
                <w:color w:val="0000EE"/>
                <w:w w:val="91"/>
              </w:rPr>
            </w:pPr>
            <w:hyperlink w:anchor="page119">
              <w:r>
                <w:rPr>
                  <w:rFonts w:ascii="Arial" w:cs="Arial" w:eastAsia="Arial" w:hAnsi="Arial"/>
                  <w:sz w:val="18"/>
                  <w:szCs w:val="18"/>
                  <w:color w:val="0000EE"/>
                  <w:w w:val="91"/>
                </w:rPr>
                <w:t>Item 7. Management’s Discussion and Analysis of Financial Condition and Results of Operations</w:t>
              </w:r>
            </w:hyperlink>
          </w:p>
        </w:tc>
        <w:tc>
          <w:tcPr>
            <w:tcW w:w="162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331"/>
        </w:trPr>
        <w:tc>
          <w:tcPr>
            <w:tcW w:w="8640" w:type="dxa"/>
            <w:vAlign w:val="bottom"/>
            <w:gridSpan w:val="30"/>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Item 7A. Quantitative and Qualitative Disclosures About Market Risk</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331"/>
        </w:trPr>
        <w:tc>
          <w:tcPr>
            <w:tcW w:w="5040" w:type="dxa"/>
            <w:vAlign w:val="bottom"/>
            <w:tcBorders>
              <w:top w:val="single" w:sz="8" w:color="0000EE"/>
            </w:tcBorders>
            <w:gridSpan w:val="24"/>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Item 8. Financial Statements and Supplementary Data</w:t>
              </w:r>
            </w:hyperlink>
          </w:p>
        </w:tc>
        <w:tc>
          <w:tcPr>
            <w:tcW w:w="360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00" w:type="dxa"/>
            <w:vAlign w:val="bottom"/>
            <w:gridSpan w:val="6"/>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4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134">
              <w:r>
                <w:rPr>
                  <w:rFonts w:ascii="Arial" w:cs="Arial" w:eastAsia="Arial" w:hAnsi="Arial"/>
                  <w:sz w:val="18"/>
                  <w:szCs w:val="18"/>
                  <w:color w:val="0000EE"/>
                  <w:w w:val="90"/>
                </w:rPr>
                <w:t>Item 9. Changes in and Disagreements with Accountants on Accounting and Financial Disclosure</w:t>
              </w:r>
            </w:hyperlink>
          </w:p>
        </w:tc>
        <w:tc>
          <w:tcPr>
            <w:tcW w:w="160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331"/>
        </w:trPr>
        <w:tc>
          <w:tcPr>
            <w:tcW w:w="24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34">
              <w:r>
                <w:rPr>
                  <w:rFonts w:ascii="Arial" w:cs="Arial" w:eastAsia="Arial" w:hAnsi="Arial"/>
                  <w:sz w:val="18"/>
                  <w:szCs w:val="18"/>
                  <w:color w:val="0000EE"/>
                  <w:w w:val="89"/>
                </w:rPr>
                <w:t>Item 9A. Controls and Procedures</w:t>
              </w:r>
            </w:hyperlink>
          </w:p>
        </w:tc>
        <w:tc>
          <w:tcPr>
            <w:tcW w:w="6180" w:type="dxa"/>
            <w:vAlign w:val="bottom"/>
            <w:gridSpan w:val="21"/>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331"/>
        </w:trPr>
        <w:tc>
          <w:tcPr>
            <w:tcW w:w="8640" w:type="dxa"/>
            <w:vAlign w:val="bottom"/>
            <w:gridSpan w:val="30"/>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Item 9B. 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331"/>
        </w:trPr>
        <w:tc>
          <w:tcPr>
            <w:tcW w:w="7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bottom w:val="single" w:sz="8" w:color="0000EE"/>
            </w:tcBorders>
            <w:gridSpan w:val="9"/>
          </w:tcPr>
          <w:p>
            <w:pPr>
              <w:jc w:val="center"/>
              <w:spacing w:after="0"/>
              <w:rPr>
                <w:rFonts w:ascii="Arial" w:cs="Arial" w:eastAsia="Arial" w:hAnsi="Arial"/>
                <w:sz w:val="18"/>
                <w:szCs w:val="18"/>
                <w:b w:val="1"/>
                <w:bCs w:val="1"/>
                <w:color w:val="0000EE"/>
              </w:rPr>
            </w:pPr>
            <w:hyperlink w:anchor="page135">
              <w:r>
                <w:rPr>
                  <w:rFonts w:ascii="Arial" w:cs="Arial" w:eastAsia="Arial" w:hAnsi="Arial"/>
                  <w:sz w:val="18"/>
                  <w:szCs w:val="18"/>
                  <w:b w:val="1"/>
                  <w:bCs w:val="1"/>
                  <w:color w:val="0000EE"/>
                </w:rPr>
                <w:t>PART III</w:t>
              </w:r>
            </w:hyperlink>
          </w:p>
        </w:tc>
        <w:tc>
          <w:tcPr>
            <w:tcW w:w="3760" w:type="dxa"/>
            <w:vAlign w:val="bottom"/>
            <w:gridSpan w:val="7"/>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640" w:type="dxa"/>
            <w:vAlign w:val="bottom"/>
            <w:gridSpan w:val="30"/>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Item 10. Directors, Executive Officers and Corporate Governance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331"/>
        </w:trPr>
        <w:tc>
          <w:tcPr>
            <w:tcW w:w="4740" w:type="dxa"/>
            <w:vAlign w:val="bottom"/>
            <w:tcBorders>
              <w:top w:val="single" w:sz="8" w:color="0000EE"/>
            </w:tcBorders>
            <w:gridSpan w:val="19"/>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Item 11. Executive Compensation</w:t>
              </w:r>
            </w:hyperlink>
          </w:p>
        </w:tc>
        <w:tc>
          <w:tcPr>
            <w:tcW w:w="3900" w:type="dxa"/>
            <w:vAlign w:val="bottom"/>
            <w:gridSpan w:val="11"/>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260" w:type="dxa"/>
            <w:vAlign w:val="bottom"/>
            <w:tcBorders>
              <w:right w:val="single" w:sz="8" w:color="0000EE"/>
            </w:tcBorders>
            <w:gridSpan w:val="7"/>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640" w:type="dxa"/>
            <w:vAlign w:val="bottom"/>
            <w:gridSpan w:val="30"/>
          </w:tcPr>
          <w:p>
            <w:pPr>
              <w:spacing w:after="0"/>
              <w:rPr>
                <w:rFonts w:ascii="Arial" w:cs="Arial" w:eastAsia="Arial" w:hAnsi="Arial"/>
                <w:sz w:val="18"/>
                <w:szCs w:val="18"/>
                <w:color w:val="0000EE"/>
                <w:w w:val="98"/>
              </w:rPr>
            </w:pPr>
            <w:hyperlink w:anchor="page135">
              <w:r>
                <w:rPr>
                  <w:rFonts w:ascii="Arial" w:cs="Arial" w:eastAsia="Arial" w:hAnsi="Arial"/>
                  <w:sz w:val="18"/>
                  <w:szCs w:val="18"/>
                  <w:color w:val="0000EE"/>
                  <w:w w:val="98"/>
                </w:rPr>
                <w:t>Item 12. Security Ownership of Certain Beneficial Owners and Management and Related Stockholder Matters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331"/>
        </w:trPr>
        <w:tc>
          <w:tcPr>
            <w:tcW w:w="6100" w:type="dxa"/>
            <w:vAlign w:val="bottom"/>
            <w:tcBorders>
              <w:top w:val="single" w:sz="8" w:color="0000EE"/>
              <w:bottom w:val="single" w:sz="8" w:color="0000EE"/>
            </w:tcBorders>
            <w:gridSpan w:val="25"/>
          </w:tcPr>
          <w:p>
            <w:pPr>
              <w:spacing w:after="0"/>
              <w:rPr>
                <w:rFonts w:ascii="Arial" w:cs="Arial" w:eastAsia="Arial" w:hAnsi="Arial"/>
                <w:sz w:val="18"/>
                <w:szCs w:val="18"/>
                <w:color w:val="0000EE"/>
                <w:w w:val="89"/>
              </w:rPr>
            </w:pPr>
            <w:hyperlink w:anchor="page135">
              <w:r>
                <w:rPr>
                  <w:rFonts w:ascii="Arial" w:cs="Arial" w:eastAsia="Arial" w:hAnsi="Arial"/>
                  <w:sz w:val="18"/>
                  <w:szCs w:val="18"/>
                  <w:color w:val="0000EE"/>
                  <w:w w:val="89"/>
                </w:rPr>
                <w:t>Item 13. Certain Relationships and Related Transactions, and Director Independence</w:t>
              </w:r>
            </w:hyperlink>
          </w:p>
        </w:tc>
        <w:tc>
          <w:tcPr>
            <w:tcW w:w="1840" w:type="dxa"/>
            <w:vAlign w:val="bottom"/>
            <w:tcBorders>
              <w:top w:val="single" w:sz="8" w:color="0000EE"/>
            </w:tcBorders>
            <w:gridSpan w:val="4"/>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331"/>
        </w:trPr>
        <w:tc>
          <w:tcPr>
            <w:tcW w:w="8640" w:type="dxa"/>
            <w:vAlign w:val="bottom"/>
            <w:gridSpan w:val="30"/>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Item 14. Principal Accounting Fees and Services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331"/>
        </w:trPr>
        <w:tc>
          <w:tcPr>
            <w:tcW w:w="7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15"/>
          </w:tcPr>
          <w:p>
            <w:pPr>
              <w:jc w:val="center"/>
              <w:ind w:right="3780"/>
              <w:spacing w:after="0"/>
              <w:rPr>
                <w:rFonts w:ascii="Arial" w:cs="Arial" w:eastAsia="Arial" w:hAnsi="Arial"/>
                <w:sz w:val="18"/>
                <w:szCs w:val="18"/>
                <w:b w:val="1"/>
                <w:bCs w:val="1"/>
                <w:color w:val="0000EE"/>
                <w:w w:val="98"/>
              </w:rPr>
            </w:pPr>
            <w:hyperlink w:anchor="page136">
              <w:r>
                <w:rPr>
                  <w:rFonts w:ascii="Arial" w:cs="Arial" w:eastAsia="Arial" w:hAnsi="Arial"/>
                  <w:sz w:val="18"/>
                  <w:szCs w:val="18"/>
                  <w:b w:val="1"/>
                  <w:bCs w:val="1"/>
                  <w:color w:val="0000EE"/>
                  <w:w w:val="98"/>
                </w:rPr>
                <w:t>PART IV</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160" w:type="dxa"/>
            <w:vAlign w:val="bottom"/>
            <w:gridSpan w:val="15"/>
          </w:tcPr>
          <w:p>
            <w:pPr>
              <w:spacing w:after="0"/>
              <w:rPr>
                <w:rFonts w:ascii="Arial" w:cs="Arial" w:eastAsia="Arial" w:hAnsi="Arial"/>
                <w:sz w:val="18"/>
                <w:szCs w:val="18"/>
                <w:color w:val="0000EE"/>
                <w:w w:val="98"/>
              </w:rPr>
            </w:pPr>
            <w:hyperlink w:anchor="page136">
              <w:r>
                <w:rPr>
                  <w:rFonts w:ascii="Arial" w:cs="Arial" w:eastAsia="Arial" w:hAnsi="Arial"/>
                  <w:sz w:val="18"/>
                  <w:szCs w:val="18"/>
                  <w:color w:val="0000EE"/>
                  <w:w w:val="98"/>
                </w:rPr>
                <w:t>Item 15. Exhibits and Financial Statement Schedules</w:t>
              </w:r>
            </w:hyperlink>
          </w:p>
        </w:tc>
        <w:tc>
          <w:tcPr>
            <w:tcW w:w="700" w:type="dxa"/>
            <w:vAlign w:val="bottom"/>
            <w:tcBorders>
              <w:top w:val="single" w:sz="8" w:color="0000EE"/>
            </w:tcBorders>
            <w:gridSpan w:val="7"/>
          </w:tcPr>
          <w:p>
            <w:pPr>
              <w:spacing w:after="0"/>
              <w:rPr>
                <w:sz w:val="24"/>
                <w:szCs w:val="24"/>
                <w:color w:val="auto"/>
              </w:rPr>
            </w:pPr>
          </w:p>
        </w:tc>
        <w:tc>
          <w:tcPr>
            <w:tcW w:w="378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331"/>
        </w:trPr>
        <w:tc>
          <w:tcPr>
            <w:tcW w:w="22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140">
              <w:r>
                <w:rPr>
                  <w:rFonts w:ascii="Arial" w:cs="Arial" w:eastAsia="Arial" w:hAnsi="Arial"/>
                  <w:sz w:val="18"/>
                  <w:szCs w:val="18"/>
                  <w:color w:val="0000EE"/>
                  <w:w w:val="93"/>
                </w:rPr>
                <w:t>Item 16. Form 10-K Summary</w:t>
              </w:r>
            </w:hyperlink>
          </w:p>
        </w:tc>
        <w:tc>
          <w:tcPr>
            <w:tcW w:w="1540" w:type="dxa"/>
            <w:vAlign w:val="bottom"/>
            <w:tcBorders>
              <w:top w:val="single" w:sz="8" w:color="0000EE"/>
            </w:tcBorders>
            <w:gridSpan w:val="5"/>
          </w:tcPr>
          <w:p>
            <w:pPr>
              <w:spacing w:after="0"/>
              <w:rPr>
                <w:sz w:val="24"/>
                <w:szCs w:val="24"/>
                <w:color w:val="auto"/>
              </w:rPr>
            </w:pPr>
          </w:p>
        </w:tc>
        <w:tc>
          <w:tcPr>
            <w:tcW w:w="4840" w:type="dxa"/>
            <w:vAlign w:val="bottom"/>
            <w:gridSpan w:val="1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682"/>
        </w:trPr>
        <w:tc>
          <w:tcPr>
            <w:tcW w:w="4700" w:type="dxa"/>
            <w:vAlign w:val="bottom"/>
            <w:gridSpan w:val="18"/>
          </w:tcPr>
          <w:p>
            <w:pPr>
              <w:jc w:val="center"/>
              <w:ind w:left="4270"/>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60" w:firstLine="648"/>
        <w:spacing w:after="0" w:line="218" w:lineRule="exact"/>
        <w:rPr>
          <w:sz w:val="20"/>
          <w:szCs w:val="20"/>
          <w:color w:val="auto"/>
        </w:rPr>
      </w:pPr>
      <w:r>
        <w:rPr>
          <w:rFonts w:ascii="Arial" w:cs="Arial" w:eastAsia="Arial" w:hAnsi="Arial"/>
          <w:sz w:val="17"/>
          <w:szCs w:val="17"/>
          <w:color w:val="auto"/>
        </w:rPr>
        <w:t>This Annual Report on Form 10-K, or Annual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All statements other than statements of historical facts contained in this Annual Report including statements regarding our future results of operations and financial position, business strategy, prospective products and product candidates, their expected properties, performance, market opportunity and competition, drug product supply, collaborators, license and other strategic arrangements, the expected timeline for achievement of our clinical milestones, the timing of, and potential results from, clinical and other trials, potential marketing authorization from the FDA or regulatory authorities in other jurisdictions, potential coverage and reimbursement for procedures using our product candidates, if approved, commercial strategy and pre-commercial activities, research and development costs, timing of regulatory filings and feedback, timing and likelihood of success, plans and objectives of management for future operations and funding requirements, and future results of anticipated products, are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202" w:lineRule="exact"/>
        <w:rPr>
          <w:sz w:val="20"/>
          <w:szCs w:val="20"/>
          <w:color w:val="auto"/>
        </w:rPr>
      </w:pPr>
    </w:p>
    <w:p>
      <w:pPr>
        <w:jc w:val="both"/>
        <w:ind w:right="140" w:firstLine="648"/>
        <w:spacing w:after="0" w:line="221" w:lineRule="exact"/>
        <w:rPr>
          <w:sz w:val="20"/>
          <w:szCs w:val="20"/>
          <w:color w:val="auto"/>
        </w:rPr>
      </w:pPr>
      <w:r>
        <w:rPr>
          <w:rFonts w:ascii="Arial" w:cs="Arial" w:eastAsia="Arial" w:hAnsi="Arial"/>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w:t>
      </w:r>
    </w:p>
    <w:p>
      <w:pPr>
        <w:spacing w:after="0" w:line="202"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by terms such as “may,” “will,” “should,” “expect,” “plan,” “anticipate,” “could,” “intend,” “goal,” “design,” “target,” “project,” “contemplate,” “believe,” “estimate,” “predict,” “potential” or “continue” or the negative of these terms or other similar expressions, although not all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 these identifying words.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 this Annual Report are only predictions. We have based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largely on our current expectations and projections about future events and financial trends that we believe may affect our business, financial condition and results of operations.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speak only as of the date of this Annual Report and are subject to a number of risks, uncertainties and assumptions described under the sections in this Annual Report entitled “Risk factors” and “Management’s discussion and analysis of financial condition and results of operations” and elsewhere in this Annual Report.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are subject to numerous risks, including, without limitation, the following:</w:t>
      </w:r>
    </w:p>
    <w:p>
      <w:pPr>
        <w:spacing w:after="0" w:line="202" w:lineRule="exact"/>
        <w:rPr>
          <w:sz w:val="20"/>
          <w:szCs w:val="20"/>
          <w:color w:val="auto"/>
        </w:rPr>
      </w:pPr>
    </w:p>
    <w:p>
      <w:pPr>
        <w:ind w:left="980" w:hanging="329"/>
        <w:spacing w:after="0" w:line="207" w:lineRule="exact"/>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development</w:t>
      </w:r>
      <w:r>
        <w:rPr>
          <w:rFonts w:ascii="MS PGothic" w:cs="MS PGothic" w:eastAsia="MS PGothic" w:hAnsi="MS PGothic"/>
          <w:sz w:val="18"/>
          <w:szCs w:val="18"/>
          <w:color w:val="auto"/>
        </w:rPr>
        <w:t>‑</w:t>
      </w:r>
      <w:r>
        <w:rPr>
          <w:rFonts w:ascii="Arial" w:cs="Arial" w:eastAsia="Arial" w:hAnsi="Arial"/>
          <w:sz w:val="18"/>
          <w:szCs w:val="18"/>
          <w:color w:val="auto"/>
        </w:rPr>
        <w:t>stage company and our expectation to incur losses in the future;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25" w:lineRule="exact"/>
        <w:rPr>
          <w:rFonts w:ascii="Arial" w:cs="Arial" w:eastAsia="Arial" w:hAnsi="Arial"/>
          <w:sz w:val="18"/>
          <w:szCs w:val="18"/>
          <w:color w:val="auto"/>
        </w:rPr>
      </w:pPr>
    </w:p>
    <w:p>
      <w:pPr>
        <w:ind w:left="980" w:right="300"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lengthy and expensive clinical development process with its uncertain outcome and potential for clinical failure or delay;</w:t>
      </w:r>
    </w:p>
    <w:p>
      <w:pPr>
        <w:spacing w:after="0" w:line="170" w:lineRule="exact"/>
        <w:rPr>
          <w:rFonts w:ascii="Arial" w:cs="Arial" w:eastAsia="Arial" w:hAnsi="Arial"/>
          <w:sz w:val="18"/>
          <w:szCs w:val="18"/>
          <w:color w:val="auto"/>
        </w:rPr>
      </w:pPr>
    </w:p>
    <w:p>
      <w:pPr>
        <w:ind w:left="980" w:right="700"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decision by any applicable regulatory authority whether to clear our product candidates for clinical development and, ultimately, whether to approve them for marketing and sale;</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anticipate and prevent adverse events caused by our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have our product candidates manufactured;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acceptance of our product candidates;</w:t>
      </w:r>
    </w:p>
    <w:p>
      <w:pPr>
        <w:spacing w:after="0" w:line="225"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timely and successfully develop and commercialize our existing and future product candidates, if approved;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physician awareness and adoption of our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the quality expectations of physicians or patients;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improve our product candidates;</w:t>
      </w:r>
    </w:p>
    <w:p>
      <w:pPr>
        <w:spacing w:after="0" w:line="225" w:lineRule="exact"/>
        <w:rPr>
          <w:rFonts w:ascii="Arial" w:cs="Arial" w:eastAsia="Arial" w:hAnsi="Arial"/>
          <w:sz w:val="18"/>
          <w:szCs w:val="18"/>
          <w:color w:val="auto"/>
        </w:rPr>
      </w:pPr>
    </w:p>
    <w:p>
      <w:pPr>
        <w:ind w:left="980" w:right="180" w:hanging="329"/>
        <w:spacing w:after="0" w:line="224" w:lineRule="exact"/>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decision of third</w:t>
      </w:r>
      <w:r>
        <w:rPr>
          <w:rFonts w:ascii="MS PGothic" w:cs="MS PGothic" w:eastAsia="MS PGothic" w:hAnsi="MS PGothic"/>
          <w:sz w:val="16"/>
          <w:szCs w:val="16"/>
          <w:color w:val="auto"/>
        </w:rPr>
        <w:t>‑</w:t>
      </w:r>
      <w:r>
        <w:rPr>
          <w:rFonts w:ascii="Arial" w:cs="Arial" w:eastAsia="Arial" w:hAnsi="Arial"/>
          <w:sz w:val="16"/>
          <w:szCs w:val="16"/>
          <w:color w:val="auto"/>
        </w:rPr>
        <w:t>party payors not to cover our product candidates or to require extensive or independently performed clinical trials prior to covering or maintaining coverage of our product candidates;</w:t>
      </w:r>
    </w:p>
    <w:p>
      <w:pPr>
        <w:spacing w:after="0" w:line="202" w:lineRule="exact"/>
        <w:rPr>
          <w:rFonts w:ascii="Arial" w:cs="Arial" w:eastAsia="Arial" w:hAnsi="Arial"/>
          <w:sz w:val="16"/>
          <w:szCs w:val="16"/>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avoid product liability claims and maintain adequate product liability insurance;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regulatory exclusivity;</w:t>
      </w:r>
    </w:p>
    <w:p>
      <w:pPr>
        <w:spacing w:after="0" w:line="225" w:lineRule="exact"/>
        <w:rPr>
          <w:rFonts w:ascii="Arial" w:cs="Arial" w:eastAsia="Arial" w:hAnsi="Arial"/>
          <w:sz w:val="18"/>
          <w:szCs w:val="18"/>
          <w:color w:val="auto"/>
        </w:rPr>
      </w:pPr>
    </w:p>
    <w:p>
      <w:pPr>
        <w:ind w:left="980" w:right="620" w:hanging="329"/>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related to our product candidates;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applicable to our product candidates;</w:t>
      </w:r>
    </w:p>
    <w:p>
      <w:pPr>
        <w:spacing w:after="0" w:line="225" w:lineRule="exact"/>
        <w:rPr>
          <w:rFonts w:ascii="Arial" w:cs="Arial" w:eastAsia="Arial" w:hAnsi="Arial"/>
          <w:sz w:val="18"/>
          <w:szCs w:val="18"/>
          <w:color w:val="auto"/>
        </w:rPr>
      </w:pPr>
    </w:p>
    <w:p>
      <w:pPr>
        <w:ind w:left="980" w:right="100" w:hanging="329"/>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ownership concentration of our executive officers and certain members of senior management may prevent our shareholders from influencing significant corporate decisions;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skilled personnel;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on our strategy; and</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in</w:t>
      </w:r>
      <w:r>
        <w:rPr>
          <w:rFonts w:ascii="MS PGothic" w:cs="MS PGothic" w:eastAsia="MS PGothic" w:hAnsi="MS PGothic"/>
          <w:sz w:val="18"/>
          <w:szCs w:val="18"/>
          <w:color w:val="auto"/>
        </w:rPr>
        <w:t>‑</w:t>
      </w:r>
      <w:r>
        <w:rPr>
          <w:rFonts w:ascii="Arial" w:cs="Arial" w:eastAsia="Arial" w:hAnsi="Arial"/>
          <w:sz w:val="18"/>
          <w:szCs w:val="18"/>
          <w:color w:val="auto"/>
        </w:rPr>
        <w:t>license, acquire, discover or develop additional product candidates.</w:t>
      </w:r>
    </w:p>
    <w:p>
      <w:pPr>
        <w:spacing w:after="0" w:line="225"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Because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are inherently subject to risks and uncertainties, some of which cannot be predicted or quantified and some of which are beyond our control, you should not rely on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predictions of future events. The events and circumstances reflected in our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may not be achieved or occur and actual results could differ materially from those projected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 this Annual Report will prove to be accurate. Except as required by applicable law, we do not plan to publicly update or revise any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herein, whether as a result of any new information, future events, changed circumstances or otherwise.</w:t>
      </w:r>
    </w:p>
    <w:p>
      <w:pPr>
        <w:spacing w:after="0" w:line="204" w:lineRule="exact"/>
        <w:rPr>
          <w:sz w:val="20"/>
          <w:szCs w:val="20"/>
          <w:color w:val="auto"/>
        </w:rPr>
      </w:pPr>
    </w:p>
    <w:p>
      <w:pPr>
        <w:ind w:right="20" w:firstLine="648"/>
        <w:spacing w:after="0" w:line="221" w:lineRule="exact"/>
        <w:rPr>
          <w:sz w:val="20"/>
          <w:szCs w:val="20"/>
          <w:color w:val="auto"/>
        </w:rPr>
      </w:pPr>
      <w:r>
        <w:rPr>
          <w:rFonts w:ascii="Arial" w:cs="Arial" w:eastAsia="Arial" w:hAnsi="Arial"/>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by these cautionary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OTHER DATA</w:t>
      </w:r>
    </w:p>
    <w:p>
      <w:pPr>
        <w:spacing w:after="0" w:line="229"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Unless otherwise indicated, certain industry data and market data included in this Annual Report were obtained from independent third</w:t>
      </w:r>
      <w:r>
        <w:rPr>
          <w:rFonts w:ascii="MS PGothic" w:cs="MS PGothic" w:eastAsia="MS PGothic" w:hAnsi="MS PGothic"/>
          <w:sz w:val="17"/>
          <w:szCs w:val="17"/>
          <w:color w:val="auto"/>
        </w:rPr>
        <w:t>‑</w:t>
      </w:r>
      <w:r>
        <w:rPr>
          <w:rFonts w:ascii="Arial" w:cs="Arial" w:eastAsia="Arial" w:hAnsi="Arial"/>
          <w:sz w:val="17"/>
          <w:szCs w:val="17"/>
          <w:color w:val="auto"/>
        </w:rPr>
        <w:t>party surveys, market research, publicly available information, reports of governmental agencies and industry publications and surveys. All of the market data used in this Annual Report involves a number of assumptions and limitations, and you are cautioned not to give undue weight to such estimates. We believe that the information from these industry publications and surveys included in this Annual Report is reliable. The industry in which we operate is subject to a high degree of uncertainty and risk due to a variety of factors, including those described in the sections of this Annual Report entitled “Risk factors” and “Special note regarding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and elsewhere in this Annual Report. These and other factors could cause results to differ materially from those expressed in the estimates made by the independent parties and by us.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own the rights to Kiniksa</w:t>
      </w:r>
      <w:r>
        <w:rPr>
          <w:rFonts w:ascii="Arial" w:cs="Arial" w:eastAsia="Arial" w:hAnsi="Arial"/>
          <w:sz w:val="8"/>
          <w:szCs w:val="8"/>
          <w:color w:val="auto"/>
        </w:rPr>
        <w:t>®</w:t>
      </w:r>
      <w:r>
        <w:rPr>
          <w:rFonts w:ascii="Arial" w:cs="Arial" w:eastAsia="Arial" w:hAnsi="Arial"/>
          <w:sz w:val="17"/>
          <w:szCs w:val="17"/>
          <w:color w:val="auto"/>
        </w:rPr>
        <w:t xml:space="preserve"> and have certain rights to trademarks that we use in connection with the operation of our business, including ARCALYST</w:t>
      </w:r>
      <w:r>
        <w:rPr>
          <w:rFonts w:ascii="Arial" w:cs="Arial" w:eastAsia="Arial" w:hAnsi="Arial"/>
          <w:sz w:val="8"/>
          <w:szCs w:val="8"/>
          <w:color w:val="auto"/>
        </w:rPr>
        <w:t>®</w:t>
      </w:r>
      <w:r>
        <w:rPr>
          <w:rFonts w:ascii="Arial" w:cs="Arial" w:eastAsia="Arial" w:hAnsi="Arial"/>
          <w:sz w:val="17"/>
          <w:szCs w:val="17"/>
          <w:color w:val="auto"/>
        </w:rPr>
        <w:t>. Kiniksa</w:t>
      </w:r>
      <w:r>
        <w:rPr>
          <w:rFonts w:ascii="Arial" w:cs="Arial" w:eastAsia="Arial" w:hAnsi="Arial"/>
          <w:sz w:val="8"/>
          <w:szCs w:val="8"/>
          <w:color w:val="auto"/>
        </w:rPr>
        <w:t>®</w:t>
      </w:r>
      <w:r>
        <w:rPr>
          <w:rFonts w:ascii="Arial" w:cs="Arial" w:eastAsia="Arial" w:hAnsi="Arial"/>
          <w:sz w:val="17"/>
          <w:szCs w:val="17"/>
          <w:color w:val="auto"/>
        </w:rPr>
        <w:t xml:space="preserve"> is a trademark of Kiniksa Pharmaceuticals, Ltd. ARCALYST</w:t>
      </w:r>
      <w:r>
        <w:rPr>
          <w:rFonts w:ascii="Arial" w:cs="Arial" w:eastAsia="Arial" w:hAnsi="Arial"/>
          <w:sz w:val="8"/>
          <w:szCs w:val="8"/>
          <w:color w:val="auto"/>
        </w:rPr>
        <w:t>®</w:t>
      </w:r>
      <w:r>
        <w:rPr>
          <w:rFonts w:ascii="Arial" w:cs="Arial" w:eastAsia="Arial" w:hAnsi="Arial"/>
          <w:sz w:val="17"/>
          <w:szCs w:val="17"/>
          <w:color w:val="auto"/>
        </w:rPr>
        <w:t xml:space="preserve"> is a registered trademark of Regeneron Pharmaceuticals, Inc. Solely for convenience, trademarks, service marks and trade names referred to in this Annual Report, including Kiniksa and ARCALYST, may be listed without the </w:t>
      </w:r>
      <w:r>
        <w:rPr>
          <w:rFonts w:ascii="Arial" w:cs="Arial" w:eastAsia="Arial" w:hAnsi="Arial"/>
          <w:sz w:val="8"/>
          <w:szCs w:val="8"/>
          <w:color w:val="auto"/>
        </w:rPr>
        <w:t>®</w:t>
      </w:r>
      <w:r>
        <w:rPr>
          <w:rFonts w:ascii="Arial" w:cs="Arial" w:eastAsia="Arial" w:hAnsi="Arial"/>
          <w:sz w:val="17"/>
          <w:szCs w:val="17"/>
          <w:color w:val="auto"/>
        </w:rPr>
        <w:t>, SM and ™ symbols. We will assert, to the fullest extent under applicable law, our rights to our intellectual property. Trademarks, service marks and trade names of third parties are the intellectual property of such parties.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a biopharmaceutical company focused on discovering, acquiring, developing and commercializing therapeutic medicines for patients with significant unmet medical need. We have a pipeline of clinical-stage product candidates, rilonacept, mavrilimumab, KPL-716 and KPL-404, that are expected to generate data-readouts throughout 2020. These product candidates are based on strong biologic rationales or validated mechanisms of action, target underserved conditions and offer the potential for differentiation. Further, by modulating different parts of the innate and adaptive immune system, we believe they have the potential to address multiple devastating diseases.</w:t>
      </w:r>
    </w:p>
    <w:p>
      <w:pPr>
        <w:spacing w:after="0" w:line="178" w:lineRule="exact"/>
        <w:rPr>
          <w:sz w:val="20"/>
          <w:szCs w:val="20"/>
          <w:color w:val="auto"/>
        </w:rPr>
      </w:pPr>
    </w:p>
    <w:p>
      <w:pPr>
        <w:ind w:right="60" w:firstLine="648"/>
        <w:spacing w:after="0" w:line="218" w:lineRule="exact"/>
        <w:rPr>
          <w:sz w:val="20"/>
          <w:szCs w:val="20"/>
          <w:color w:val="auto"/>
        </w:rPr>
      </w:pPr>
      <w:r>
        <w:rPr>
          <w:rFonts w:ascii="Arial" w:cs="Arial" w:eastAsia="Arial" w:hAnsi="Arial"/>
          <w:sz w:val="18"/>
          <w:szCs w:val="18"/>
          <w:b w:val="1"/>
          <w:bCs w:val="1"/>
          <w:i w:val="1"/>
          <w:iCs w:val="1"/>
          <w:color w:val="auto"/>
        </w:rPr>
        <w:t xml:space="preserve">Rilonacept </w:t>
      </w:r>
      <w:r>
        <w:rPr>
          <w:rFonts w:ascii="Arial" w:cs="Arial" w:eastAsia="Arial" w:hAnsi="Arial"/>
          <w:sz w:val="18"/>
          <w:szCs w:val="18"/>
          <w:color w:val="auto"/>
        </w:rPr>
        <w:t>is a protein cytokine trap for inhibiting interleukin</w:t>
      </w:r>
      <w:r>
        <w:rPr>
          <w:rFonts w:ascii="MS PGothic" w:cs="MS PGothic" w:eastAsia="MS PGothic" w:hAnsi="MS PGothic"/>
          <w:sz w:val="18"/>
          <w:szCs w:val="18"/>
          <w:color w:val="auto"/>
        </w:rPr>
        <w:t>‑</w:t>
      </w:r>
      <w:r>
        <w:rPr>
          <w:rFonts w:ascii="Arial" w:cs="Arial" w:eastAsia="Arial" w:hAnsi="Arial"/>
          <w:sz w:val="18"/>
          <w:szCs w:val="18"/>
          <w:color w:val="auto"/>
        </w:rPr>
        <w:t>1 alpha, or IL</w:t>
      </w:r>
      <w:r>
        <w:rPr>
          <w:rFonts w:ascii="MS PGothic" w:cs="MS PGothic" w:eastAsia="MS PGothic" w:hAnsi="MS PGothic"/>
          <w:sz w:val="18"/>
          <w:szCs w:val="18"/>
          <w:color w:val="auto"/>
        </w:rPr>
        <w:t>‑</w:t>
      </w:r>
      <w:r>
        <w:rPr>
          <w:rFonts w:ascii="Arial" w:cs="Arial" w:eastAsia="Arial" w:hAnsi="Arial"/>
          <w:sz w:val="18"/>
          <w:szCs w:val="18"/>
          <w:color w:val="auto"/>
        </w:rPr>
        <w:t>1α, and interleukin</w:t>
      </w:r>
      <w:r>
        <w:rPr>
          <w:rFonts w:ascii="MS PGothic" w:cs="MS PGothic" w:eastAsia="MS PGothic" w:hAnsi="MS PGothic"/>
          <w:sz w:val="18"/>
          <w:szCs w:val="18"/>
          <w:color w:val="auto"/>
        </w:rPr>
        <w:t>‑</w:t>
      </w:r>
      <w:r>
        <w:rPr>
          <w:rFonts w:ascii="Arial" w:cs="Arial" w:eastAsia="Arial" w:hAnsi="Arial"/>
          <w:sz w:val="18"/>
          <w:szCs w:val="18"/>
          <w:color w:val="auto"/>
        </w:rPr>
        <w:t>1 beta, or IL</w:t>
      </w:r>
      <w:r>
        <w:rPr>
          <w:rFonts w:ascii="MS PGothic" w:cs="MS PGothic" w:eastAsia="MS PGothic" w:hAnsi="MS PGothic"/>
          <w:sz w:val="18"/>
          <w:szCs w:val="18"/>
          <w:color w:val="auto"/>
        </w:rPr>
        <w:t>‑</w:t>
      </w:r>
      <w:r>
        <w:rPr>
          <w:rFonts w:ascii="Arial" w:cs="Arial" w:eastAsia="Arial" w:hAnsi="Arial"/>
          <w:sz w:val="18"/>
          <w:szCs w:val="18"/>
          <w:color w:val="auto"/>
        </w:rPr>
        <w:t>1β.</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Cytokines are small proteins that play a key role in cell signaling. Rilonacept is approved by the U.S. Food and Drug Administration, or the FDA, for the treatment of Cryopyrin</w:t>
      </w:r>
      <w:r>
        <w:rPr>
          <w:rFonts w:ascii="MS PGothic" w:cs="MS PGothic" w:eastAsia="MS PGothic" w:hAnsi="MS PGothic"/>
          <w:sz w:val="18"/>
          <w:szCs w:val="18"/>
          <w:color w:val="auto"/>
        </w:rPr>
        <w:t>‑</w:t>
      </w:r>
      <w:r>
        <w:rPr>
          <w:rFonts w:ascii="Arial" w:cs="Arial" w:eastAsia="Arial" w:hAnsi="Arial"/>
          <w:sz w:val="18"/>
          <w:szCs w:val="18"/>
          <w:color w:val="auto"/>
        </w:rPr>
        <w:t>Associated Periodic Syndromes, or CAPS, and has been commercially sold as ARCALYST by Regeneron Pharmaceuticals, Inc., or Regeneron, for this indication since 2008. We licensed rilonacept from Regeneron in 2017. We are initially developing rilonacept for the treatment of recurrent pericarditis, a painful autoinflammatory cardiovascular disease with an estimated U.S. prevalent population of approximately 40,000 patients seeking and receiving medical treatment. Currently, there is no FDA-approved therapy for the treatment of recurrent pericarditis.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conducting a single, pivotal, global, Phase 3 clinical trial in recurrent pericarditis, named RHAPSODY. We</w:t>
      </w:r>
    </w:p>
    <w:p>
      <w:pPr>
        <w:spacing w:after="0" w:line="4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expect to report top</w:t>
      </w:r>
      <w:r>
        <w:rPr>
          <w:rFonts w:ascii="MS PGothic" w:cs="MS PGothic" w:eastAsia="MS PGothic" w:hAnsi="MS PGothic"/>
          <w:sz w:val="18"/>
          <w:szCs w:val="18"/>
          <w:color w:val="auto"/>
        </w:rPr>
        <w:t>‑</w:t>
      </w:r>
      <w:r>
        <w:rPr>
          <w:rFonts w:ascii="Arial" w:cs="Arial" w:eastAsia="Arial" w:hAnsi="Arial"/>
          <w:sz w:val="18"/>
          <w:szCs w:val="18"/>
          <w:color w:val="auto"/>
        </w:rPr>
        <w:t>line data in the second half of 2020. RHAPSODY is a double</w:t>
      </w:r>
      <w:r>
        <w:rPr>
          <w:rFonts w:ascii="MS PGothic" w:cs="MS PGothic" w:eastAsia="MS PGothic" w:hAnsi="MS PGothic"/>
          <w:sz w:val="18"/>
          <w:szCs w:val="18"/>
          <w:color w:val="auto"/>
        </w:rPr>
        <w:t>‑</w:t>
      </w:r>
      <w:r>
        <w:rPr>
          <w:rFonts w:ascii="Arial" w:cs="Arial" w:eastAsia="Arial" w:hAnsi="Arial"/>
          <w:sz w:val="18"/>
          <w:szCs w:val="18"/>
          <w:color w:val="auto"/>
        </w:rPr>
        <w:t>blind, placebo</w:t>
      </w:r>
      <w:r>
        <w:rPr>
          <w:rFonts w:ascii="MS PGothic" w:cs="MS PGothic" w:eastAsia="MS PGothic" w:hAnsi="MS PGothic"/>
          <w:sz w:val="18"/>
          <w:szCs w:val="18"/>
          <w:color w:val="auto"/>
        </w:rPr>
        <w:t>‑</w:t>
      </w:r>
      <w:r>
        <w:rPr>
          <w:rFonts w:ascii="Arial" w:cs="Arial" w:eastAsia="Arial" w:hAnsi="Arial"/>
          <w:sz w:val="18"/>
          <w:szCs w:val="18"/>
          <w:color w:val="auto"/>
        </w:rPr>
        <w:t>controlled,</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randomized</w:t>
      </w:r>
      <w:r>
        <w:rPr>
          <w:rFonts w:ascii="MS PGothic" w:cs="MS PGothic" w:eastAsia="MS PGothic" w:hAnsi="MS PGothic"/>
          <w:sz w:val="16"/>
          <w:szCs w:val="16"/>
          <w:color w:val="auto"/>
        </w:rPr>
        <w:t>‑</w:t>
      </w:r>
      <w:r>
        <w:rPr>
          <w:rFonts w:ascii="Arial" w:cs="Arial" w:eastAsia="Arial" w:hAnsi="Arial"/>
          <w:sz w:val="16"/>
          <w:szCs w:val="16"/>
          <w:color w:val="auto"/>
        </w:rPr>
        <w:t>withdrawal, or RW, design study with open</w:t>
      </w:r>
      <w:r>
        <w:rPr>
          <w:rFonts w:ascii="MS PGothic" w:cs="MS PGothic" w:eastAsia="MS PGothic" w:hAnsi="MS PGothic"/>
          <w:sz w:val="16"/>
          <w:szCs w:val="16"/>
          <w:color w:val="auto"/>
        </w:rPr>
        <w:t>‑</w:t>
      </w:r>
      <w:r>
        <w:rPr>
          <w:rFonts w:ascii="Arial" w:cs="Arial" w:eastAsia="Arial" w:hAnsi="Arial"/>
          <w:sz w:val="16"/>
          <w:szCs w:val="16"/>
          <w:color w:val="auto"/>
        </w:rPr>
        <w:t>label extension which is designed to assess the efficacy and safety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rilonacept treatment in subjects with recurrent pericarditis.</w:t>
      </w:r>
    </w:p>
    <w:p>
      <w:pPr>
        <w:spacing w:after="0" w:line="211" w:lineRule="exact"/>
        <w:rPr>
          <w:sz w:val="20"/>
          <w:szCs w:val="20"/>
          <w:color w:val="auto"/>
        </w:rPr>
      </w:pPr>
    </w:p>
    <w:p>
      <w:pPr>
        <w:ind w:right="160" w:firstLine="648"/>
        <w:spacing w:after="0" w:line="218" w:lineRule="exact"/>
        <w:rPr>
          <w:sz w:val="20"/>
          <w:szCs w:val="20"/>
          <w:color w:val="auto"/>
        </w:rPr>
      </w:pPr>
      <w:r>
        <w:rPr>
          <w:rFonts w:ascii="Arial" w:cs="Arial" w:eastAsia="Arial" w:hAnsi="Arial"/>
          <w:sz w:val="17"/>
          <w:szCs w:val="17"/>
          <w:color w:val="auto"/>
        </w:rPr>
        <w:t>We received Breakthrough Therapy designation from the FDA for rilonacept for the treatment of recurrent pericarditis in 2019, and reported final data from our open</w:t>
      </w:r>
      <w:r>
        <w:rPr>
          <w:rFonts w:ascii="MS PGothic" w:cs="MS PGothic" w:eastAsia="MS PGothic" w:hAnsi="MS PGothic"/>
          <w:sz w:val="17"/>
          <w:szCs w:val="17"/>
          <w:color w:val="auto"/>
        </w:rPr>
        <w:t>‑</w:t>
      </w:r>
      <w:r>
        <w:rPr>
          <w:rFonts w:ascii="Arial" w:cs="Arial" w:eastAsia="Arial" w:hAnsi="Arial"/>
          <w:sz w:val="17"/>
          <w:szCs w:val="17"/>
          <w:color w:val="auto"/>
        </w:rPr>
        <w:t>label Phase 2 proof</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concept clinical trial of rilonacept in a range of recurrent pericarditis populations at the American Heart Association Scientific Sessions in November 2019. The data derived from the study provided early evidence that rilonacept treatment in the study improved clinically meaningful outcomes associated with the unmet medical need in recurrent pericarditis. Rilonacept was generally well-tolerated in the study, with adverse events consistent with the FDA approved rilonacept label for the treatment of CAPS, including Familial Cold Autoinflammatory Syndrome and Muckle-Wells Syndrome. The most common adverse events were mild, transient injection site reactions that did not cause discontinuation. There was one treatment-related serious adverse event which resulted in discontinuation: a skin abscess which responded to medical treatment. Infections are included in the rilonacept label for CAPS.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Mavrilimumab </w:t>
      </w:r>
      <w:r>
        <w:rPr>
          <w:rFonts w:ascii="Arial" w:cs="Arial" w:eastAsia="Arial" w:hAnsi="Arial"/>
          <w:sz w:val="17"/>
          <w:szCs w:val="17"/>
          <w:color w:val="auto"/>
        </w:rPr>
        <w:t>is a monoclonal antibody that antagonizes the signaling of granulocyte macrophage colony</w:t>
      </w:r>
    </w:p>
    <w:p>
      <w:pPr>
        <w:spacing w:after="0" w:line="3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stimulating factor, or GM</w:t>
      </w:r>
      <w:r>
        <w:rPr>
          <w:rFonts w:ascii="MS PGothic" w:cs="MS PGothic" w:eastAsia="MS PGothic" w:hAnsi="MS PGothic"/>
          <w:sz w:val="17"/>
          <w:szCs w:val="17"/>
          <w:color w:val="auto"/>
        </w:rPr>
        <w:t>‑</w:t>
      </w:r>
      <w:r>
        <w:rPr>
          <w:rFonts w:ascii="Arial" w:cs="Arial" w:eastAsia="Arial" w:hAnsi="Arial"/>
          <w:sz w:val="17"/>
          <w:szCs w:val="17"/>
          <w:color w:val="auto"/>
        </w:rPr>
        <w:t>CSF. We are focusing our initial development efforts for mavrilimumab on giant cell arteritis,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GCA, a chronic inflammatory disease of medium-to-large arteries with an estimated U.S. prevalence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75,000 – 150,000 patients. We licensed mavrilimumab from MedImmune Limited, or MedImmune, in 2017. There is only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one FDA-approved therapy for GCA, which is an adjunct to corticosteroid therapy, and we believe an unmet need</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persists. We are conducting a randomized, double</w:t>
      </w:r>
      <w:r>
        <w:rPr>
          <w:rFonts w:ascii="MS PGothic" w:cs="MS PGothic" w:eastAsia="MS PGothic" w:hAnsi="MS PGothic"/>
          <w:sz w:val="16"/>
          <w:szCs w:val="16"/>
          <w:color w:val="auto"/>
        </w:rPr>
        <w:t>‑</w:t>
      </w:r>
      <w:r>
        <w:rPr>
          <w:rFonts w:ascii="Arial" w:cs="Arial" w:eastAsia="Arial" w:hAnsi="Arial"/>
          <w:sz w:val="16"/>
          <w:szCs w:val="16"/>
          <w:color w:val="auto"/>
        </w:rPr>
        <w:t>blind, placebo</w:t>
      </w:r>
      <w:r>
        <w:rPr>
          <w:rFonts w:ascii="MS PGothic" w:cs="MS PGothic" w:eastAsia="MS PGothic" w:hAnsi="MS PGothic"/>
          <w:sz w:val="16"/>
          <w:szCs w:val="16"/>
          <w:color w:val="auto"/>
        </w:rPr>
        <w:t>‑</w:t>
      </w:r>
      <w:r>
        <w:rPr>
          <w:rFonts w:ascii="Arial" w:cs="Arial" w:eastAsia="Arial" w:hAnsi="Arial"/>
          <w:sz w:val="16"/>
          <w:szCs w:val="16"/>
          <w:color w:val="auto"/>
        </w:rPr>
        <w:t>controlled, global Phase 2 proof</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concept clinical trial of</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mavrilimumab in GCA. We expect to report top</w:t>
      </w:r>
      <w:r>
        <w:rPr>
          <w:rFonts w:ascii="MS PGothic" w:cs="MS PGothic" w:eastAsia="MS PGothic" w:hAnsi="MS PGothic"/>
          <w:sz w:val="18"/>
          <w:szCs w:val="18"/>
          <w:color w:val="auto"/>
        </w:rPr>
        <w:t>‑</w:t>
      </w:r>
      <w:r>
        <w:rPr>
          <w:rFonts w:ascii="Arial" w:cs="Arial" w:eastAsia="Arial" w:hAnsi="Arial"/>
          <w:sz w:val="18"/>
          <w:szCs w:val="18"/>
          <w:color w:val="auto"/>
        </w:rPr>
        <w:t>line data in the second half of 2020.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December 2019, we entered into a clinical collaboration with Kite, a Gilead Company, or Kite, to initiate a Phase 2 clinical trial evaluating the combination of Yescarta (axicabtagene ciloleucel) and mavrilimumab in relapsed or refractory large B-Cell lymphoma. The objective of the Phase 2 trial is to determine the effect of mavrilimumab on the safety of Yescarta. Treatment related induction of GM-CSF has been identified through clinical, translational and preclinical studies as a potential key signal associated with side effects of chimeric antigen receptor T, or CAR T, cell therapy. Preclinical evidence suggest the potential for interruption of GM-CSF signaling to disrupt CAR T cell mediated inflammation without disrupting anti-tumor activity. Kite will be the sponsor of this study and responsible for its conduct.</w:t>
      </w:r>
    </w:p>
    <w:p>
      <w:pPr>
        <w:spacing w:after="0" w:line="178" w:lineRule="exact"/>
        <w:rPr>
          <w:sz w:val="20"/>
          <w:szCs w:val="20"/>
          <w:color w:val="auto"/>
        </w:rPr>
      </w:pPr>
    </w:p>
    <w:p>
      <w:pPr>
        <w:ind w:right="200" w:firstLine="648"/>
        <w:spacing w:after="0" w:line="220" w:lineRule="exact"/>
        <w:rPr>
          <w:sz w:val="20"/>
          <w:szCs w:val="20"/>
          <w:color w:val="auto"/>
        </w:rPr>
      </w:pPr>
      <w:r>
        <w:rPr>
          <w:rFonts w:ascii="Arial" w:cs="Arial" w:eastAsia="Arial" w:hAnsi="Arial"/>
          <w:sz w:val="18"/>
          <w:szCs w:val="18"/>
          <w:b w:val="1"/>
          <w:bCs w:val="1"/>
          <w:i w:val="1"/>
          <w:iCs w:val="1"/>
          <w:color w:val="auto"/>
        </w:rPr>
        <w:t>KPL</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716 </w:t>
      </w:r>
      <w:r>
        <w:rPr>
          <w:rFonts w:ascii="Arial" w:cs="Arial" w:eastAsia="Arial" w:hAnsi="Arial"/>
          <w:sz w:val="18"/>
          <w:szCs w:val="18"/>
          <w:color w:val="auto"/>
        </w:rPr>
        <w:t>is a monoclonal antibody that simultaneously inhibits the signaling of the cytokines interleukin</w:t>
      </w:r>
      <w:r>
        <w:rPr>
          <w:rFonts w:ascii="MS PGothic" w:cs="MS PGothic" w:eastAsia="MS PGothic" w:hAnsi="MS PGothic"/>
          <w:sz w:val="18"/>
          <w:szCs w:val="18"/>
          <w:color w:val="auto"/>
        </w:rPr>
        <w:t>‑</w:t>
      </w:r>
      <w:r>
        <w:rPr>
          <w:rFonts w:ascii="Arial" w:cs="Arial" w:eastAsia="Arial" w:hAnsi="Arial"/>
          <w:sz w:val="18"/>
          <w:szCs w:val="18"/>
          <w:color w:val="auto"/>
        </w:rPr>
        <w:t>31,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IL</w:t>
      </w:r>
      <w:r>
        <w:rPr>
          <w:rFonts w:ascii="MS PGothic" w:cs="MS PGothic" w:eastAsia="MS PGothic" w:hAnsi="MS PGothic"/>
          <w:sz w:val="18"/>
          <w:szCs w:val="18"/>
          <w:color w:val="auto"/>
        </w:rPr>
        <w:t>‑</w:t>
      </w:r>
      <w:r>
        <w:rPr>
          <w:rFonts w:ascii="Arial" w:cs="Arial" w:eastAsia="Arial" w:hAnsi="Arial"/>
          <w:sz w:val="18"/>
          <w:szCs w:val="18"/>
          <w:color w:val="auto"/>
        </w:rPr>
        <w:t>31, and oncostatin M, or OSM, by targeting their common receptor subunit, oncostatin M receptor beta, or OSMRβ. We licensed KPL-716 from Biogen MA, Inc., or Biogen, in 2016. We believe KPL-716 is the only monoclonal antibody in development that simultaneously targets both pathways.</w:t>
      </w:r>
    </w:p>
    <w:p>
      <w:pPr>
        <w:spacing w:after="0" w:line="20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are conducting a randomized, double-blind, placebo-controlled, Phase 2a clinical trial of KPL-716 in subjects with prurigo nodularis, a chronic inflammatory skin condition with an estimated U.S. prevalence of approximately 300,000 patients. Currently, there is no FDA-approved therapy for prurigo nodularis. We expect data from this trial by the end of April 2020. We are also conducting an exploratory Phase 2 clinical trial in diseases characterized by chronic pruritus. This randomized, double-blind, placebo-controlled trial is designed to identify chronic pruritic conditions where signaling through OSMRβ may be playing a role and to investigate the efficacy, safety and tolerability of KPL-716 in reducing the moderate-to-severe pruritus experienced by these subjects. We expect interim data from cohorts of this study in the first half of 2020.</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August 2019, we reported interim results from the repeated-single-dose Phase 1b clinical trial of KPL-716 in subjects with moderate-to-severe atopic dermatitis. Atopic dermatitis provided a proxy for evaluating target engagement in IL-31 driven pruritic diseases. Interim repeated-single-dose Phase 1b data through the 12-week treatment period showed a rapid and sustained anti-pruritic response as measured by Worst-Itch Numeric Rating Scale (WI-NRS). There were no serious adverse events. However, there were more atopic dermatitis flares in the KPL-716-treated population versus placebo (47.6% versus 4.5%); all subjects who experienced a flare were successfully managed with topical corticosteroids. KPL-716 was otherwise well-tolerated by all subjects.</w:t>
      </w:r>
    </w:p>
    <w:p>
      <w:pPr>
        <w:spacing w:after="0" w:line="18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b w:val="1"/>
          <w:bCs w:val="1"/>
          <w:i w:val="1"/>
          <w:iCs w:val="1"/>
          <w:color w:val="auto"/>
        </w:rPr>
        <w:t>KPL</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404 </w:t>
      </w:r>
      <w:r>
        <w:rPr>
          <w:rFonts w:ascii="Arial" w:cs="Arial" w:eastAsia="Arial" w:hAnsi="Arial"/>
          <w:sz w:val="18"/>
          <w:szCs w:val="18"/>
          <w:color w:val="auto"/>
        </w:rPr>
        <w:t>is a monoclonal antibody inhibitor of the CD40/CD40L interaction, a central control node of</w:t>
      </w:r>
    </w:p>
    <w:p>
      <w:pPr>
        <w:spacing w:after="0" w:line="2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w:t>
      </w:r>
      <w:r>
        <w:rPr>
          <w:rFonts w:ascii="MS PGothic" w:cs="MS PGothic" w:eastAsia="MS PGothic" w:hAnsi="MS PGothic"/>
          <w:sz w:val="16"/>
          <w:szCs w:val="16"/>
          <w:color w:val="auto"/>
        </w:rPr>
        <w:t>‑</w:t>
      </w:r>
      <w:r>
        <w:rPr>
          <w:rFonts w:ascii="Arial" w:cs="Arial" w:eastAsia="Arial" w:hAnsi="Arial"/>
          <w:sz w:val="16"/>
          <w:szCs w:val="16"/>
          <w:color w:val="auto"/>
        </w:rPr>
        <w:t>cell</w:t>
      </w:r>
      <w:r>
        <w:rPr>
          <w:rFonts w:ascii="MS PGothic" w:cs="MS PGothic" w:eastAsia="MS PGothic" w:hAnsi="MS PGothic"/>
          <w:sz w:val="16"/>
          <w:szCs w:val="16"/>
          <w:color w:val="auto"/>
        </w:rPr>
        <w:t>‑</w:t>
      </w:r>
      <w:r>
        <w:rPr>
          <w:rFonts w:ascii="Arial" w:cs="Arial" w:eastAsia="Arial" w:hAnsi="Arial"/>
          <w:sz w:val="16"/>
          <w:szCs w:val="16"/>
          <w:color w:val="auto"/>
        </w:rPr>
        <w:t>dependent, B</w:t>
      </w:r>
      <w:r>
        <w:rPr>
          <w:rFonts w:ascii="MS PGothic" w:cs="MS PGothic" w:eastAsia="MS PGothic" w:hAnsi="MS PGothic"/>
          <w:sz w:val="16"/>
          <w:szCs w:val="16"/>
          <w:color w:val="auto"/>
        </w:rPr>
        <w:t>‑</w:t>
      </w:r>
      <w:r>
        <w:rPr>
          <w:rFonts w:ascii="Arial" w:cs="Arial" w:eastAsia="Arial" w:hAnsi="Arial"/>
          <w:sz w:val="16"/>
          <w:szCs w:val="16"/>
          <w:color w:val="auto"/>
        </w:rPr>
        <w:t>cell</w:t>
      </w:r>
      <w:r>
        <w:rPr>
          <w:rFonts w:ascii="MS PGothic" w:cs="MS PGothic" w:eastAsia="MS PGothic" w:hAnsi="MS PGothic"/>
          <w:sz w:val="16"/>
          <w:szCs w:val="16"/>
          <w:color w:val="auto"/>
        </w:rPr>
        <w:t>‑</w:t>
      </w:r>
      <w:r>
        <w:rPr>
          <w:rFonts w:ascii="Arial" w:cs="Arial" w:eastAsia="Arial" w:hAnsi="Arial"/>
          <w:sz w:val="16"/>
          <w:szCs w:val="16"/>
          <w:color w:val="auto"/>
        </w:rPr>
        <w:t>mediated humoral adaptive immunity. In the first quarter of 2019, we acquired all of the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stock of Primatope Therapeutics, Inc., or Primatope, the company that owned or controlled the intellectual property</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related to KPL</w:t>
      </w:r>
      <w:r>
        <w:rPr>
          <w:rFonts w:ascii="MS PGothic" w:cs="MS PGothic" w:eastAsia="MS PGothic" w:hAnsi="MS PGothic"/>
          <w:sz w:val="17"/>
          <w:szCs w:val="17"/>
          <w:color w:val="auto"/>
        </w:rPr>
        <w:t>‑</w:t>
      </w:r>
      <w:r>
        <w:rPr>
          <w:rFonts w:ascii="Arial" w:cs="Arial" w:eastAsia="Arial" w:hAnsi="Arial"/>
          <w:sz w:val="17"/>
          <w:szCs w:val="17"/>
          <w:color w:val="auto"/>
        </w:rPr>
        <w:t>404. In the second half of 2019, we initiated a single-ascending-dose Phase 1 clinical trial of KPL-404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healthy volunteers. The first-in-human trial is designed to provide safety and pharmacokinetics data as well as receptor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occupancy and T-cell dependent antibody response (TDAR). We expect top-line data in the second half of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current pipeline of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5651500" cy="2478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150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0" w:hanging="277"/>
        <w:spacing w:after="0"/>
        <w:tabs>
          <w:tab w:leader="none" w:pos="280" w:val="left"/>
        </w:tabs>
        <w:numPr>
          <w:ilvl w:val="0"/>
          <w:numId w:val="5"/>
        </w:numPr>
        <w:rPr>
          <w:rFonts w:ascii="Arial" w:cs="Arial" w:eastAsia="Arial" w:hAnsi="Arial"/>
          <w:sz w:val="14"/>
          <w:szCs w:val="14"/>
          <w:color w:val="auto"/>
          <w:vertAlign w:val="superscript"/>
        </w:rPr>
      </w:pPr>
      <w:r>
        <w:rPr>
          <w:rFonts w:ascii="Arial" w:cs="Arial" w:eastAsia="Arial" w:hAnsi="Arial"/>
          <w:sz w:val="14"/>
          <w:szCs w:val="14"/>
          <w:color w:val="auto"/>
        </w:rPr>
        <w:t>Rilonacept (ARCALYST®) is approved and marketed for cryopyrin-associated periodic syndrome, in the United States by Regeneron.</w:t>
      </w:r>
    </w:p>
    <w:p>
      <w:pPr>
        <w:spacing w:after="0" w:line="95" w:lineRule="exact"/>
        <w:rPr>
          <w:rFonts w:ascii="Arial" w:cs="Arial" w:eastAsia="Arial" w:hAnsi="Arial"/>
          <w:sz w:val="14"/>
          <w:szCs w:val="14"/>
          <w:color w:val="auto"/>
          <w:vertAlign w:val="superscript"/>
        </w:rPr>
      </w:pPr>
    </w:p>
    <w:p>
      <w:pPr>
        <w:ind w:left="280" w:hanging="277"/>
        <w:spacing w:after="0"/>
        <w:tabs>
          <w:tab w:leader="none" w:pos="280" w:val="left"/>
        </w:tabs>
        <w:numPr>
          <w:ilvl w:val="0"/>
          <w:numId w:val="5"/>
        </w:numPr>
        <w:rPr>
          <w:rFonts w:ascii="Arial" w:cs="Arial" w:eastAsia="Arial" w:hAnsi="Arial"/>
          <w:sz w:val="14"/>
          <w:szCs w:val="14"/>
          <w:color w:val="auto"/>
          <w:vertAlign w:val="superscript"/>
        </w:rPr>
      </w:pPr>
      <w:r>
        <w:rPr>
          <w:rFonts w:ascii="Arial" w:cs="Arial" w:eastAsia="Arial" w:hAnsi="Arial"/>
          <w:sz w:val="14"/>
          <w:szCs w:val="14"/>
          <w:color w:val="auto"/>
        </w:rPr>
        <w:t>Clinical collaboration with Kite.</w:t>
      </w:r>
    </w:p>
    <w:p>
      <w:pPr>
        <w:spacing w:after="0" w:line="95" w:lineRule="exact"/>
        <w:rPr>
          <w:rFonts w:ascii="Arial" w:cs="Arial" w:eastAsia="Arial" w:hAnsi="Arial"/>
          <w:sz w:val="14"/>
          <w:szCs w:val="14"/>
          <w:color w:val="auto"/>
          <w:vertAlign w:val="superscript"/>
        </w:rPr>
      </w:pPr>
    </w:p>
    <w:p>
      <w:pPr>
        <w:ind w:left="320" w:right="20" w:hanging="317"/>
        <w:spacing w:after="0" w:line="291" w:lineRule="auto"/>
        <w:tabs>
          <w:tab w:leader="none" w:pos="269" w:val="left"/>
        </w:tabs>
        <w:numPr>
          <w:ilvl w:val="0"/>
          <w:numId w:val="5"/>
        </w:numPr>
        <w:rPr>
          <w:rFonts w:ascii="Arial" w:cs="Arial" w:eastAsia="Arial" w:hAnsi="Arial"/>
          <w:sz w:val="13"/>
          <w:szCs w:val="13"/>
          <w:color w:val="auto"/>
          <w:vertAlign w:val="superscript"/>
        </w:rPr>
      </w:pPr>
      <w:r>
        <w:rPr>
          <w:rFonts w:ascii="Arial" w:cs="Arial" w:eastAsia="Arial" w:hAnsi="Arial"/>
          <w:sz w:val="13"/>
          <w:szCs w:val="13"/>
          <w:color w:val="auto"/>
        </w:rPr>
        <w:t>Chronic Idiopathic Pruritus, Chronic Idiopathic Urticaria, Plaque Psoriasis, Lichen Simplex Chronicus, Lichen Planus. IL-1α = interleukin-1 alpha ; IL-1β = interleukin 1 beta; GM-CSFRα = granulocyte macrophage colony stimulating factor receptor alpha; OSMRβ = oncostatin M receptor beta</w:t>
      </w:r>
    </w:p>
    <w:p>
      <w:pPr>
        <w:spacing w:after="0" w:line="250" w:lineRule="exact"/>
        <w:rPr>
          <w:sz w:val="20"/>
          <w:szCs w:val="20"/>
          <w:color w:val="auto"/>
        </w:rPr>
      </w:pPr>
    </w:p>
    <w:p>
      <w:pPr>
        <w:ind w:right="360" w:firstLine="648"/>
        <w:spacing w:after="0" w:line="220" w:lineRule="exact"/>
        <w:rPr>
          <w:sz w:val="20"/>
          <w:szCs w:val="20"/>
          <w:color w:val="auto"/>
        </w:rPr>
      </w:pPr>
      <w:r>
        <w:rPr>
          <w:rFonts w:ascii="Arial" w:cs="Arial" w:eastAsia="Arial" w:hAnsi="Arial"/>
          <w:sz w:val="17"/>
          <w:szCs w:val="17"/>
          <w:color w:val="auto"/>
        </w:rPr>
        <w:t>We evaluate options across our portfolio in an effort to maximize value and improve capital allocation based on data, including potential additional indications for rilonacept, mavrilimumab and KPL</w:t>
      </w:r>
      <w:r>
        <w:rPr>
          <w:rFonts w:ascii="MS PGothic" w:cs="MS PGothic" w:eastAsia="MS PGothic" w:hAnsi="MS PGothic"/>
          <w:sz w:val="17"/>
          <w:szCs w:val="17"/>
          <w:color w:val="auto"/>
        </w:rPr>
        <w:t>‑</w:t>
      </w:r>
      <w:r>
        <w:rPr>
          <w:rFonts w:ascii="Arial" w:cs="Arial" w:eastAsia="Arial" w:hAnsi="Arial"/>
          <w:sz w:val="17"/>
          <w:szCs w:val="17"/>
          <w:color w:val="auto"/>
        </w:rPr>
        <w:t>716, being opportunistic in our business development activities, considering appropriate opportunities to partner or out-license our programs, as well as conducting internal research to discover and develop molecules to expand our portfolio.</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w:t>
      </w:r>
    </w:p>
    <w:p>
      <w:pPr>
        <w:spacing w:after="0" w:line="229" w:lineRule="exact"/>
        <w:rPr>
          <w:sz w:val="20"/>
          <w:szCs w:val="20"/>
          <w:color w:val="auto"/>
        </w:rPr>
      </w:pPr>
    </w:p>
    <w:p>
      <w:pPr>
        <w:ind w:right="160" w:firstLine="648"/>
        <w:spacing w:after="0" w:line="217" w:lineRule="exact"/>
        <w:rPr>
          <w:sz w:val="20"/>
          <w:szCs w:val="20"/>
          <w:color w:val="auto"/>
        </w:rPr>
      </w:pPr>
      <w:r>
        <w:rPr>
          <w:rFonts w:ascii="Arial" w:cs="Arial" w:eastAsia="Arial" w:hAnsi="Arial"/>
          <w:sz w:val="16"/>
          <w:szCs w:val="16"/>
          <w:color w:val="auto"/>
        </w:rPr>
        <w:t>We have assembled an experienced management team with a successful track record. Our management team has expertise across the spectrum of global drug discovery, development, manufacturing and commercialization activities in diseases within both large and orphan indications. Our Chairman and Chief Executive Officer, Sanj K. Patel, has more than 25 years of scientific, clinical and commercial experience in the pharmaceutical and biotechnology industries. Our Chief Medical Officer, John F. Paolini, M.D., Ph.D., has more than 18 years of experience planning, operating and executing clinical development programs across a range of disease indications from orphan diseases to large cardiovascular diseases, and ten years as a practicing cardiologist. Other members of our senior management team have held key management positions at other pharmaceutical and biotechnology companies that developed and commercialized therapies for underserved, rare and specialty</w:t>
      </w:r>
      <w:r>
        <w:rPr>
          <w:rFonts w:ascii="MS PGothic" w:cs="MS PGothic" w:eastAsia="MS PGothic" w:hAnsi="MS PGothic"/>
          <w:sz w:val="16"/>
          <w:szCs w:val="16"/>
          <w:color w:val="auto"/>
        </w:rPr>
        <w:t>‑</w:t>
      </w:r>
      <w:r>
        <w:rPr>
          <w:rFonts w:ascii="Arial" w:cs="Arial" w:eastAsia="Arial" w:hAnsi="Arial"/>
          <w:sz w:val="16"/>
          <w:szCs w:val="16"/>
          <w:color w:val="auto"/>
        </w:rPr>
        <w:t>focused patient populations. These companies include Synageva, Genzyme, Novo Nordisk, Shire, Sanofi, Pfizer, Bayer, Merck, Novartis and Vertex, among others.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goal is to build a fully-integrated, global biopharmaceutical company by discovering, acquiring, developing and commercializing life-changing therapies for debilitating diseases. We have a pipeline of immune-modulating, clinical-stage product candidates that are based on strong biologic rationale or validated mechanisms, target underserved conditions and offer the potential for differentiation.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Critical components of our business strategy include the following:</w:t>
      </w:r>
    </w:p>
    <w:p>
      <w:pPr>
        <w:spacing w:after="0" w:line="221" w:lineRule="exact"/>
        <w:rPr>
          <w:sz w:val="20"/>
          <w:szCs w:val="20"/>
          <w:color w:val="auto"/>
        </w:rPr>
      </w:pPr>
    </w:p>
    <w:p>
      <w:pPr>
        <w:ind w:left="980" w:right="60" w:hanging="329"/>
        <w:spacing w:after="0" w:line="281"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Advance Our Product Candidates Through the Development Process</w:t>
      </w:r>
      <w:r>
        <w:rPr>
          <w:rFonts w:ascii="Arial" w:cs="Arial" w:eastAsia="Arial" w:hAnsi="Arial"/>
          <w:sz w:val="17"/>
          <w:szCs w:val="17"/>
          <w:color w:val="auto"/>
        </w:rPr>
        <w:t>. We are pursuing multiple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candidates in parallel and have advanced these programs with the goal of delivering differentiated therapies to patients. We believe that each of our product candidates have the potential to address significant unmet medical needs and intend to develop them efficiently in a data-driven manner.</w:t>
      </w:r>
    </w:p>
    <w:p>
      <w:pPr>
        <w:spacing w:after="0" w:line="164" w:lineRule="exact"/>
        <w:rPr>
          <w:rFonts w:ascii="Arial" w:cs="Arial" w:eastAsia="Arial" w:hAnsi="Arial"/>
          <w:sz w:val="17"/>
          <w:szCs w:val="17"/>
          <w:color w:val="auto"/>
        </w:rPr>
      </w:pPr>
    </w:p>
    <w:p>
      <w:pPr>
        <w:ind w:left="980" w:right="120" w:hanging="329"/>
        <w:spacing w:after="0" w:line="25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Commercialize Our Product Candidates to Bring Therapies to Patients. </w:t>
      </w:r>
      <w:r>
        <w:rPr>
          <w:rFonts w:ascii="Arial" w:cs="Arial" w:eastAsia="Arial" w:hAnsi="Arial"/>
          <w:sz w:val="18"/>
          <w:szCs w:val="18"/>
          <w:color w:val="auto"/>
        </w:rPr>
        <w:t>We intend to market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 our product candidates, if approved, in the United States and potentially in select international markets by developing sales, marketing, medical affairs, access and reimbursement capabilities, as appropriate for the potential commercial opportunity. We believe this approach will enable us to effectively reach patients and prescribers that our product candidates target and leverage the commercial potential of our product candidates.</w:t>
      </w:r>
    </w:p>
    <w:p>
      <w:pPr>
        <w:spacing w:after="0" w:line="187" w:lineRule="exact"/>
        <w:rPr>
          <w:rFonts w:ascii="Arial" w:cs="Arial" w:eastAsia="Arial" w:hAnsi="Arial"/>
          <w:sz w:val="18"/>
          <w:szCs w:val="18"/>
          <w:color w:val="auto"/>
        </w:rPr>
      </w:pPr>
    </w:p>
    <w:p>
      <w:pPr>
        <w:ind w:left="980" w:right="200" w:hanging="329"/>
        <w:spacing w:after="0" w:line="25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Explore Opportunities to Drive Value and Maximize the Potential of Our Existing Portfolio. </w:t>
      </w:r>
      <w:r>
        <w:rPr>
          <w:rFonts w:ascii="Arial" w:cs="Arial" w:eastAsia="Arial" w:hAnsi="Arial"/>
          <w:sz w:val="18"/>
          <w:szCs w:val="18"/>
          <w:color w:val="auto"/>
        </w:rPr>
        <w:t>We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that our product candidates have potential in multiple indications. Our assets are designed to modulate immunological signaling pathways that are implicated across a spectrum of diseases. We may also seek collaborations, licenses and other strategic relationships to assist in advancing and expanding our current programs, as appropriate to drive value.</w:t>
      </w:r>
    </w:p>
    <w:p>
      <w:pPr>
        <w:spacing w:after="0" w:line="183" w:lineRule="exact"/>
        <w:rPr>
          <w:rFonts w:ascii="Arial" w:cs="Arial" w:eastAsia="Arial" w:hAnsi="Arial"/>
          <w:sz w:val="18"/>
          <w:szCs w:val="18"/>
          <w:color w:val="auto"/>
        </w:rPr>
      </w:pPr>
    </w:p>
    <w:p>
      <w:pPr>
        <w:ind w:left="980" w:hanging="329"/>
        <w:spacing w:after="0" w:line="25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Work to Identify, Discover, Acquire and Develop New Therapies. </w:t>
      </w:r>
      <w:r>
        <w:rPr>
          <w:rFonts w:ascii="Arial" w:cs="Arial" w:eastAsia="Arial" w:hAnsi="Arial"/>
          <w:sz w:val="18"/>
          <w:szCs w:val="18"/>
          <w:color w:val="auto"/>
        </w:rPr>
        <w:t>We aim to leverage our internal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and business development capabilities to complement our existing portfolio. We evaluate a variety of factors for potential product candidates, technologies and discovery targets, including biologic rationale for addressing the disease, potential for regulatory approval, commercial viability, intellectual property position, prospects for favorable pricing and reimbursement and the impact of competition. We also look at assets that could potentially address multiple indications. We intend to continue to be opportunistic in our business development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Rilonacept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20" w:firstLine="648"/>
        <w:spacing w:after="0" w:line="218" w:lineRule="exact"/>
        <w:rPr>
          <w:sz w:val="20"/>
          <w:szCs w:val="20"/>
          <w:color w:val="auto"/>
        </w:rPr>
      </w:pPr>
      <w:r>
        <w:rPr>
          <w:rFonts w:ascii="Arial" w:cs="Arial" w:eastAsia="Arial" w:hAnsi="Arial"/>
          <w:sz w:val="16"/>
          <w:szCs w:val="16"/>
          <w:color w:val="auto"/>
        </w:rPr>
        <w:t>Rilonacept was approved by the FDA for the treatment of CAPS which includes cold auto</w:t>
      </w:r>
      <w:r>
        <w:rPr>
          <w:rFonts w:ascii="MS PGothic" w:cs="MS PGothic" w:eastAsia="MS PGothic" w:hAnsi="MS PGothic"/>
          <w:sz w:val="16"/>
          <w:szCs w:val="16"/>
          <w:color w:val="auto"/>
        </w:rPr>
        <w:t>‑</w:t>
      </w:r>
      <w:r>
        <w:rPr>
          <w:rFonts w:ascii="Arial" w:cs="Arial" w:eastAsia="Arial" w:hAnsi="Arial"/>
          <w:sz w:val="16"/>
          <w:szCs w:val="16"/>
          <w:color w:val="auto"/>
        </w:rPr>
        <w:t>inflammatory syndrome and Muckle</w:t>
      </w:r>
      <w:r>
        <w:rPr>
          <w:rFonts w:ascii="MS PGothic" w:cs="MS PGothic" w:eastAsia="MS PGothic" w:hAnsi="MS PGothic"/>
          <w:sz w:val="16"/>
          <w:szCs w:val="16"/>
          <w:color w:val="auto"/>
        </w:rPr>
        <w:t>‑</w:t>
      </w:r>
      <w:r>
        <w:rPr>
          <w:rFonts w:ascii="Arial" w:cs="Arial" w:eastAsia="Arial" w:hAnsi="Arial"/>
          <w:sz w:val="16"/>
          <w:szCs w:val="16"/>
          <w:color w:val="auto"/>
        </w:rPr>
        <w:t>Wells syndrome, and has been commercially sold as ARCALYST in the United States by Regeneron for this indication since 2008. We licensed rilonacept in 2017 from Regeneron. We believe that rilonacept has potential to treat certain diseases mediated by both IL</w:t>
      </w:r>
      <w:r>
        <w:rPr>
          <w:rFonts w:ascii="MS PGothic" w:cs="MS PGothic" w:eastAsia="MS PGothic" w:hAnsi="MS PGothic"/>
          <w:sz w:val="16"/>
          <w:szCs w:val="16"/>
          <w:color w:val="auto"/>
        </w:rPr>
        <w:t>‑</w:t>
      </w:r>
      <w:r>
        <w:rPr>
          <w:rFonts w:ascii="Arial" w:cs="Arial" w:eastAsia="Arial" w:hAnsi="Arial"/>
          <w:sz w:val="16"/>
          <w:szCs w:val="16"/>
          <w:color w:val="auto"/>
        </w:rPr>
        <w:t>1α and IL</w:t>
      </w:r>
      <w:r>
        <w:rPr>
          <w:rFonts w:ascii="MS PGothic" w:cs="MS PGothic" w:eastAsia="MS PGothic" w:hAnsi="MS PGothic"/>
          <w:sz w:val="16"/>
          <w:szCs w:val="16"/>
          <w:color w:val="auto"/>
        </w:rPr>
        <w:t>‑</w:t>
      </w:r>
      <w:r>
        <w:rPr>
          <w:rFonts w:ascii="Arial" w:cs="Arial" w:eastAsia="Arial" w:hAnsi="Arial"/>
          <w:sz w:val="16"/>
          <w:szCs w:val="16"/>
          <w:color w:val="auto"/>
        </w:rPr>
        <w:t>1β. Our lead indication for rilonacept is recurrent pericarditis, a painful autoinflammatory cardiovascular disease with an estimated U.S. prevalent population of approximately 40,000 patients seeking and receiving medical treatment. We are conducting a single, pivotal, global, Phase 3 clinical trial in recurrent pericarditis, named RHAPSODY. We expect to report top</w:t>
      </w:r>
      <w:r>
        <w:rPr>
          <w:rFonts w:ascii="MS PGothic" w:cs="MS PGothic" w:eastAsia="MS PGothic" w:hAnsi="MS PGothic"/>
          <w:sz w:val="16"/>
          <w:szCs w:val="16"/>
          <w:color w:val="auto"/>
        </w:rPr>
        <w:t>‑</w:t>
      </w:r>
      <w:r>
        <w:rPr>
          <w:rFonts w:ascii="Arial" w:cs="Arial" w:eastAsia="Arial" w:hAnsi="Arial"/>
          <w:sz w:val="16"/>
          <w:szCs w:val="16"/>
          <w:color w:val="auto"/>
        </w:rPr>
        <w:t>line data from this trial in the second half of 2020.</w:t>
      </w:r>
    </w:p>
    <w:p>
      <w:pPr>
        <w:spacing w:after="0" w:line="205" w:lineRule="exact"/>
        <w:rPr>
          <w:sz w:val="20"/>
          <w:szCs w:val="20"/>
          <w:color w:val="auto"/>
        </w:rPr>
      </w:pPr>
    </w:p>
    <w:p>
      <w:pPr>
        <w:ind w:right="20" w:firstLine="648"/>
        <w:spacing w:after="0" w:line="218" w:lineRule="exact"/>
        <w:rPr>
          <w:sz w:val="20"/>
          <w:szCs w:val="20"/>
          <w:color w:val="auto"/>
        </w:rPr>
      </w:pPr>
      <w:r>
        <w:rPr>
          <w:rFonts w:ascii="Arial" w:cs="Arial" w:eastAsia="Arial" w:hAnsi="Arial"/>
          <w:sz w:val="18"/>
          <w:szCs w:val="18"/>
          <w:color w:val="auto"/>
        </w:rPr>
        <w:t>There is currently no FDA-approved therapy for the treatment of recurrent pericarditis. There is currently one other FDA</w:t>
      </w:r>
      <w:r>
        <w:rPr>
          <w:rFonts w:ascii="MS PGothic" w:cs="MS PGothic" w:eastAsia="MS PGothic" w:hAnsi="MS PGothic"/>
          <w:sz w:val="18"/>
          <w:szCs w:val="18"/>
          <w:color w:val="auto"/>
        </w:rPr>
        <w:t>‑</w:t>
      </w:r>
      <w:r>
        <w:rPr>
          <w:rFonts w:ascii="Arial" w:cs="Arial" w:eastAsia="Arial" w:hAnsi="Arial"/>
          <w:sz w:val="18"/>
          <w:szCs w:val="18"/>
          <w:color w:val="auto"/>
        </w:rPr>
        <w:t>approved agent that blocks both IL</w:t>
      </w:r>
      <w:r>
        <w:rPr>
          <w:rFonts w:ascii="MS PGothic" w:cs="MS PGothic" w:eastAsia="MS PGothic" w:hAnsi="MS PGothic"/>
          <w:sz w:val="18"/>
          <w:szCs w:val="18"/>
          <w:color w:val="auto"/>
        </w:rPr>
        <w:t>‑</w:t>
      </w:r>
      <w:r>
        <w:rPr>
          <w:rFonts w:ascii="Arial" w:cs="Arial" w:eastAsia="Arial" w:hAnsi="Arial"/>
          <w:sz w:val="18"/>
          <w:szCs w:val="18"/>
          <w:color w:val="auto"/>
        </w:rPr>
        <w:t>1α and IL</w:t>
      </w:r>
      <w:r>
        <w:rPr>
          <w:rFonts w:ascii="MS PGothic" w:cs="MS PGothic" w:eastAsia="MS PGothic" w:hAnsi="MS PGothic"/>
          <w:sz w:val="18"/>
          <w:szCs w:val="18"/>
          <w:color w:val="auto"/>
        </w:rPr>
        <w:t>‑</w:t>
      </w:r>
      <w:r>
        <w:rPr>
          <w:rFonts w:ascii="Arial" w:cs="Arial" w:eastAsia="Arial" w:hAnsi="Arial"/>
          <w:sz w:val="18"/>
          <w:szCs w:val="18"/>
          <w:color w:val="auto"/>
        </w:rPr>
        <w:t>1β signaling, anakinra (KINERET), produced by Sobi, Inc, or Sobi, is approved for other indications, and one that blocks only IL</w:t>
      </w:r>
      <w:r>
        <w:rPr>
          <w:rFonts w:ascii="MS PGothic" w:cs="MS PGothic" w:eastAsia="MS PGothic" w:hAnsi="MS PGothic"/>
          <w:sz w:val="18"/>
          <w:szCs w:val="18"/>
          <w:color w:val="auto"/>
        </w:rPr>
        <w:t>‑</w:t>
      </w:r>
      <w:r>
        <w:rPr>
          <w:rFonts w:ascii="Arial" w:cs="Arial" w:eastAsia="Arial" w:hAnsi="Arial"/>
          <w:sz w:val="18"/>
          <w:szCs w:val="18"/>
          <w:color w:val="auto"/>
        </w:rPr>
        <w:t>1β, canakinumab (ILARIS), produced by Novartis Pharmaceuticals Corporation, or Novartis, is approved for other indications. We believe both therapies have limitations. Anakinra requires once</w:t>
      </w:r>
      <w:r>
        <w:rPr>
          <w:rFonts w:ascii="MS PGothic" w:cs="MS PGothic" w:eastAsia="MS PGothic" w:hAnsi="MS PGothic"/>
          <w:sz w:val="18"/>
          <w:szCs w:val="18"/>
          <w:color w:val="auto"/>
        </w:rPr>
        <w:t>‑</w:t>
      </w:r>
      <w:r>
        <w:rPr>
          <w:rFonts w:ascii="Arial" w:cs="Arial" w:eastAsia="Arial" w:hAnsi="Arial"/>
          <w:sz w:val="18"/>
          <w:szCs w:val="18"/>
          <w:color w:val="auto"/>
        </w:rPr>
        <w:t>daily injections, and canakinumab blocks only IL</w:t>
      </w:r>
      <w:r>
        <w:rPr>
          <w:rFonts w:ascii="MS PGothic" w:cs="MS PGothic" w:eastAsia="MS PGothic" w:hAnsi="MS PGothic"/>
          <w:sz w:val="18"/>
          <w:szCs w:val="18"/>
          <w:color w:val="auto"/>
        </w:rPr>
        <w:t>‑</w:t>
      </w:r>
      <w:r>
        <w:rPr>
          <w:rFonts w:ascii="Arial" w:cs="Arial" w:eastAsia="Arial" w:hAnsi="Arial"/>
          <w:sz w:val="18"/>
          <w:szCs w:val="18"/>
          <w:color w:val="auto"/>
        </w:rPr>
        <w:t>1β, making it less effective or potentially ineffective in diseases driven by IL</w:t>
      </w:r>
      <w:r>
        <w:rPr>
          <w:rFonts w:ascii="MS PGothic" w:cs="MS PGothic" w:eastAsia="MS PGothic" w:hAnsi="MS PGothic"/>
          <w:sz w:val="18"/>
          <w:szCs w:val="18"/>
          <w:color w:val="auto"/>
        </w:rPr>
        <w:t>‑</w:t>
      </w:r>
      <w:r>
        <w:rPr>
          <w:rFonts w:ascii="Arial" w:cs="Arial" w:eastAsia="Arial" w:hAnsi="Arial"/>
          <w:sz w:val="18"/>
          <w:szCs w:val="18"/>
          <w:color w:val="auto"/>
        </w:rPr>
        <w:t>1α pathology. We believe that rilonacept with its more moderate, once</w:t>
      </w:r>
      <w:r>
        <w:rPr>
          <w:rFonts w:ascii="MS PGothic" w:cs="MS PGothic" w:eastAsia="MS PGothic" w:hAnsi="MS PGothic"/>
          <w:sz w:val="18"/>
          <w:szCs w:val="18"/>
          <w:color w:val="auto"/>
        </w:rPr>
        <w:t>‑</w:t>
      </w:r>
      <w:r>
        <w:rPr>
          <w:rFonts w:ascii="Arial" w:cs="Arial" w:eastAsia="Arial" w:hAnsi="Arial"/>
          <w:sz w:val="18"/>
          <w:szCs w:val="18"/>
          <w:color w:val="auto"/>
        </w:rPr>
        <w:t>weekly dosing schedule and its ability to inhibit both IL</w:t>
      </w:r>
      <w:r>
        <w:rPr>
          <w:rFonts w:ascii="MS PGothic" w:cs="MS PGothic" w:eastAsia="MS PGothic" w:hAnsi="MS PGothic"/>
          <w:sz w:val="18"/>
          <w:szCs w:val="18"/>
          <w:color w:val="auto"/>
        </w:rPr>
        <w:t>‑</w:t>
      </w:r>
      <w:r>
        <w:rPr>
          <w:rFonts w:ascii="Arial" w:cs="Arial" w:eastAsia="Arial" w:hAnsi="Arial"/>
          <w:sz w:val="18"/>
          <w:szCs w:val="18"/>
          <w:color w:val="auto"/>
        </w:rPr>
        <w:t>1α and IL</w:t>
      </w:r>
      <w:r>
        <w:rPr>
          <w:rFonts w:ascii="MS PGothic" w:cs="MS PGothic" w:eastAsia="MS PGothic" w:hAnsi="MS PGothic"/>
          <w:sz w:val="18"/>
          <w:szCs w:val="18"/>
          <w:color w:val="auto"/>
        </w:rPr>
        <w:t>‑</w:t>
      </w:r>
      <w:r>
        <w:rPr>
          <w:rFonts w:ascii="Arial" w:cs="Arial" w:eastAsia="Arial" w:hAnsi="Arial"/>
          <w:sz w:val="18"/>
          <w:szCs w:val="18"/>
          <w:color w:val="auto"/>
        </w:rPr>
        <w:t>1β could provide an improved therapeutic option for a variety of diseases mediated by both IL</w:t>
      </w:r>
      <w:r>
        <w:rPr>
          <w:rFonts w:ascii="MS PGothic" w:cs="MS PGothic" w:eastAsia="MS PGothic" w:hAnsi="MS PGothic"/>
          <w:sz w:val="18"/>
          <w:szCs w:val="18"/>
          <w:color w:val="auto"/>
        </w:rPr>
        <w:t>‑</w:t>
      </w:r>
      <w:r>
        <w:rPr>
          <w:rFonts w:ascii="Arial" w:cs="Arial" w:eastAsia="Arial" w:hAnsi="Arial"/>
          <w:sz w:val="18"/>
          <w:szCs w:val="18"/>
          <w:color w:val="auto"/>
        </w:rPr>
        <w:t>1α and IL</w:t>
      </w:r>
      <w:r>
        <w:rPr>
          <w:rFonts w:ascii="MS PGothic" w:cs="MS PGothic" w:eastAsia="MS PGothic" w:hAnsi="MS PGothic"/>
          <w:sz w:val="18"/>
          <w:szCs w:val="18"/>
          <w:color w:val="auto"/>
        </w:rPr>
        <w:t>‑</w:t>
      </w:r>
      <w:r>
        <w:rPr>
          <w:rFonts w:ascii="Arial" w:cs="Arial" w:eastAsia="Arial" w:hAnsi="Arial"/>
          <w:sz w:val="18"/>
          <w:szCs w:val="18"/>
          <w:color w:val="auto"/>
        </w:rPr>
        <w:t>1β.</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225" w:lineRule="exact"/>
        <w:rPr>
          <w:sz w:val="20"/>
          <w:szCs w:val="20"/>
          <w:color w:val="auto"/>
        </w:rPr>
      </w:pPr>
    </w:p>
    <w:p>
      <w:pPr>
        <w:ind w:right="60" w:firstLine="648"/>
        <w:spacing w:after="0" w:line="218" w:lineRule="exact"/>
        <w:rPr>
          <w:sz w:val="20"/>
          <w:szCs w:val="20"/>
          <w:color w:val="auto"/>
        </w:rPr>
      </w:pPr>
      <w:r>
        <w:rPr>
          <w:rFonts w:ascii="Arial" w:cs="Arial" w:eastAsia="Arial" w:hAnsi="Arial"/>
          <w:sz w:val="17"/>
          <w:szCs w:val="17"/>
          <w:color w:val="auto"/>
        </w:rPr>
        <w:t>Rilonacept is an inhibitor of IL</w:t>
      </w:r>
      <w:r>
        <w:rPr>
          <w:rFonts w:ascii="MS PGothic" w:cs="MS PGothic" w:eastAsia="MS PGothic" w:hAnsi="MS PGothic"/>
          <w:sz w:val="17"/>
          <w:szCs w:val="17"/>
          <w:color w:val="auto"/>
        </w:rPr>
        <w:t>‑</w:t>
      </w:r>
      <w:r>
        <w:rPr>
          <w:rFonts w:ascii="Arial" w:cs="Arial" w:eastAsia="Arial" w:hAnsi="Arial"/>
          <w:sz w:val="17"/>
          <w:szCs w:val="17"/>
          <w:color w:val="auto"/>
        </w:rPr>
        <w:t>1α and IL</w:t>
      </w:r>
      <w:r>
        <w:rPr>
          <w:rFonts w:ascii="MS PGothic" w:cs="MS PGothic" w:eastAsia="MS PGothic" w:hAnsi="MS PGothic"/>
          <w:sz w:val="17"/>
          <w:szCs w:val="17"/>
          <w:color w:val="auto"/>
        </w:rPr>
        <w:t>‑</w:t>
      </w:r>
      <w:r>
        <w:rPr>
          <w:rFonts w:ascii="Arial" w:cs="Arial" w:eastAsia="Arial" w:hAnsi="Arial"/>
          <w:sz w:val="17"/>
          <w:szCs w:val="17"/>
          <w:color w:val="auto"/>
        </w:rPr>
        <w:t>1β. IL</w:t>
      </w:r>
      <w:r>
        <w:rPr>
          <w:rFonts w:ascii="MS PGothic" w:cs="MS PGothic" w:eastAsia="MS PGothic" w:hAnsi="MS PGothic"/>
          <w:sz w:val="17"/>
          <w:szCs w:val="17"/>
          <w:color w:val="auto"/>
        </w:rPr>
        <w:t>‑</w:t>
      </w:r>
      <w:r>
        <w:rPr>
          <w:rFonts w:ascii="Arial" w:cs="Arial" w:eastAsia="Arial" w:hAnsi="Arial"/>
          <w:sz w:val="17"/>
          <w:szCs w:val="17"/>
          <w:color w:val="auto"/>
        </w:rPr>
        <w:t>1α and IL</w:t>
      </w:r>
      <w:r>
        <w:rPr>
          <w:rFonts w:ascii="MS PGothic" w:cs="MS PGothic" w:eastAsia="MS PGothic" w:hAnsi="MS PGothic"/>
          <w:sz w:val="17"/>
          <w:szCs w:val="17"/>
          <w:color w:val="auto"/>
        </w:rPr>
        <w:t>‑</w:t>
      </w:r>
      <w:r>
        <w:rPr>
          <w:rFonts w:ascii="Arial" w:cs="Arial" w:eastAsia="Arial" w:hAnsi="Arial"/>
          <w:sz w:val="17"/>
          <w:szCs w:val="17"/>
          <w:color w:val="auto"/>
        </w:rPr>
        <w:t>1β have been demonstrated to play a key role in inflammatory diseases. IL</w:t>
      </w:r>
      <w:r>
        <w:rPr>
          <w:rFonts w:ascii="MS PGothic" w:cs="MS PGothic" w:eastAsia="MS PGothic" w:hAnsi="MS PGothic"/>
          <w:sz w:val="17"/>
          <w:szCs w:val="17"/>
          <w:color w:val="auto"/>
        </w:rPr>
        <w:t>‑</w:t>
      </w:r>
      <w:r>
        <w:rPr>
          <w:rFonts w:ascii="Arial" w:cs="Arial" w:eastAsia="Arial" w:hAnsi="Arial"/>
          <w:sz w:val="17"/>
          <w:szCs w:val="17"/>
          <w:color w:val="auto"/>
        </w:rPr>
        <w:t>1α and IL</w:t>
      </w:r>
      <w:r>
        <w:rPr>
          <w:rFonts w:ascii="MS PGothic" w:cs="MS PGothic" w:eastAsia="MS PGothic" w:hAnsi="MS PGothic"/>
          <w:sz w:val="17"/>
          <w:szCs w:val="17"/>
          <w:color w:val="auto"/>
        </w:rPr>
        <w:t>‑</w:t>
      </w:r>
      <w:r>
        <w:rPr>
          <w:rFonts w:ascii="Arial" w:cs="Arial" w:eastAsia="Arial" w:hAnsi="Arial"/>
          <w:sz w:val="17"/>
          <w:szCs w:val="17"/>
          <w:color w:val="auto"/>
        </w:rPr>
        <w:t>1β provoke potent, pro</w:t>
      </w:r>
      <w:r>
        <w:rPr>
          <w:rFonts w:ascii="MS PGothic" w:cs="MS PGothic" w:eastAsia="MS PGothic" w:hAnsi="MS PGothic"/>
          <w:sz w:val="17"/>
          <w:szCs w:val="17"/>
          <w:color w:val="auto"/>
        </w:rPr>
        <w:t>‑</w:t>
      </w:r>
      <w:r>
        <w:rPr>
          <w:rFonts w:ascii="Arial" w:cs="Arial" w:eastAsia="Arial" w:hAnsi="Arial"/>
          <w:sz w:val="17"/>
          <w:szCs w:val="17"/>
          <w:color w:val="auto"/>
        </w:rPr>
        <w:t>inflammatory events by engaging the IL</w:t>
      </w:r>
      <w:r>
        <w:rPr>
          <w:rFonts w:ascii="MS PGothic" w:cs="MS PGothic" w:eastAsia="MS PGothic" w:hAnsi="MS PGothic"/>
          <w:sz w:val="17"/>
          <w:szCs w:val="17"/>
          <w:color w:val="auto"/>
        </w:rPr>
        <w:t>‑</w:t>
      </w:r>
      <w:r>
        <w:rPr>
          <w:rFonts w:ascii="Arial" w:cs="Arial" w:eastAsia="Arial" w:hAnsi="Arial"/>
          <w:sz w:val="17"/>
          <w:szCs w:val="17"/>
          <w:color w:val="auto"/>
        </w:rPr>
        <w:t>1α and IL</w:t>
      </w:r>
      <w:r>
        <w:rPr>
          <w:rFonts w:ascii="MS PGothic" w:cs="MS PGothic" w:eastAsia="MS PGothic" w:hAnsi="MS PGothic"/>
          <w:sz w:val="17"/>
          <w:szCs w:val="17"/>
          <w:color w:val="auto"/>
        </w:rPr>
        <w:t>‑</w:t>
      </w:r>
      <w:r>
        <w:rPr>
          <w:rFonts w:ascii="Arial" w:cs="Arial" w:eastAsia="Arial" w:hAnsi="Arial"/>
          <w:sz w:val="17"/>
          <w:szCs w:val="17"/>
          <w:color w:val="auto"/>
        </w:rPr>
        <w:t>1β receptor. Following tissue insult, the release of IL</w:t>
      </w:r>
      <w:r>
        <w:rPr>
          <w:rFonts w:ascii="MS PGothic" w:cs="MS PGothic" w:eastAsia="MS PGothic" w:hAnsi="MS PGothic"/>
          <w:sz w:val="17"/>
          <w:szCs w:val="17"/>
          <w:color w:val="auto"/>
        </w:rPr>
        <w:t>‑</w:t>
      </w:r>
      <w:r>
        <w:rPr>
          <w:rFonts w:ascii="Arial" w:cs="Arial" w:eastAsia="Arial" w:hAnsi="Arial"/>
          <w:sz w:val="17"/>
          <w:szCs w:val="17"/>
          <w:color w:val="auto"/>
        </w:rPr>
        <w:t>1α acts as the primary initiating signal to coordinate the mobilization of immune cells to the damaged area, while IL</w:t>
      </w:r>
      <w:r>
        <w:rPr>
          <w:rFonts w:ascii="MS PGothic" w:cs="MS PGothic" w:eastAsia="MS PGothic" w:hAnsi="MS PGothic"/>
          <w:sz w:val="17"/>
          <w:szCs w:val="17"/>
          <w:color w:val="auto"/>
        </w:rPr>
        <w:t>‑</w:t>
      </w:r>
      <w:r>
        <w:rPr>
          <w:rFonts w:ascii="Arial" w:cs="Arial" w:eastAsia="Arial" w:hAnsi="Arial"/>
          <w:sz w:val="17"/>
          <w:szCs w:val="17"/>
          <w:color w:val="auto"/>
        </w:rPr>
        <w:t>1β is secreted mostly by macrophages and is a prototypical cytokine of the canonical NLRB-3 inflammasome. IL</w:t>
      </w:r>
      <w:r>
        <w:rPr>
          <w:rFonts w:ascii="MS PGothic" w:cs="MS PGothic" w:eastAsia="MS PGothic" w:hAnsi="MS PGothic"/>
          <w:sz w:val="17"/>
          <w:szCs w:val="17"/>
          <w:color w:val="auto"/>
        </w:rPr>
        <w:t>‑</w:t>
      </w:r>
      <w:r>
        <w:rPr>
          <w:rFonts w:ascii="Arial" w:cs="Arial" w:eastAsia="Arial" w:hAnsi="Arial"/>
          <w:sz w:val="17"/>
          <w:szCs w:val="17"/>
          <w:color w:val="auto"/>
        </w:rPr>
        <w:t>1α and IL</w:t>
      </w:r>
      <w:r>
        <w:rPr>
          <w:rFonts w:ascii="MS PGothic" w:cs="MS PGothic" w:eastAsia="MS PGothic" w:hAnsi="MS PGothic"/>
          <w:sz w:val="17"/>
          <w:szCs w:val="17"/>
          <w:color w:val="auto"/>
        </w:rPr>
        <w:t>‑</w:t>
      </w:r>
      <w:r>
        <w:rPr>
          <w:rFonts w:ascii="Arial" w:cs="Arial" w:eastAsia="Arial" w:hAnsi="Arial"/>
          <w:sz w:val="17"/>
          <w:szCs w:val="17"/>
          <w:color w:val="auto"/>
        </w:rPr>
        <w:t>1β signaling results in a dramatic increase in the production of cytokines that orchestrate the proliferation and recruitment of phagocytes to the site of damage, resulting in inflammation. Moreover, IL</w:t>
      </w:r>
      <w:r>
        <w:rPr>
          <w:rFonts w:ascii="MS PGothic" w:cs="MS PGothic" w:eastAsia="MS PGothic" w:hAnsi="MS PGothic"/>
          <w:sz w:val="17"/>
          <w:szCs w:val="17"/>
          <w:color w:val="auto"/>
        </w:rPr>
        <w:t>‑</w:t>
      </w:r>
      <w:r>
        <w:rPr>
          <w:rFonts w:ascii="Arial" w:cs="Arial" w:eastAsia="Arial" w:hAnsi="Arial"/>
          <w:sz w:val="17"/>
          <w:szCs w:val="17"/>
          <w:color w:val="auto"/>
        </w:rPr>
        <w:t>1α and IL</w:t>
      </w:r>
      <w:r>
        <w:rPr>
          <w:rFonts w:ascii="MS PGothic" w:cs="MS PGothic" w:eastAsia="MS PGothic" w:hAnsi="MS PGothic"/>
          <w:sz w:val="17"/>
          <w:szCs w:val="17"/>
          <w:color w:val="auto"/>
        </w:rPr>
        <w:t>‑</w:t>
      </w:r>
      <w:r>
        <w:rPr>
          <w:rFonts w:ascii="Arial" w:cs="Arial" w:eastAsia="Arial" w:hAnsi="Arial"/>
          <w:sz w:val="17"/>
          <w:szCs w:val="17"/>
          <w:color w:val="auto"/>
        </w:rPr>
        <w:t>1β signaling also affect other immune</w:t>
      </w:r>
      <w:r>
        <w:rPr>
          <w:rFonts w:ascii="MS PGothic" w:cs="MS PGothic" w:eastAsia="MS PGothic" w:hAnsi="MS PGothic"/>
          <w:sz w:val="17"/>
          <w:szCs w:val="17"/>
          <w:color w:val="auto"/>
        </w:rPr>
        <w:t>‑</w:t>
      </w:r>
      <w:r>
        <w:rPr>
          <w:rFonts w:ascii="Arial" w:cs="Arial" w:eastAsia="Arial" w:hAnsi="Arial"/>
          <w:sz w:val="17"/>
          <w:szCs w:val="17"/>
          <w:color w:val="auto"/>
        </w:rPr>
        <w:t>system cells, such as T</w:t>
      </w:r>
      <w:r>
        <w:rPr>
          <w:rFonts w:ascii="MS PGothic" w:cs="MS PGothic" w:eastAsia="MS PGothic" w:hAnsi="MS PGothic"/>
          <w:sz w:val="17"/>
          <w:szCs w:val="17"/>
          <w:color w:val="auto"/>
        </w:rPr>
        <w:t>‑</w:t>
      </w:r>
      <w:r>
        <w:rPr>
          <w:rFonts w:ascii="Arial" w:cs="Arial" w:eastAsia="Arial" w:hAnsi="Arial"/>
          <w:sz w:val="17"/>
          <w:szCs w:val="17"/>
          <w:color w:val="auto"/>
        </w:rPr>
        <w:t>cells and B</w:t>
      </w:r>
      <w:r>
        <w:rPr>
          <w:rFonts w:ascii="MS PGothic" w:cs="MS PGothic" w:eastAsia="MS PGothic" w:hAnsi="MS PGothic"/>
          <w:sz w:val="17"/>
          <w:szCs w:val="17"/>
          <w:color w:val="auto"/>
        </w:rPr>
        <w:t>‑</w:t>
      </w:r>
      <w:r>
        <w:rPr>
          <w:rFonts w:ascii="Arial" w:cs="Arial" w:eastAsia="Arial" w:hAnsi="Arial"/>
          <w:sz w:val="17"/>
          <w:szCs w:val="17"/>
          <w:color w:val="auto"/>
        </w:rPr>
        <w:t>cells.</w:t>
      </w:r>
    </w:p>
    <w:p>
      <w:pPr>
        <w:spacing w:after="0" w:line="206" w:lineRule="exact"/>
        <w:rPr>
          <w:sz w:val="20"/>
          <w:szCs w:val="20"/>
          <w:color w:val="auto"/>
        </w:rPr>
      </w:pPr>
    </w:p>
    <w:p>
      <w:pPr>
        <w:ind w:right="140" w:firstLine="648"/>
        <w:spacing w:after="0" w:line="219" w:lineRule="exact"/>
        <w:rPr>
          <w:sz w:val="20"/>
          <w:szCs w:val="20"/>
          <w:color w:val="auto"/>
        </w:rPr>
      </w:pPr>
      <w:r>
        <w:rPr>
          <w:rFonts w:ascii="Arial" w:cs="Arial" w:eastAsia="Arial" w:hAnsi="Arial"/>
          <w:sz w:val="17"/>
          <w:szCs w:val="17"/>
          <w:color w:val="auto"/>
        </w:rPr>
        <w:t>IL</w:t>
      </w:r>
      <w:r>
        <w:rPr>
          <w:rFonts w:ascii="MS PGothic" w:cs="MS PGothic" w:eastAsia="MS PGothic" w:hAnsi="MS PGothic"/>
          <w:sz w:val="17"/>
          <w:szCs w:val="17"/>
          <w:color w:val="auto"/>
        </w:rPr>
        <w:t>‑</w:t>
      </w:r>
      <w:r>
        <w:rPr>
          <w:rFonts w:ascii="Arial" w:cs="Arial" w:eastAsia="Arial" w:hAnsi="Arial"/>
          <w:sz w:val="17"/>
          <w:szCs w:val="17"/>
          <w:color w:val="auto"/>
        </w:rPr>
        <w:t>1β’s role in the inflammation process has been extensively studied, while in comparison, much is still unknown about the independent function of IL</w:t>
      </w:r>
      <w:r>
        <w:rPr>
          <w:rFonts w:ascii="MS PGothic" w:cs="MS PGothic" w:eastAsia="MS PGothic" w:hAnsi="MS PGothic"/>
          <w:sz w:val="17"/>
          <w:szCs w:val="17"/>
          <w:color w:val="auto"/>
        </w:rPr>
        <w:t>‑</w:t>
      </w:r>
      <w:r>
        <w:rPr>
          <w:rFonts w:ascii="Arial" w:cs="Arial" w:eastAsia="Arial" w:hAnsi="Arial"/>
          <w:sz w:val="17"/>
          <w:szCs w:val="17"/>
          <w:color w:val="auto"/>
        </w:rPr>
        <w:t>1α in disease pathology. Despite driving similar immunological outcomes, IL</w:t>
      </w:r>
      <w:r>
        <w:rPr>
          <w:rFonts w:ascii="MS PGothic" w:cs="MS PGothic" w:eastAsia="MS PGothic" w:hAnsi="MS PGothic"/>
          <w:sz w:val="17"/>
          <w:szCs w:val="17"/>
          <w:color w:val="auto"/>
        </w:rPr>
        <w:t>‑</w:t>
      </w:r>
      <w:r>
        <w:rPr>
          <w:rFonts w:ascii="Arial" w:cs="Arial" w:eastAsia="Arial" w:hAnsi="Arial"/>
          <w:sz w:val="17"/>
          <w:szCs w:val="17"/>
          <w:color w:val="auto"/>
        </w:rPr>
        <w:t>1α and IL</w:t>
      </w:r>
      <w:r>
        <w:rPr>
          <w:rFonts w:ascii="MS PGothic" w:cs="MS PGothic" w:eastAsia="MS PGothic" w:hAnsi="MS PGothic"/>
          <w:sz w:val="17"/>
          <w:szCs w:val="17"/>
          <w:color w:val="auto"/>
        </w:rPr>
        <w:t>‑</w:t>
      </w:r>
      <w:r>
        <w:rPr>
          <w:rFonts w:ascii="Arial" w:cs="Arial" w:eastAsia="Arial" w:hAnsi="Arial"/>
          <w:sz w:val="17"/>
          <w:szCs w:val="17"/>
          <w:color w:val="auto"/>
        </w:rPr>
        <w:t>1β differ substantially in their expression and regulation, and non</w:t>
      </w:r>
      <w:r>
        <w:rPr>
          <w:rFonts w:ascii="MS PGothic" w:cs="MS PGothic" w:eastAsia="MS PGothic" w:hAnsi="MS PGothic"/>
          <w:sz w:val="17"/>
          <w:szCs w:val="17"/>
          <w:color w:val="auto"/>
        </w:rPr>
        <w:t>‑</w:t>
      </w:r>
      <w:r>
        <w:rPr>
          <w:rFonts w:ascii="Arial" w:cs="Arial" w:eastAsia="Arial" w:hAnsi="Arial"/>
          <w:sz w:val="17"/>
          <w:szCs w:val="17"/>
          <w:color w:val="auto"/>
        </w:rPr>
        <w:t>redundant roles for IL</w:t>
      </w:r>
      <w:r>
        <w:rPr>
          <w:rFonts w:ascii="MS PGothic" w:cs="MS PGothic" w:eastAsia="MS PGothic" w:hAnsi="MS PGothic"/>
          <w:sz w:val="17"/>
          <w:szCs w:val="17"/>
          <w:color w:val="auto"/>
        </w:rPr>
        <w:t>‑</w:t>
      </w:r>
      <w:r>
        <w:rPr>
          <w:rFonts w:ascii="Arial" w:cs="Arial" w:eastAsia="Arial" w:hAnsi="Arial"/>
          <w:sz w:val="17"/>
          <w:szCs w:val="17"/>
          <w:color w:val="auto"/>
        </w:rPr>
        <w:t>1α or IL</w:t>
      </w:r>
      <w:r>
        <w:rPr>
          <w:rFonts w:ascii="MS PGothic" w:cs="MS PGothic" w:eastAsia="MS PGothic" w:hAnsi="MS PGothic"/>
          <w:sz w:val="17"/>
          <w:szCs w:val="17"/>
          <w:color w:val="auto"/>
        </w:rPr>
        <w:t>‑</w:t>
      </w:r>
      <w:r>
        <w:rPr>
          <w:rFonts w:ascii="Arial" w:cs="Arial" w:eastAsia="Arial" w:hAnsi="Arial"/>
          <w:sz w:val="17"/>
          <w:szCs w:val="17"/>
          <w:color w:val="auto"/>
        </w:rPr>
        <w:t>1β have been demonstrated in multiple inflammatory diseases. There are disease states in which IL</w:t>
      </w:r>
      <w:r>
        <w:rPr>
          <w:rFonts w:ascii="MS PGothic" w:cs="MS PGothic" w:eastAsia="MS PGothic" w:hAnsi="MS PGothic"/>
          <w:sz w:val="17"/>
          <w:szCs w:val="17"/>
          <w:color w:val="auto"/>
        </w:rPr>
        <w:t>‑</w:t>
      </w:r>
      <w:r>
        <w:rPr>
          <w:rFonts w:ascii="Arial" w:cs="Arial" w:eastAsia="Arial" w:hAnsi="Arial"/>
          <w:sz w:val="17"/>
          <w:szCs w:val="17"/>
          <w:color w:val="auto"/>
        </w:rPr>
        <w:t>1β inhibition alone does not appear to be sufficient for disease remission in the absence of IL</w:t>
      </w:r>
      <w:r>
        <w:rPr>
          <w:rFonts w:ascii="MS PGothic" w:cs="MS PGothic" w:eastAsia="MS PGothic" w:hAnsi="MS PGothic"/>
          <w:sz w:val="17"/>
          <w:szCs w:val="17"/>
          <w:color w:val="auto"/>
        </w:rPr>
        <w:t>‑</w:t>
      </w:r>
      <w:r>
        <w:rPr>
          <w:rFonts w:ascii="Arial" w:cs="Arial" w:eastAsia="Arial" w:hAnsi="Arial"/>
          <w:sz w:val="17"/>
          <w:szCs w:val="17"/>
          <w:color w:val="auto"/>
        </w:rPr>
        <w:t>1α inhibition. Published studies suggest certain autoinflammatory diseases may, in fact, be pathologically driven primarily by IL</w:t>
      </w:r>
      <w:r>
        <w:rPr>
          <w:rFonts w:ascii="MS PGothic" w:cs="MS PGothic" w:eastAsia="MS PGothic" w:hAnsi="MS PGothic"/>
          <w:sz w:val="17"/>
          <w:szCs w:val="17"/>
          <w:color w:val="auto"/>
        </w:rPr>
        <w:t>‑</w:t>
      </w:r>
      <w:r>
        <w:rPr>
          <w:rFonts w:ascii="Arial" w:cs="Arial" w:eastAsia="Arial" w:hAnsi="Arial"/>
          <w:sz w:val="17"/>
          <w:szCs w:val="17"/>
          <w:color w:val="auto"/>
        </w:rPr>
        <w:t>1α.</w:t>
      </w:r>
    </w:p>
    <w:p>
      <w:pPr>
        <w:spacing w:after="0" w:line="203"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An investigator</w:t>
      </w:r>
      <w:r>
        <w:rPr>
          <w:rFonts w:ascii="MS PGothic" w:cs="MS PGothic" w:eastAsia="MS PGothic" w:hAnsi="MS PGothic"/>
          <w:sz w:val="17"/>
          <w:szCs w:val="17"/>
          <w:color w:val="auto"/>
        </w:rPr>
        <w:t>‑</w:t>
      </w:r>
      <w:r>
        <w:rPr>
          <w:rFonts w:ascii="Arial" w:cs="Arial" w:eastAsia="Arial" w:hAnsi="Arial"/>
          <w:sz w:val="17"/>
          <w:szCs w:val="17"/>
          <w:color w:val="auto"/>
        </w:rPr>
        <w:t>initiated study of anakinra successfully demonstrated mechanistic proof</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concept for inhibiting both IL</w:t>
      </w:r>
      <w:r>
        <w:rPr>
          <w:rFonts w:ascii="MS PGothic" w:cs="MS PGothic" w:eastAsia="MS PGothic" w:hAnsi="MS PGothic"/>
          <w:sz w:val="17"/>
          <w:szCs w:val="17"/>
          <w:color w:val="auto"/>
        </w:rPr>
        <w:t>‑</w:t>
      </w:r>
      <w:r>
        <w:rPr>
          <w:rFonts w:ascii="Arial" w:cs="Arial" w:eastAsia="Arial" w:hAnsi="Arial"/>
          <w:sz w:val="17"/>
          <w:szCs w:val="17"/>
          <w:color w:val="auto"/>
        </w:rPr>
        <w:t>1α and IL</w:t>
      </w:r>
      <w:r>
        <w:rPr>
          <w:rFonts w:ascii="MS PGothic" w:cs="MS PGothic" w:eastAsia="MS PGothic" w:hAnsi="MS PGothic"/>
          <w:sz w:val="17"/>
          <w:szCs w:val="17"/>
          <w:color w:val="auto"/>
        </w:rPr>
        <w:t>‑</w:t>
      </w:r>
      <w:r>
        <w:rPr>
          <w:rFonts w:ascii="Arial" w:cs="Arial" w:eastAsia="Arial" w:hAnsi="Arial"/>
          <w:sz w:val="17"/>
          <w:szCs w:val="17"/>
          <w:color w:val="auto"/>
        </w:rPr>
        <w:t>1β in the treatment of recurrent pericarditis. In a published case study, a patient with a refractory form of recurrent pericarditis, who was well</w:t>
      </w:r>
      <w:r>
        <w:rPr>
          <w:rFonts w:ascii="MS PGothic" w:cs="MS PGothic" w:eastAsia="MS PGothic" w:hAnsi="MS PGothic"/>
          <w:sz w:val="17"/>
          <w:szCs w:val="17"/>
          <w:color w:val="auto"/>
        </w:rPr>
        <w:t>‑</w:t>
      </w:r>
      <w:r>
        <w:rPr>
          <w:rFonts w:ascii="Arial" w:cs="Arial" w:eastAsia="Arial" w:hAnsi="Arial"/>
          <w:sz w:val="17"/>
          <w:szCs w:val="17"/>
          <w:color w:val="auto"/>
        </w:rPr>
        <w:t>controlled on anakinra, was switched from anakinra to canakinumab, which inhibits only IL</w:t>
      </w:r>
      <w:r>
        <w:rPr>
          <w:rFonts w:ascii="MS PGothic" w:cs="MS PGothic" w:eastAsia="MS PGothic" w:hAnsi="MS PGothic"/>
          <w:sz w:val="17"/>
          <w:szCs w:val="17"/>
          <w:color w:val="auto"/>
        </w:rPr>
        <w:t>‑</w:t>
      </w:r>
      <w:r>
        <w:rPr>
          <w:rFonts w:ascii="Arial" w:cs="Arial" w:eastAsia="Arial" w:hAnsi="Arial"/>
          <w:sz w:val="17"/>
          <w:szCs w:val="17"/>
          <w:color w:val="auto"/>
        </w:rPr>
        <w:t>1β, for tolerability reasons. The patient’s disease returned despite further dose escalation of canakinumab. When the patient was switched back to anakinra, which inhibits IL</w:t>
      </w:r>
      <w:r>
        <w:rPr>
          <w:rFonts w:ascii="MS PGothic" w:cs="MS PGothic" w:eastAsia="MS PGothic" w:hAnsi="MS PGothic"/>
          <w:sz w:val="17"/>
          <w:szCs w:val="17"/>
          <w:color w:val="auto"/>
        </w:rPr>
        <w:t>‑</w:t>
      </w:r>
      <w:r>
        <w:rPr>
          <w:rFonts w:ascii="Arial" w:cs="Arial" w:eastAsia="Arial" w:hAnsi="Arial"/>
          <w:sz w:val="17"/>
          <w:szCs w:val="17"/>
          <w:color w:val="auto"/>
        </w:rPr>
        <w:t>α and IL</w:t>
      </w:r>
      <w:r>
        <w:rPr>
          <w:rFonts w:ascii="MS PGothic" w:cs="MS PGothic" w:eastAsia="MS PGothic" w:hAnsi="MS PGothic"/>
          <w:sz w:val="17"/>
          <w:szCs w:val="17"/>
          <w:color w:val="auto"/>
        </w:rPr>
        <w:t>‑</w:t>
      </w:r>
      <w:r>
        <w:rPr>
          <w:rFonts w:ascii="Arial" w:cs="Arial" w:eastAsia="Arial" w:hAnsi="Arial"/>
          <w:sz w:val="17"/>
          <w:szCs w:val="17"/>
          <w:color w:val="auto"/>
        </w:rPr>
        <w:t>β, the disease promptly went back into remission. These data, together with clinical data from our open-label Phase 2 proof</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concept study and confirmatory market research, may indicate that IL</w:t>
      </w:r>
      <w:r>
        <w:rPr>
          <w:rFonts w:ascii="MS PGothic" w:cs="MS PGothic" w:eastAsia="MS PGothic" w:hAnsi="MS PGothic"/>
          <w:sz w:val="17"/>
          <w:szCs w:val="17"/>
          <w:color w:val="auto"/>
        </w:rPr>
        <w:t>‑</w:t>
      </w:r>
      <w:r>
        <w:rPr>
          <w:rFonts w:ascii="Arial" w:cs="Arial" w:eastAsia="Arial" w:hAnsi="Arial"/>
          <w:sz w:val="17"/>
          <w:szCs w:val="17"/>
          <w:color w:val="auto"/>
        </w:rPr>
        <w:t>1α and IL</w:t>
      </w:r>
      <w:r>
        <w:rPr>
          <w:rFonts w:ascii="MS PGothic" w:cs="MS PGothic" w:eastAsia="MS PGothic" w:hAnsi="MS PGothic"/>
          <w:sz w:val="17"/>
          <w:szCs w:val="17"/>
          <w:color w:val="auto"/>
        </w:rPr>
        <w:t>‑</w:t>
      </w:r>
      <w:r>
        <w:rPr>
          <w:rFonts w:ascii="Arial" w:cs="Arial" w:eastAsia="Arial" w:hAnsi="Arial"/>
          <w:sz w:val="17"/>
          <w:szCs w:val="17"/>
          <w:color w:val="auto"/>
        </w:rPr>
        <w:t>1β play unique roles in recurrent pericarditis and other autoinflammatory diseases in which the pathology may be driven primarily by IL</w:t>
      </w:r>
      <w:r>
        <w:rPr>
          <w:rFonts w:ascii="MS PGothic" w:cs="MS PGothic" w:eastAsia="MS PGothic" w:hAnsi="MS PGothic"/>
          <w:sz w:val="17"/>
          <w:szCs w:val="17"/>
          <w:color w:val="auto"/>
        </w:rPr>
        <w:t>‑</w:t>
      </w:r>
      <w:r>
        <w:rPr>
          <w:rFonts w:ascii="Arial" w:cs="Arial" w:eastAsia="Arial" w:hAnsi="Arial"/>
          <w:sz w:val="17"/>
          <w:szCs w:val="17"/>
          <w:color w:val="auto"/>
        </w:rPr>
        <w:t>1α.</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Market Opportunity for Recurrent Pericarditis</w:t>
      </w:r>
    </w:p>
    <w:p>
      <w:pPr>
        <w:spacing w:after="0" w:line="225"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Pericarditis is the most common disorder involving the pericardium, the two</w:t>
      </w:r>
      <w:r>
        <w:rPr>
          <w:rFonts w:ascii="MS PGothic" w:cs="MS PGothic" w:eastAsia="MS PGothic" w:hAnsi="MS PGothic"/>
          <w:sz w:val="17"/>
          <w:szCs w:val="17"/>
          <w:color w:val="auto"/>
        </w:rPr>
        <w:t>‑</w:t>
      </w:r>
      <w:r>
        <w:rPr>
          <w:rFonts w:ascii="Arial" w:cs="Arial" w:eastAsia="Arial" w:hAnsi="Arial"/>
          <w:sz w:val="17"/>
          <w:szCs w:val="17"/>
          <w:color w:val="auto"/>
        </w:rPr>
        <w:t>layered sac that surrounds the heart. Pericarditis is an inflammation of this sac and is typically characterized by significant chest pain, shortness of breath, coughing and fatigue and is often misconstrued by patients as a heart attack. In addition, typical signs of pericarditis include pericardial friction rub, electrocardiogram changes or pericardial effusion, which is a build</w:t>
      </w:r>
      <w:r>
        <w:rPr>
          <w:rFonts w:ascii="MS PGothic" w:cs="MS PGothic" w:eastAsia="MS PGothic" w:hAnsi="MS PGothic"/>
          <w:sz w:val="17"/>
          <w:szCs w:val="17"/>
          <w:color w:val="auto"/>
        </w:rPr>
        <w:t>‑</w:t>
      </w:r>
      <w:r>
        <w:rPr>
          <w:rFonts w:ascii="Arial" w:cs="Arial" w:eastAsia="Arial" w:hAnsi="Arial"/>
          <w:sz w:val="17"/>
          <w:szCs w:val="17"/>
          <w:color w:val="auto"/>
        </w:rPr>
        <w:t>up of fluid around the heart. Pericarditis is described as recurrent if, following an initial occurrence of pericarditis, it recurs after a symptom</w:t>
      </w:r>
      <w:r>
        <w:rPr>
          <w:rFonts w:ascii="MS PGothic" w:cs="MS PGothic" w:eastAsia="MS PGothic" w:hAnsi="MS PGothic"/>
          <w:sz w:val="17"/>
          <w:szCs w:val="17"/>
          <w:color w:val="auto"/>
        </w:rPr>
        <w:t>‑</w:t>
      </w:r>
      <w:r>
        <w:rPr>
          <w:rFonts w:ascii="Arial" w:cs="Arial" w:eastAsia="Arial" w:hAnsi="Arial"/>
          <w:sz w:val="17"/>
          <w:szCs w:val="17"/>
          <w:color w:val="auto"/>
        </w:rPr>
        <w:t>free period of about four to six weeks. Pericarditis is considered chronic if symptoms of any one episode last longer than three months, typically causing significant pain and frustration. If pericarditis is left untreated, patients can develop thickening and scarring of the pericardium, potentially requiring invasive surgical stripping. Pericardial effusion, if large enough, can compress the heart externally, requiring emergent drainage.</w:t>
      </w:r>
    </w:p>
    <w:p>
      <w:pPr>
        <w:spacing w:after="0" w:line="20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intend to focus our development of rilonacept for the treatment of recurrent pericarditis initially in the United States, and we are exploring opportunities for potential expansion into other countries. Claims analysis, cross validated with published estimates, supports a prevalent population of patients with recurrent pericarditis seeking and receiving medical treatment to be approximately 40,000 patients in the United States per year. Within this estimated diagnosed and treated recurrent pericarditis patient population, there are certain subgroups of patients totaling approximately 14,000 with particularly high unmet medical needs consisting of:</w:t>
      </w:r>
    </w:p>
    <w:p>
      <w:pPr>
        <w:spacing w:after="0" w:line="193" w:lineRule="exact"/>
        <w:rPr>
          <w:sz w:val="20"/>
          <w:szCs w:val="20"/>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patients who are refractory to all conventional treatments (approximately 3,000);</w:t>
      </w:r>
    </w:p>
    <w:p>
      <w:pPr>
        <w:spacing w:after="0" w:line="225" w:lineRule="exact"/>
        <w:rPr>
          <w:rFonts w:ascii="Arial" w:cs="Arial" w:eastAsia="Arial" w:hAnsi="Arial"/>
          <w:sz w:val="18"/>
          <w:szCs w:val="18"/>
          <w:color w:val="auto"/>
        </w:rPr>
      </w:pPr>
    </w:p>
    <w:p>
      <w:pPr>
        <w:ind w:left="980" w:right="16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patients who are refractory to nonsteroidal anti-inflammatory drugs, or NSAIDs / colchicine but where steroid usage is not appropriate (approximately 5,000);</w:t>
      </w:r>
    </w:p>
    <w:p>
      <w:pPr>
        <w:spacing w:after="0" w:line="170"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patients otherwise not well-managed and have multiple recurrences despite previously responding to NSAIDs, colchicine and/or steroids (approximately 5,000);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patients who are dependent on steroids (approximately 1,000).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 w:firstLine="648"/>
        <w:spacing w:after="0" w:line="219" w:lineRule="exact"/>
        <w:rPr>
          <w:sz w:val="20"/>
          <w:szCs w:val="20"/>
          <w:color w:val="auto"/>
        </w:rPr>
      </w:pPr>
      <w:r>
        <w:rPr>
          <w:rFonts w:ascii="Arial" w:cs="Arial" w:eastAsia="Arial" w:hAnsi="Arial"/>
          <w:sz w:val="18"/>
          <w:szCs w:val="18"/>
          <w:color w:val="auto"/>
        </w:rPr>
        <w:t>There may be other thoracic inflammatory syndromes where rilonacept may prove beneficial, such as pericarditis associated with post</w:t>
      </w:r>
      <w:r>
        <w:rPr>
          <w:rFonts w:ascii="MS PGothic" w:cs="MS PGothic" w:eastAsia="MS PGothic" w:hAnsi="MS PGothic"/>
          <w:sz w:val="18"/>
          <w:szCs w:val="18"/>
          <w:color w:val="auto"/>
        </w:rPr>
        <w:t>‑</w:t>
      </w:r>
      <w:r>
        <w:rPr>
          <w:rFonts w:ascii="Arial" w:cs="Arial" w:eastAsia="Arial" w:hAnsi="Arial"/>
          <w:sz w:val="18"/>
          <w:szCs w:val="18"/>
          <w:color w:val="auto"/>
        </w:rPr>
        <w:t>pericardiotomy syndrome, an inflammatory reaction of the pericardium in patients who have undergone surgery that involves opening the pericardium. Post</w:t>
      </w:r>
      <w:r>
        <w:rPr>
          <w:rFonts w:ascii="MS PGothic" w:cs="MS PGothic" w:eastAsia="MS PGothic" w:hAnsi="MS PGothic"/>
          <w:sz w:val="18"/>
          <w:szCs w:val="18"/>
          <w:color w:val="auto"/>
        </w:rPr>
        <w:t>‑</w:t>
      </w:r>
      <w:r>
        <w:rPr>
          <w:rFonts w:ascii="Arial" w:cs="Arial" w:eastAsia="Arial" w:hAnsi="Arial"/>
          <w:sz w:val="18"/>
          <w:szCs w:val="18"/>
          <w:color w:val="auto"/>
        </w:rPr>
        <w:t>pericardiotomy syndrome occurs in up to 30% of the 300,000 patients in the United States undergoing post-cardiac injury, and we believe rilonacept may be a therapeutic option for a subset of these patients.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for Recurrent Pericarditis</w:t>
      </w:r>
    </w:p>
    <w:p>
      <w:pPr>
        <w:spacing w:after="0" w:line="225" w:lineRule="exact"/>
        <w:rPr>
          <w:sz w:val="20"/>
          <w:szCs w:val="20"/>
          <w:color w:val="auto"/>
        </w:rPr>
      </w:pPr>
    </w:p>
    <w:p>
      <w:pPr>
        <w:ind w:right="119" w:firstLine="648"/>
        <w:spacing w:after="0" w:line="218" w:lineRule="exact"/>
        <w:rPr>
          <w:sz w:val="20"/>
          <w:szCs w:val="20"/>
          <w:color w:val="auto"/>
        </w:rPr>
      </w:pPr>
      <w:r>
        <w:rPr>
          <w:rFonts w:ascii="Arial" w:cs="Arial" w:eastAsia="Arial" w:hAnsi="Arial"/>
          <w:sz w:val="17"/>
          <w:szCs w:val="17"/>
          <w:color w:val="auto"/>
        </w:rPr>
        <w:t>We are not aware of any current therapies approved by the FDA for the treatment of recurrent pericarditis. A patient’s initial acute episode of pericarditis is typically treated with over</w:t>
      </w:r>
      <w:r>
        <w:rPr>
          <w:rFonts w:ascii="MS PGothic" w:cs="MS PGothic" w:eastAsia="MS PGothic" w:hAnsi="MS PGothic"/>
          <w:sz w:val="17"/>
          <w:szCs w:val="17"/>
          <w:color w:val="auto"/>
        </w:rPr>
        <w:t>‑</w:t>
      </w:r>
      <w:r>
        <w:rPr>
          <w:rFonts w:ascii="Arial" w:cs="Arial" w:eastAsia="Arial" w:hAnsi="Arial"/>
          <w:sz w:val="17"/>
          <w:szCs w:val="17"/>
          <w:color w:val="auto"/>
        </w:rPr>
        <w:t>the</w:t>
      </w:r>
      <w:r>
        <w:rPr>
          <w:rFonts w:ascii="MS PGothic" w:cs="MS PGothic" w:eastAsia="MS PGothic" w:hAnsi="MS PGothic"/>
          <w:sz w:val="17"/>
          <w:szCs w:val="17"/>
          <w:color w:val="auto"/>
        </w:rPr>
        <w:t>‑</w:t>
      </w:r>
      <w:r>
        <w:rPr>
          <w:rFonts w:ascii="Arial" w:cs="Arial" w:eastAsia="Arial" w:hAnsi="Arial"/>
          <w:sz w:val="17"/>
          <w:szCs w:val="17"/>
          <w:color w:val="auto"/>
        </w:rPr>
        <w:t>counter or prescription NSAIDs or colchicine, both of which are used off</w:t>
      </w:r>
      <w:r>
        <w:rPr>
          <w:rFonts w:ascii="MS PGothic" w:cs="MS PGothic" w:eastAsia="MS PGothic" w:hAnsi="MS PGothic"/>
          <w:sz w:val="17"/>
          <w:szCs w:val="17"/>
          <w:color w:val="auto"/>
        </w:rPr>
        <w:t>‑</w:t>
      </w:r>
      <w:r>
        <w:rPr>
          <w:rFonts w:ascii="Arial" w:cs="Arial" w:eastAsia="Arial" w:hAnsi="Arial"/>
          <w:sz w:val="17"/>
          <w:szCs w:val="17"/>
          <w:color w:val="auto"/>
        </w:rPr>
        <w:t>label. Recurrent episodes are treated in a similar manner or by adding systemic corticosteroids which are also used off</w:t>
      </w:r>
      <w:r>
        <w:rPr>
          <w:rFonts w:ascii="MS PGothic" w:cs="MS PGothic" w:eastAsia="MS PGothic" w:hAnsi="MS PGothic"/>
          <w:sz w:val="17"/>
          <w:szCs w:val="17"/>
          <w:color w:val="auto"/>
        </w:rPr>
        <w:t>‑</w:t>
      </w:r>
      <w:r>
        <w:rPr>
          <w:rFonts w:ascii="Arial" w:cs="Arial" w:eastAsia="Arial" w:hAnsi="Arial"/>
          <w:sz w:val="17"/>
          <w:szCs w:val="17"/>
          <w:color w:val="auto"/>
        </w:rPr>
        <w:t>label. Both colchicine and corticosteroids often have deleterious effects when used at high doses or for long periods of time, including, for colchicine, gastrointestinal distress and neutropenia and, for corticosteroids, glaucoma, fluid retention, hypertension, mood changes, memory changes, other psychological effects, weight gain and diabetes. Fourth</w:t>
      </w:r>
      <w:r>
        <w:rPr>
          <w:rFonts w:ascii="MS PGothic" w:cs="MS PGothic" w:eastAsia="MS PGothic" w:hAnsi="MS PGothic"/>
          <w:sz w:val="17"/>
          <w:szCs w:val="17"/>
          <w:color w:val="auto"/>
        </w:rPr>
        <w:t>‑</w:t>
      </w:r>
      <w:r>
        <w:rPr>
          <w:rFonts w:ascii="Arial" w:cs="Arial" w:eastAsia="Arial" w:hAnsi="Arial"/>
          <w:sz w:val="17"/>
          <w:szCs w:val="17"/>
          <w:color w:val="auto"/>
        </w:rPr>
        <w:t>line treatment for these patients may include other immunosuppressants such as methotrexate and azathioprine, as well as anakinra.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25" w:lineRule="exact"/>
        <w:rPr>
          <w:sz w:val="20"/>
          <w:szCs w:val="20"/>
          <w:color w:val="auto"/>
        </w:rPr>
      </w:pPr>
    </w:p>
    <w:p>
      <w:pPr>
        <w:ind w:right="99" w:firstLine="648"/>
        <w:spacing w:after="0" w:line="219" w:lineRule="exact"/>
        <w:rPr>
          <w:sz w:val="20"/>
          <w:szCs w:val="20"/>
          <w:color w:val="auto"/>
        </w:rPr>
      </w:pPr>
      <w:r>
        <w:rPr>
          <w:rFonts w:ascii="Arial" w:cs="Arial" w:eastAsia="Arial" w:hAnsi="Arial"/>
          <w:sz w:val="18"/>
          <w:szCs w:val="18"/>
          <w:color w:val="auto"/>
        </w:rPr>
        <w:t>Rilonacept is a weekly, subcutaneously</w:t>
      </w:r>
      <w:r>
        <w:rPr>
          <w:rFonts w:ascii="MS PGothic" w:cs="MS PGothic" w:eastAsia="MS PGothic" w:hAnsi="MS PGothic"/>
          <w:sz w:val="18"/>
          <w:szCs w:val="18"/>
          <w:color w:val="auto"/>
        </w:rPr>
        <w:t>‑</w:t>
      </w:r>
      <w:r>
        <w:rPr>
          <w:rFonts w:ascii="Arial" w:cs="Arial" w:eastAsia="Arial" w:hAnsi="Arial"/>
          <w:sz w:val="18"/>
          <w:szCs w:val="18"/>
          <w:color w:val="auto"/>
        </w:rPr>
        <w:t>injected, recombinant fusion protein that blocks IL</w:t>
      </w:r>
      <w:r>
        <w:rPr>
          <w:rFonts w:ascii="MS PGothic" w:cs="MS PGothic" w:eastAsia="MS PGothic" w:hAnsi="MS PGothic"/>
          <w:sz w:val="18"/>
          <w:szCs w:val="18"/>
          <w:color w:val="auto"/>
        </w:rPr>
        <w:t>‑</w:t>
      </w:r>
      <w:r>
        <w:rPr>
          <w:rFonts w:ascii="Arial" w:cs="Arial" w:eastAsia="Arial" w:hAnsi="Arial"/>
          <w:sz w:val="18"/>
          <w:szCs w:val="18"/>
          <w:color w:val="auto"/>
        </w:rPr>
        <w:t>1α and IL</w:t>
      </w:r>
      <w:r>
        <w:rPr>
          <w:rFonts w:ascii="MS PGothic" w:cs="MS PGothic" w:eastAsia="MS PGothic" w:hAnsi="MS PGothic"/>
          <w:sz w:val="18"/>
          <w:szCs w:val="18"/>
          <w:color w:val="auto"/>
        </w:rPr>
        <w:t>‑</w:t>
      </w:r>
      <w:r>
        <w:rPr>
          <w:rFonts w:ascii="Arial" w:cs="Arial" w:eastAsia="Arial" w:hAnsi="Arial"/>
          <w:sz w:val="18"/>
          <w:szCs w:val="18"/>
          <w:color w:val="auto"/>
        </w:rPr>
        <w:t>1β signaling. Beyond recurrent pericarditis, we believe there is significant potential for rilonacept to address additional indications, including other pericarditis populations. More broadly, we believe diseases characterized by painful serosal inflammation may be driven by IL</w:t>
      </w:r>
      <w:r>
        <w:rPr>
          <w:rFonts w:ascii="MS PGothic" w:cs="MS PGothic" w:eastAsia="MS PGothic" w:hAnsi="MS PGothic"/>
          <w:sz w:val="18"/>
          <w:szCs w:val="18"/>
          <w:color w:val="auto"/>
        </w:rPr>
        <w:t>‑</w:t>
      </w:r>
      <w:r>
        <w:rPr>
          <w:rFonts w:ascii="Arial" w:cs="Arial" w:eastAsia="Arial" w:hAnsi="Arial"/>
          <w:sz w:val="18"/>
          <w:szCs w:val="18"/>
          <w:color w:val="auto"/>
        </w:rPr>
        <w:t>1α, and we intend to consider development of rilonacept in these indications and in others where we believe IL</w:t>
      </w:r>
      <w:r>
        <w:rPr>
          <w:rFonts w:ascii="MS PGothic" w:cs="MS PGothic" w:eastAsia="MS PGothic" w:hAnsi="MS PGothic"/>
          <w:sz w:val="18"/>
          <w:szCs w:val="18"/>
          <w:color w:val="auto"/>
        </w:rPr>
        <w:t>‑</w:t>
      </w:r>
      <w:r>
        <w:rPr>
          <w:rFonts w:ascii="Arial" w:cs="Arial" w:eastAsia="Arial" w:hAnsi="Arial"/>
          <w:sz w:val="18"/>
          <w:szCs w:val="18"/>
          <w:color w:val="auto"/>
        </w:rPr>
        <w:t>1α or IL</w:t>
      </w:r>
      <w:r>
        <w:rPr>
          <w:rFonts w:ascii="MS PGothic" w:cs="MS PGothic" w:eastAsia="MS PGothic" w:hAnsi="MS PGothic"/>
          <w:sz w:val="18"/>
          <w:szCs w:val="18"/>
          <w:color w:val="auto"/>
        </w:rPr>
        <w:t>‑</w:t>
      </w:r>
      <w:r>
        <w:rPr>
          <w:rFonts w:ascii="Arial" w:cs="Arial" w:eastAsia="Arial" w:hAnsi="Arial"/>
          <w:sz w:val="18"/>
          <w:szCs w:val="18"/>
          <w:color w:val="auto"/>
        </w:rPr>
        <w:t>1β play a key role in disease pathophysiology.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 for Recurrent Pericarditis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conducting a pivotal, global Phase 3 clinical trial, named RHAPSODY. The trial is intended to evaluate the</w:t>
      </w:r>
    </w:p>
    <w:p>
      <w:pPr>
        <w:spacing w:after="0" w:line="4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efficacy and safety of rilonacept treatment in subjects with recurrent pericarditis. RHAPSODY is a double</w:t>
      </w:r>
      <w:r>
        <w:rPr>
          <w:rFonts w:ascii="MS PGothic" w:cs="MS PGothic" w:eastAsia="MS PGothic" w:hAnsi="MS PGothic"/>
          <w:sz w:val="18"/>
          <w:szCs w:val="18"/>
          <w:color w:val="auto"/>
        </w:rPr>
        <w:t>‑</w:t>
      </w:r>
      <w:r>
        <w:rPr>
          <w:rFonts w:ascii="Arial" w:cs="Arial" w:eastAsia="Arial" w:hAnsi="Arial"/>
          <w:sz w:val="18"/>
          <w:szCs w:val="18"/>
          <w:color w:val="auto"/>
        </w:rPr>
        <w:t>blind,</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placebo</w:t>
      </w:r>
      <w:r>
        <w:rPr>
          <w:rFonts w:ascii="MS PGothic" w:cs="MS PGothic" w:eastAsia="MS PGothic" w:hAnsi="MS PGothic"/>
          <w:sz w:val="16"/>
          <w:szCs w:val="16"/>
          <w:color w:val="auto"/>
        </w:rPr>
        <w:t>‑</w:t>
      </w:r>
      <w:r>
        <w:rPr>
          <w:rFonts w:ascii="Arial" w:cs="Arial" w:eastAsia="Arial" w:hAnsi="Arial"/>
          <w:sz w:val="16"/>
          <w:szCs w:val="16"/>
          <w:color w:val="auto"/>
        </w:rPr>
        <w:t>controlled, RW trial, with an open</w:t>
      </w:r>
      <w:r>
        <w:rPr>
          <w:rFonts w:ascii="MS PGothic" w:cs="MS PGothic" w:eastAsia="MS PGothic" w:hAnsi="MS PGothic"/>
          <w:sz w:val="16"/>
          <w:szCs w:val="16"/>
          <w:color w:val="auto"/>
        </w:rPr>
        <w:t>‑</w:t>
      </w:r>
      <w:r>
        <w:rPr>
          <w:rFonts w:ascii="Arial" w:cs="Arial" w:eastAsia="Arial" w:hAnsi="Arial"/>
          <w:sz w:val="16"/>
          <w:szCs w:val="16"/>
          <w:color w:val="auto"/>
        </w:rPr>
        <w:t>label extension period. The trial is designed to randomize up to 75 subjects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RW period. Eligible subjects present at screening with at least a third pericarditis episode, defined as at least 1 day with</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pericarditis pain ≥ 4 on the 11</w:t>
      </w:r>
      <w:r>
        <w:rPr>
          <w:rFonts w:ascii="MS PGothic" w:cs="MS PGothic" w:eastAsia="MS PGothic" w:hAnsi="MS PGothic"/>
          <w:sz w:val="16"/>
          <w:szCs w:val="16"/>
          <w:color w:val="auto"/>
        </w:rPr>
        <w:t>‑</w:t>
      </w:r>
      <w:r>
        <w:rPr>
          <w:rFonts w:ascii="Arial" w:cs="Arial" w:eastAsia="Arial" w:hAnsi="Arial"/>
          <w:sz w:val="16"/>
          <w:szCs w:val="16"/>
          <w:color w:val="auto"/>
        </w:rPr>
        <w:t>point NRS and a C</w:t>
      </w:r>
      <w:r>
        <w:rPr>
          <w:rFonts w:ascii="MS PGothic" w:cs="MS PGothic" w:eastAsia="MS PGothic" w:hAnsi="MS PGothic"/>
          <w:sz w:val="16"/>
          <w:szCs w:val="16"/>
          <w:color w:val="auto"/>
        </w:rPr>
        <w:t>‑</w:t>
      </w:r>
      <w:r>
        <w:rPr>
          <w:rFonts w:ascii="Arial" w:cs="Arial" w:eastAsia="Arial" w:hAnsi="Arial"/>
          <w:sz w:val="16"/>
          <w:szCs w:val="16"/>
          <w:color w:val="auto"/>
        </w:rPr>
        <w:t>reactive protein, or CRP, value ≥1 mg/dL within the 7</w:t>
      </w:r>
      <w:r>
        <w:rPr>
          <w:rFonts w:ascii="MS PGothic" w:cs="MS PGothic" w:eastAsia="MS PGothic" w:hAnsi="MS PGothic"/>
          <w:sz w:val="16"/>
          <w:szCs w:val="16"/>
          <w:color w:val="auto"/>
        </w:rPr>
        <w:t>‑</w:t>
      </w:r>
      <w:r>
        <w:rPr>
          <w:rFonts w:ascii="Arial" w:cs="Arial" w:eastAsia="Arial" w:hAnsi="Arial"/>
          <w:sz w:val="16"/>
          <w:szCs w:val="16"/>
          <w:color w:val="auto"/>
        </w:rPr>
        <w:t>day period prior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first study drug administration. Subjects included in the study may be receiving concomitant NSAIDs or colchicine or oral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corticosteroid treatment in any combination.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clinical trial is comprised of 5 periods:</w:t>
      </w:r>
    </w:p>
    <w:p>
      <w:pPr>
        <w:spacing w:after="0" w:line="225" w:lineRule="exact"/>
        <w:rPr>
          <w:sz w:val="20"/>
          <w:szCs w:val="20"/>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screening period;</w:t>
      </w:r>
    </w:p>
    <w:p>
      <w:pPr>
        <w:spacing w:after="0" w:line="225" w:lineRule="exact"/>
        <w:rPr>
          <w:rFonts w:ascii="Arial" w:cs="Arial" w:eastAsia="Arial" w:hAnsi="Arial"/>
          <w:sz w:val="18"/>
          <w:szCs w:val="18"/>
          <w:color w:val="auto"/>
        </w:rPr>
      </w:pPr>
    </w:p>
    <w:p>
      <w:pPr>
        <w:ind w:left="980" w:right="79" w:hanging="329"/>
        <w:spacing w:after="0" w:line="221" w:lineRule="exact"/>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single</w:t>
      </w:r>
      <w:r>
        <w:rPr>
          <w:rFonts w:ascii="MS PGothic" w:cs="MS PGothic" w:eastAsia="MS PGothic" w:hAnsi="MS PGothic"/>
          <w:sz w:val="18"/>
          <w:szCs w:val="18"/>
          <w:color w:val="auto"/>
        </w:rPr>
        <w:t>‑</w:t>
      </w:r>
      <w:r>
        <w:rPr>
          <w:rFonts w:ascii="Arial" w:cs="Arial" w:eastAsia="Arial" w:hAnsi="Arial"/>
          <w:sz w:val="18"/>
          <w:szCs w:val="18"/>
          <w:color w:val="auto"/>
        </w:rPr>
        <w:t>blind run</w:t>
      </w:r>
      <w:r>
        <w:rPr>
          <w:rFonts w:ascii="MS PGothic" w:cs="MS PGothic" w:eastAsia="MS PGothic" w:hAnsi="MS PGothic"/>
          <w:sz w:val="18"/>
          <w:szCs w:val="18"/>
          <w:color w:val="auto"/>
        </w:rPr>
        <w:t>‑</w:t>
      </w:r>
      <w:r>
        <w:rPr>
          <w:rFonts w:ascii="Arial" w:cs="Arial" w:eastAsia="Arial" w:hAnsi="Arial"/>
          <w:sz w:val="18"/>
          <w:szCs w:val="18"/>
          <w:color w:val="auto"/>
        </w:rPr>
        <w:t>in period during which subjects receive a 320 mg loading dose of rilonacept subcutaneously, or SC, followed by a weekly 160 mg SC dose while background pericarditis medications are tapered and discontinued;</w:t>
      </w:r>
    </w:p>
    <w:p>
      <w:pPr>
        <w:spacing w:after="0" w:line="201" w:lineRule="exact"/>
        <w:rPr>
          <w:rFonts w:ascii="Arial" w:cs="Arial" w:eastAsia="Arial" w:hAnsi="Arial"/>
          <w:sz w:val="18"/>
          <w:szCs w:val="18"/>
          <w:color w:val="auto"/>
        </w:rPr>
      </w:pPr>
    </w:p>
    <w:p>
      <w:pPr>
        <w:ind w:left="980" w:right="99" w:hanging="329"/>
        <w:spacing w:after="0" w:line="223" w:lineRule="exact"/>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double</w:t>
      </w:r>
      <w:r>
        <w:rPr>
          <w:rFonts w:ascii="MS PGothic" w:cs="MS PGothic" w:eastAsia="MS PGothic" w:hAnsi="MS PGothic"/>
          <w:sz w:val="18"/>
          <w:szCs w:val="18"/>
          <w:color w:val="auto"/>
        </w:rPr>
        <w:t>‑</w:t>
      </w:r>
      <w:r>
        <w:rPr>
          <w:rFonts w:ascii="Arial" w:cs="Arial" w:eastAsia="Arial" w:hAnsi="Arial"/>
          <w:sz w:val="18"/>
          <w:szCs w:val="18"/>
          <w:color w:val="auto"/>
        </w:rPr>
        <w:t>blind, placebo</w:t>
      </w:r>
      <w:r>
        <w:rPr>
          <w:rFonts w:ascii="MS PGothic" w:cs="MS PGothic" w:eastAsia="MS PGothic" w:hAnsi="MS PGothic"/>
          <w:sz w:val="18"/>
          <w:szCs w:val="18"/>
          <w:color w:val="auto"/>
        </w:rPr>
        <w:t>‑</w:t>
      </w:r>
      <w:r>
        <w:rPr>
          <w:rFonts w:ascii="Arial" w:cs="Arial" w:eastAsia="Arial" w:hAnsi="Arial"/>
          <w:sz w:val="18"/>
          <w:szCs w:val="18"/>
          <w:color w:val="auto"/>
        </w:rPr>
        <w:t>controlled 24</w:t>
      </w:r>
      <w:r>
        <w:rPr>
          <w:rFonts w:ascii="MS PGothic" w:cs="MS PGothic" w:eastAsia="MS PGothic" w:hAnsi="MS PGothic"/>
          <w:sz w:val="18"/>
          <w:szCs w:val="18"/>
          <w:color w:val="auto"/>
        </w:rPr>
        <w:t>‑</w:t>
      </w:r>
      <w:r>
        <w:rPr>
          <w:rFonts w:ascii="Arial" w:cs="Arial" w:eastAsia="Arial" w:hAnsi="Arial"/>
          <w:sz w:val="18"/>
          <w:szCs w:val="18"/>
          <w:color w:val="auto"/>
        </w:rPr>
        <w:t>week RW period where clinical responders to rilonacept are randomized 1:1 to 160 mg SC weekly rilonacept or placebo;</w:t>
      </w:r>
    </w:p>
    <w:p>
      <w:pPr>
        <w:spacing w:after="0" w:line="203" w:lineRule="exact"/>
        <w:rPr>
          <w:rFonts w:ascii="Arial" w:cs="Arial" w:eastAsia="Arial" w:hAnsi="Arial"/>
          <w:sz w:val="18"/>
          <w:szCs w:val="18"/>
          <w:color w:val="auto"/>
        </w:rPr>
      </w:pPr>
    </w:p>
    <w:p>
      <w:pPr>
        <w:ind w:left="980" w:right="379" w:hanging="329"/>
        <w:spacing w:after="0" w:line="223" w:lineRule="exact"/>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long</w:t>
      </w:r>
      <w:r>
        <w:rPr>
          <w:rFonts w:ascii="MS PGothic" w:cs="MS PGothic" w:eastAsia="MS PGothic" w:hAnsi="MS PGothic"/>
          <w:sz w:val="18"/>
          <w:szCs w:val="18"/>
          <w:color w:val="auto"/>
        </w:rPr>
        <w:t>‑</w:t>
      </w:r>
      <w:r>
        <w:rPr>
          <w:rFonts w:ascii="Arial" w:cs="Arial" w:eastAsia="Arial" w:hAnsi="Arial"/>
          <w:sz w:val="18"/>
          <w:szCs w:val="18"/>
          <w:color w:val="auto"/>
        </w:rPr>
        <w:t>term extension treatment period for where all subjects completing the RW period have the option to receive up to 24</w:t>
      </w:r>
      <w:r>
        <w:rPr>
          <w:rFonts w:ascii="MS PGothic" w:cs="MS PGothic" w:eastAsia="MS PGothic" w:hAnsi="MS PGothic"/>
          <w:sz w:val="18"/>
          <w:szCs w:val="18"/>
          <w:color w:val="auto"/>
        </w:rPr>
        <w:t>‑</w:t>
      </w:r>
      <w:r>
        <w:rPr>
          <w:rFonts w:ascii="Arial" w:cs="Arial" w:eastAsia="Arial" w:hAnsi="Arial"/>
          <w:sz w:val="18"/>
          <w:szCs w:val="18"/>
          <w:color w:val="auto"/>
        </w:rPr>
        <w:t>weeks of open</w:t>
      </w:r>
      <w:r>
        <w:rPr>
          <w:rFonts w:ascii="MS PGothic" w:cs="MS PGothic" w:eastAsia="MS PGothic" w:hAnsi="MS PGothic"/>
          <w:sz w:val="18"/>
          <w:szCs w:val="18"/>
          <w:color w:val="auto"/>
        </w:rPr>
        <w:t>‑</w:t>
      </w:r>
      <w:r>
        <w:rPr>
          <w:rFonts w:ascii="Arial" w:cs="Arial" w:eastAsia="Arial" w:hAnsi="Arial"/>
          <w:sz w:val="18"/>
          <w:szCs w:val="18"/>
          <w:color w:val="auto"/>
        </w:rPr>
        <w:t>label rilonacept 160 mg SC weekly; and</w:t>
      </w:r>
    </w:p>
    <w:p>
      <w:pPr>
        <w:spacing w:after="0" w:line="203" w:lineRule="exact"/>
        <w:rPr>
          <w:rFonts w:ascii="Arial" w:cs="Arial" w:eastAsia="Arial" w:hAnsi="Arial"/>
          <w:sz w:val="18"/>
          <w:szCs w:val="18"/>
          <w:color w:val="auto"/>
        </w:rPr>
      </w:pPr>
    </w:p>
    <w:p>
      <w:pPr>
        <w:ind w:left="980" w:right="399" w:hanging="329"/>
        <w:spacing w:after="0" w:line="223" w:lineRule="exact"/>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long</w:t>
      </w:r>
      <w:r>
        <w:rPr>
          <w:rFonts w:ascii="MS PGothic" w:cs="MS PGothic" w:eastAsia="MS PGothic" w:hAnsi="MS PGothic"/>
          <w:sz w:val="18"/>
          <w:szCs w:val="18"/>
          <w:color w:val="auto"/>
        </w:rPr>
        <w:t>‑</w:t>
      </w:r>
      <w:r>
        <w:rPr>
          <w:rFonts w:ascii="Arial" w:cs="Arial" w:eastAsia="Arial" w:hAnsi="Arial"/>
          <w:sz w:val="18"/>
          <w:szCs w:val="18"/>
          <w:color w:val="auto"/>
        </w:rPr>
        <w:t>term extension follow</w:t>
      </w:r>
      <w:r>
        <w:rPr>
          <w:rFonts w:ascii="MS PGothic" w:cs="MS PGothic" w:eastAsia="MS PGothic" w:hAnsi="MS PGothic"/>
          <w:sz w:val="18"/>
          <w:szCs w:val="18"/>
          <w:color w:val="auto"/>
        </w:rPr>
        <w:t>‑</w:t>
      </w:r>
      <w:r>
        <w:rPr>
          <w:rFonts w:ascii="Arial" w:cs="Arial" w:eastAsia="Arial" w:hAnsi="Arial"/>
          <w:sz w:val="18"/>
          <w:szCs w:val="18"/>
          <w:color w:val="auto"/>
        </w:rPr>
        <w:t>up period during which all subjects in the long</w:t>
      </w:r>
      <w:r>
        <w:rPr>
          <w:rFonts w:ascii="MS PGothic" w:cs="MS PGothic" w:eastAsia="MS PGothic" w:hAnsi="MS PGothic"/>
          <w:sz w:val="18"/>
          <w:szCs w:val="18"/>
          <w:color w:val="auto"/>
        </w:rPr>
        <w:t>‑</w:t>
      </w:r>
      <w:r>
        <w:rPr>
          <w:rFonts w:ascii="Arial" w:cs="Arial" w:eastAsia="Arial" w:hAnsi="Arial"/>
          <w:sz w:val="18"/>
          <w:szCs w:val="18"/>
          <w:color w:val="auto"/>
        </w:rPr>
        <w:t>term extension period will be followed for 24 weeks for safety and pericarditis recurrences.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648"/>
        <w:spacing w:after="0" w:line="221" w:lineRule="exact"/>
        <w:rPr>
          <w:sz w:val="20"/>
          <w:szCs w:val="20"/>
          <w:color w:val="auto"/>
        </w:rPr>
      </w:pPr>
      <w:r>
        <w:rPr>
          <w:rFonts w:ascii="Arial" w:cs="Arial" w:eastAsia="Arial" w:hAnsi="Arial"/>
          <w:sz w:val="17"/>
          <w:szCs w:val="17"/>
          <w:color w:val="auto"/>
        </w:rPr>
        <w:t>The primary efficacy endpoint is time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first</w:t>
      </w:r>
      <w:r>
        <w:rPr>
          <w:rFonts w:ascii="MS PGothic" w:cs="MS PGothic" w:eastAsia="MS PGothic" w:hAnsi="MS PGothic"/>
          <w:sz w:val="17"/>
          <w:szCs w:val="17"/>
          <w:color w:val="auto"/>
        </w:rPr>
        <w:t>‑</w:t>
      </w:r>
      <w:r>
        <w:rPr>
          <w:rFonts w:ascii="Arial" w:cs="Arial" w:eastAsia="Arial" w:hAnsi="Arial"/>
          <w:sz w:val="17"/>
          <w:szCs w:val="17"/>
          <w:color w:val="auto"/>
        </w:rPr>
        <w:t>pericarditis</w:t>
      </w:r>
      <w:r>
        <w:rPr>
          <w:rFonts w:ascii="MS PGothic" w:cs="MS PGothic" w:eastAsia="MS PGothic" w:hAnsi="MS PGothic"/>
          <w:sz w:val="17"/>
          <w:szCs w:val="17"/>
          <w:color w:val="auto"/>
        </w:rPr>
        <w:t>‑</w:t>
      </w:r>
      <w:r>
        <w:rPr>
          <w:rFonts w:ascii="Arial" w:cs="Arial" w:eastAsia="Arial" w:hAnsi="Arial"/>
          <w:sz w:val="17"/>
          <w:szCs w:val="17"/>
          <w:color w:val="auto"/>
        </w:rPr>
        <w:t>recurrence in the RW period. The Clinical Endpoint Committee will adjudicate all suspected pericarditis recurrences for inclusion in the primary efficacy endpoint analysis. We have reached our target enrollment and expect to report top</w:t>
      </w:r>
      <w:r>
        <w:rPr>
          <w:rFonts w:ascii="MS PGothic" w:cs="MS PGothic" w:eastAsia="MS PGothic" w:hAnsi="MS PGothic"/>
          <w:sz w:val="17"/>
          <w:szCs w:val="17"/>
          <w:color w:val="auto"/>
        </w:rPr>
        <w:t>‑</w:t>
      </w:r>
      <w:r>
        <w:rPr>
          <w:rFonts w:ascii="Arial" w:cs="Arial" w:eastAsia="Arial" w:hAnsi="Arial"/>
          <w:sz w:val="17"/>
          <w:szCs w:val="17"/>
          <w:color w:val="auto"/>
        </w:rPr>
        <w:t>line data in the second half of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Study Results</w:t>
      </w:r>
    </w:p>
    <w:p>
      <w:pPr>
        <w:spacing w:after="0" w:line="225" w:lineRule="exact"/>
        <w:rPr>
          <w:sz w:val="20"/>
          <w:szCs w:val="20"/>
          <w:color w:val="auto"/>
        </w:rPr>
      </w:pPr>
    </w:p>
    <w:p>
      <w:pPr>
        <w:ind w:right="60" w:firstLine="648"/>
        <w:spacing w:after="0" w:line="221" w:lineRule="exact"/>
        <w:rPr>
          <w:sz w:val="20"/>
          <w:szCs w:val="20"/>
          <w:color w:val="auto"/>
        </w:rPr>
      </w:pPr>
      <w:r>
        <w:rPr>
          <w:rFonts w:ascii="Arial" w:cs="Arial" w:eastAsia="Arial" w:hAnsi="Arial"/>
          <w:sz w:val="16"/>
          <w:szCs w:val="16"/>
          <w:color w:val="auto"/>
        </w:rPr>
        <w:t>In 2019, we completed a Phase 2 proof</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concept clinical trial of rilonacept in recurrent pericarditis and reported final data at the American Heart Association Scientific Sessions in November 2019.The Phase 2 trial evaluated the treatment response to rilonacept in a range of recurrent pericarditis populations and was divided into five parts across two cohorts.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Actively symptomatic recurrent pericarditis patients:</w:t>
      </w:r>
    </w:p>
    <w:p>
      <w:pPr>
        <w:spacing w:after="0" w:line="23" w:lineRule="exact"/>
        <w:rPr>
          <w:sz w:val="20"/>
          <w:szCs w:val="20"/>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 1: Symptomatic patients with recurrent pericarditis and CRP &gt; 1 mg/dL;</w:t>
      </w:r>
    </w:p>
    <w:p>
      <w:pPr>
        <w:spacing w:after="0" w:line="210" w:lineRule="exact"/>
        <w:rPr>
          <w:rFonts w:ascii="Arial" w:cs="Arial" w:eastAsia="Arial" w:hAnsi="Arial"/>
          <w:sz w:val="18"/>
          <w:szCs w:val="18"/>
          <w:color w:val="auto"/>
        </w:rPr>
      </w:pPr>
    </w:p>
    <w:p>
      <w:pPr>
        <w:ind w:left="1300" w:right="160" w:hanging="325"/>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 2: Symptomatic patients with recurrent pericarditis and CRP ≤ 1 mg/dL but pericardial inflammation confirmed by magnetic resonance imaging, or MRI; and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 4: Symptomatic patients with post-pericardiotomy syndrome, or PPS and CRP &gt; 1 mg/dL.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Corticosteroid-dependent recurrent pericarditis patients not actively experiencing a recurrence:</w:t>
      </w:r>
    </w:p>
    <w:p>
      <w:pPr>
        <w:spacing w:after="0" w:line="23" w:lineRule="exact"/>
        <w:rPr>
          <w:sz w:val="20"/>
          <w:szCs w:val="20"/>
          <w:color w:val="auto"/>
        </w:rPr>
      </w:pPr>
    </w:p>
    <w:p>
      <w:pPr>
        <w:ind w:left="1300" w:right="140" w:hanging="325"/>
        <w:spacing w:after="0" w:line="261"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 3: Asymptomatic patients with recurrent pericarditis who were dependent upon or unable to wean off corticosteroids; and</w:t>
      </w:r>
    </w:p>
    <w:p>
      <w:pPr>
        <w:spacing w:after="0" w:line="183" w:lineRule="exact"/>
        <w:rPr>
          <w:rFonts w:ascii="Arial" w:cs="Arial" w:eastAsia="Arial" w:hAnsi="Arial"/>
          <w:sz w:val="18"/>
          <w:szCs w:val="18"/>
          <w:color w:val="auto"/>
        </w:rPr>
      </w:pPr>
    </w:p>
    <w:p>
      <w:pPr>
        <w:ind w:left="1300" w:hanging="325"/>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Part 5: Asymptomatic patients with PPS who were dependent upon or unable to wean off corticosteroids.</w:t>
      </w:r>
    </w:p>
    <w:p>
      <w:pPr>
        <w:spacing w:after="0" w:line="24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this study, all patients received a loading dose of rilonacept 320 mg subcutaneously, or SC, followed by 160 mg SC weekly maintenance on top of any combination of co-administered NSAIDs and/or colchicine and/or corticosteroids during a six-week base treatment period. There was an optional 18-week extension treatment period, during which physicians were given the option to wean patients off concomitant NSAIDs, colchicine, and/or corticosteroids. The assessed efficacy outcomes measures included an 11-point NRS, CRP, electrocardiogram, and echocardiogram to measure the size of the pericardial effusion. 25 unique patients enrolled in the six-week base treatment period across Parts 1 through 5 of the Phase 2 trial, and 23 patients continued into the optional 18-week extension treatment period and completed 24 weeks of treatment.</w:t>
      </w:r>
    </w:p>
    <w:p>
      <w:pPr>
        <w:spacing w:after="0" w:line="16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Phase 2 data provided first evidence that rilonacept treatment in the study improved clinically meaningful outcomes associated with the unmet medical need in recurrent pericarditis.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Resolution of Pericarditis Episodes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expect that symptomatic recurrent pericarditis patients with CRP &gt; 1mg/dL (Parts 1 and 4; n = 13), who were failing standard of care management with NSAIDs, colchicine, and/or corticosteroids, will be the most relevant to the enrollment population for the RHAPSODY Phase 3 clinical trial. In the Phase 2 trial, a rapid reduction in both reported pain and inflammation after the first dose as well as a persistent and clinically meaningful response were observed throughout the trial for these patients.</w:t>
      </w:r>
    </w:p>
    <w:p>
      <w:pPr>
        <w:spacing w:after="0" w:line="188" w:lineRule="exact"/>
        <w:rPr>
          <w:sz w:val="20"/>
          <w:szCs w:val="20"/>
          <w:color w:val="auto"/>
        </w:rPr>
      </w:pPr>
    </w:p>
    <w:p>
      <w:pPr>
        <w:ind w:left="1300" w:right="420" w:hanging="32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Mean patient-reported pericardial pain on an 11-point NRS decreased from 4.5 at baseline to 0.5 at 24 weeks;</w:t>
      </w:r>
    </w:p>
    <w:p>
      <w:pPr>
        <w:spacing w:after="0" w:line="170" w:lineRule="exact"/>
        <w:rPr>
          <w:rFonts w:ascii="Arial" w:cs="Arial" w:eastAsia="Arial" w:hAnsi="Arial"/>
          <w:sz w:val="18"/>
          <w:szCs w:val="18"/>
          <w:color w:val="auto"/>
        </w:rPr>
      </w:pPr>
    </w:p>
    <w:p>
      <w:pPr>
        <w:ind w:left="1300" w:right="940" w:hanging="32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mean CRP decreased from 4.6 mg/dL at baseline to 0.2 mg/dL at 24 weeks; mean time to CRP normalization was nine days;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460" w:hanging="325"/>
        <w:spacing w:after="0" w:line="342"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pericardial signs resolved or improved in all patients, including pericardial effusion (6/7 patients), PR depression (2/3 patients), widespread ST elevation (2/2 patients) and pericardial rub (2/2 patients).</w:t>
      </w:r>
    </w:p>
    <w:p>
      <w:pPr>
        <w:spacing w:after="0" w:line="12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symptomatic recurrent pericarditis patients with CRP ≤ 1mg/dL (Part 2; n = 3), who were failing standard of care management with NSAIDs, colchicine, and/or corticosteroids, a reduction in both reported pain and inflammation after the first dose as well as a persistent and clinically meaningful response were observed throughout the trial.</w:t>
      </w:r>
    </w:p>
    <w:p>
      <w:pPr>
        <w:spacing w:after="0" w:line="166" w:lineRule="exact"/>
        <w:rPr>
          <w:sz w:val="20"/>
          <w:szCs w:val="20"/>
          <w:color w:val="auto"/>
        </w:rPr>
      </w:pPr>
    </w:p>
    <w:p>
      <w:pPr>
        <w:ind w:left="1300" w:right="420" w:hanging="325"/>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Mean patient-reported pericardial pain on an 11-point NRS decreased from 4.7 at baseline to 0.0 at 24 weeks; and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mean CRP decreased from 0.46 mg/dL at baseline to 0.32 mg/dL at 24 weeks.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Tapering and Discontinuation of Corticosteroids without Pericarditis Recurrence</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15 recurrent pericarditis patients on corticosteroids at baseline enrolled in the six-week base treatment period, and 13 continued into the optional 18-week extension treatment period and completed 24 weeks of treatment. During the optional 18-week extension treatment period, investigators were given the option to wean patients from concomitant medications while continuing weekly rilonacept treatment. All patients on corticosteroids stopped or tapered corticosteroids during this part of the study without experiencing a recurrent pericarditis episode.</w:t>
      </w:r>
    </w:p>
    <w:p>
      <w:pPr>
        <w:spacing w:after="0" w:line="173" w:lineRule="exact"/>
        <w:rPr>
          <w:sz w:val="20"/>
          <w:szCs w:val="20"/>
          <w:color w:val="auto"/>
        </w:rPr>
      </w:pPr>
    </w:p>
    <w:p>
      <w:pPr>
        <w:ind w:left="1300" w:right="40" w:hanging="325"/>
        <w:spacing w:after="0" w:line="308"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11 recurrent pericarditis patients discontinued corticosteroids completely: four symptomatic patients across Parts 1 and 2 as well as seven corticosteroid-dependent patients across Parts 3 and 5.</w:t>
      </w:r>
    </w:p>
    <w:p>
      <w:pPr>
        <w:spacing w:after="0" w:line="146" w:lineRule="exact"/>
        <w:rPr>
          <w:rFonts w:ascii="Arial" w:cs="Arial" w:eastAsia="Arial" w:hAnsi="Arial"/>
          <w:sz w:val="17"/>
          <w:szCs w:val="17"/>
          <w:color w:val="auto"/>
        </w:rPr>
      </w:pPr>
    </w:p>
    <w:p>
      <w:pPr>
        <w:ind w:left="1300" w:right="60" w:hanging="325"/>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corticosteroid dose was successfully tapered in the two remaining recurrent pericarditis patients by the end of the 24-week study period: one symptomatic patient in Part 2 and one corticosteroid-dependent patient in Part 3.</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Reduction in Recurrences of Pericarditis Episodes while on Treatment</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A comparison of the annualized incidence of pericarditis episodes during the trial while receiving rilonacept versus patients’ own natural history in the period prior to the trial showed a decrease in annualized incidence of pericarditis episodes across all parts from 3.9 episodes/year prior to the study to &lt;0.18 episodes/year.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Improved Quality of Life Scores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Rilonacept treatment also resulted in improvement of Patient Reported Outcomes Measurement Information System, or PROMIS, Global Health scores for Physical and Mental Global Health (U.S. mean score = 50.0; standard deviation = 10). A clinically meaningful difference is thought to be one standard deviation, or ten points.</w:t>
      </w:r>
    </w:p>
    <w:p>
      <w:pPr>
        <w:spacing w:after="0" w:line="166" w:lineRule="exact"/>
        <w:rPr>
          <w:sz w:val="20"/>
          <w:szCs w:val="20"/>
          <w:color w:val="auto"/>
        </w:rPr>
      </w:pPr>
    </w:p>
    <w:p>
      <w:pPr>
        <w:ind w:left="1300" w:right="100" w:hanging="325"/>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symptomatic recurrent pericarditis patients (Parts 1, 2, and 4), the mean Physical and Mental Global Health baseline scores were 39.9 and 44.5, respectively, and improved to 51.3 and 50.5, respectively, at 24 weeks.</w:t>
      </w:r>
    </w:p>
    <w:p>
      <w:pPr>
        <w:spacing w:after="0" w:line="181" w:lineRule="exact"/>
        <w:rPr>
          <w:rFonts w:ascii="Arial" w:cs="Arial" w:eastAsia="Arial" w:hAnsi="Arial"/>
          <w:sz w:val="18"/>
          <w:szCs w:val="18"/>
          <w:color w:val="auto"/>
        </w:rPr>
      </w:pPr>
    </w:p>
    <w:p>
      <w:pPr>
        <w:ind w:left="1300" w:right="260" w:hanging="325"/>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corticosteroid-dependent recurrent pericarditis patients (Parts 3 and 5), the mean Physical and Mental Global Health baseline scores were 43.3 and 46.5, respectively, and improved to 46.8 and 50.7, respectively, at 24 weeks.</w:t>
      </w:r>
    </w:p>
    <w:p>
      <w:pPr>
        <w:spacing w:after="0" w:line="181"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Rilonacept was generally well-tolerated in the study, with adverse events consistent with the FDA-approved label for the treatment of CAPS, including Familial Cold Autoinflammatory Syndrome and Muckle-Wells Syndrome. The most common adverse events were mild, transient injection site reactions that did not cause discontinuation. There was one treatment-related serious adverse event which resulted in discontinuation: a subcutaneous abscess which responded to medical treatment. Infections are included in the rilonacept label for CAPS.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Clinical History of Rilonacept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Regeneron evaluated rilonacept in a total of 21 clinical trials, including two trials in over 100 patients for the treatment of CAPS, and six trials in over 1,800 patients for the treatment of gout flares.</w:t>
      </w:r>
    </w:p>
    <w:p>
      <w:pPr>
        <w:spacing w:after="0" w:line="170" w:lineRule="exact"/>
        <w:rPr>
          <w:sz w:val="20"/>
          <w:szCs w:val="20"/>
          <w:color w:val="auto"/>
        </w:rPr>
      </w:pPr>
    </w:p>
    <w:p>
      <w:pPr>
        <w:ind w:left="980" w:hanging="329"/>
        <w:spacing w:after="0" w:line="220" w:lineRule="exact"/>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CAPS: </w:t>
      </w:r>
      <w:r>
        <w:rPr>
          <w:rFonts w:ascii="Arial" w:cs="Arial" w:eastAsia="Arial" w:hAnsi="Arial"/>
          <w:sz w:val="17"/>
          <w:szCs w:val="17"/>
          <w:color w:val="auto"/>
        </w:rPr>
        <w:t>Regeneron evaluated rilonacept for the treatment of CAPS in two trials. In these trials, 109 patients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CAPS, including eight pediatric patients, were treated with at least one dose of rilonacept. In the pivotal efficacy trial, which evaluated the long</w:t>
      </w:r>
      <w:r>
        <w:rPr>
          <w:rFonts w:ascii="MS PGothic" w:cs="MS PGothic" w:eastAsia="MS PGothic" w:hAnsi="MS PGothic"/>
          <w:sz w:val="17"/>
          <w:szCs w:val="17"/>
          <w:color w:val="auto"/>
        </w:rPr>
        <w:t>‑</w:t>
      </w:r>
      <w:r>
        <w:rPr>
          <w:rFonts w:ascii="Arial" w:cs="Arial" w:eastAsia="Arial" w:hAnsi="Arial"/>
          <w:sz w:val="17"/>
          <w:szCs w:val="17"/>
          <w:color w:val="auto"/>
        </w:rPr>
        <w:t>term efficacy and safety of once</w:t>
      </w:r>
      <w:r>
        <w:rPr>
          <w:rFonts w:ascii="MS PGothic" w:cs="MS PGothic" w:eastAsia="MS PGothic" w:hAnsi="MS PGothic"/>
          <w:sz w:val="17"/>
          <w:szCs w:val="17"/>
          <w:color w:val="auto"/>
        </w:rPr>
        <w:t>‑</w:t>
      </w:r>
      <w:r>
        <w:rPr>
          <w:rFonts w:ascii="Arial" w:cs="Arial" w:eastAsia="Arial" w:hAnsi="Arial"/>
          <w:sz w:val="17"/>
          <w:szCs w:val="17"/>
          <w:color w:val="auto"/>
        </w:rPr>
        <w:t>weekly dosing, 160 mg of rilonacept markedly decreased the clinical signs and symptoms of CAPS.</w:t>
      </w:r>
    </w:p>
    <w:p>
      <w:pPr>
        <w:spacing w:after="0" w:line="204" w:lineRule="exact"/>
        <w:rPr>
          <w:rFonts w:ascii="Arial" w:cs="Arial" w:eastAsia="Arial" w:hAnsi="Arial"/>
          <w:sz w:val="17"/>
          <w:szCs w:val="17"/>
          <w:color w:val="auto"/>
        </w:rPr>
      </w:pPr>
    </w:p>
    <w:p>
      <w:pPr>
        <w:ind w:left="980" w:right="40" w:hanging="329"/>
        <w:spacing w:after="0" w:line="218" w:lineRule="exact"/>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Gout: </w:t>
      </w:r>
      <w:r>
        <w:rPr>
          <w:rFonts w:ascii="Arial" w:cs="Arial" w:eastAsia="Arial" w:hAnsi="Arial"/>
          <w:sz w:val="16"/>
          <w:szCs w:val="16"/>
          <w:color w:val="auto"/>
        </w:rPr>
        <w:t>Regeneron evaluated rilonacept for the treatment of gout flares in six trials. In the two pivotal efficacy</w:t>
      </w:r>
      <w:r>
        <w:rPr>
          <w:rFonts w:ascii="Arial" w:cs="Arial" w:eastAsia="Arial" w:hAnsi="Arial"/>
          <w:sz w:val="16"/>
          <w:szCs w:val="16"/>
          <w:i w:val="1"/>
          <w:iCs w:val="1"/>
          <w:color w:val="auto"/>
        </w:rPr>
        <w:t xml:space="preserve"> </w:t>
      </w:r>
      <w:r>
        <w:rPr>
          <w:rFonts w:ascii="Arial" w:cs="Arial" w:eastAsia="Arial" w:hAnsi="Arial"/>
          <w:sz w:val="16"/>
          <w:szCs w:val="16"/>
          <w:color w:val="auto"/>
        </w:rPr>
        <w:t>trials in patients with gout, which evaluated the efficacy of once</w:t>
      </w:r>
      <w:r>
        <w:rPr>
          <w:rFonts w:ascii="MS PGothic" w:cs="MS PGothic" w:eastAsia="MS PGothic" w:hAnsi="MS PGothic"/>
          <w:sz w:val="16"/>
          <w:szCs w:val="16"/>
          <w:color w:val="auto"/>
        </w:rPr>
        <w:t>‑</w:t>
      </w:r>
      <w:r>
        <w:rPr>
          <w:rFonts w:ascii="Arial" w:cs="Arial" w:eastAsia="Arial" w:hAnsi="Arial"/>
          <w:sz w:val="16"/>
          <w:szCs w:val="16"/>
          <w:color w:val="auto"/>
        </w:rPr>
        <w:t>weekly dosing for the prevention of gout flares during initiation of uric acid</w:t>
      </w:r>
      <w:r>
        <w:rPr>
          <w:rFonts w:ascii="MS PGothic" w:cs="MS PGothic" w:eastAsia="MS PGothic" w:hAnsi="MS PGothic"/>
          <w:sz w:val="16"/>
          <w:szCs w:val="16"/>
          <w:color w:val="auto"/>
        </w:rPr>
        <w:t>‑</w:t>
      </w:r>
      <w:r>
        <w:rPr>
          <w:rFonts w:ascii="Arial" w:cs="Arial" w:eastAsia="Arial" w:hAnsi="Arial"/>
          <w:sz w:val="16"/>
          <w:szCs w:val="16"/>
          <w:color w:val="auto"/>
        </w:rPr>
        <w:t>lowering therapy, rilonacept at doses of 80 mg and 160 mg significantly decreased the number of gout flares. Regeneron abandoned active development for the treatment of gout flares after receiving a complete response letter from the FDA requesting additional clinical data, as well as additional CMC information related to a proposed new dosage form Regeneron was evaluating for gout, which was different than the dosage form approved in the CAPS indication and now being used for pericarditis.</w:t>
      </w:r>
    </w:p>
    <w:p>
      <w:pPr>
        <w:spacing w:after="0" w:line="204" w:lineRule="exact"/>
        <w:rPr>
          <w:rFonts w:ascii="Arial" w:cs="Arial" w:eastAsia="Arial" w:hAnsi="Arial"/>
          <w:sz w:val="16"/>
          <w:szCs w:val="16"/>
          <w:color w:val="auto"/>
        </w:rPr>
      </w:pPr>
    </w:p>
    <w:p>
      <w:pPr>
        <w:ind w:left="980" w:right="160" w:hanging="329"/>
        <w:spacing w:after="0" w:line="221" w:lineRule="exact"/>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Other Indications: </w:t>
      </w:r>
      <w:r>
        <w:rPr>
          <w:rFonts w:ascii="Arial" w:cs="Arial" w:eastAsia="Arial" w:hAnsi="Arial"/>
          <w:sz w:val="18"/>
          <w:szCs w:val="18"/>
          <w:color w:val="auto"/>
        </w:rPr>
        <w:t>Regeneron conducted a total of 13 clinical trials of rilonacept for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rheumatoid arthritis, or RA, polymyalgia rheumatica, osteoarthritis, coronary artery disease, systemic juvenile idiopathic arthritis and end</w:t>
      </w:r>
      <w:r>
        <w:rPr>
          <w:rFonts w:ascii="MS PGothic" w:cs="MS PGothic" w:eastAsia="MS PGothic" w:hAnsi="MS PGothic"/>
          <w:sz w:val="18"/>
          <w:szCs w:val="18"/>
          <w:color w:val="auto"/>
        </w:rPr>
        <w:t>‑</w:t>
      </w:r>
      <w:r>
        <w:rPr>
          <w:rFonts w:ascii="Arial" w:cs="Arial" w:eastAsia="Arial" w:hAnsi="Arial"/>
          <w:sz w:val="18"/>
          <w:szCs w:val="18"/>
          <w:color w:val="auto"/>
        </w:rPr>
        <w:t>stage renal disease.</w:t>
      </w:r>
    </w:p>
    <w:p>
      <w:pPr>
        <w:spacing w:after="0" w:line="202" w:lineRule="exact"/>
        <w:rPr>
          <w:sz w:val="20"/>
          <w:szCs w:val="20"/>
          <w:color w:val="auto"/>
        </w:rPr>
      </w:pPr>
    </w:p>
    <w:p>
      <w:pPr>
        <w:ind w:right="40" w:firstLine="648"/>
        <w:spacing w:after="0" w:line="218" w:lineRule="exact"/>
        <w:rPr>
          <w:sz w:val="20"/>
          <w:szCs w:val="20"/>
          <w:color w:val="auto"/>
        </w:rPr>
      </w:pPr>
      <w:r>
        <w:rPr>
          <w:rFonts w:ascii="Arial" w:cs="Arial" w:eastAsia="Arial" w:hAnsi="Arial"/>
          <w:sz w:val="18"/>
          <w:szCs w:val="18"/>
          <w:color w:val="auto"/>
        </w:rPr>
        <w:t>In the 21 clinical studies conducted by Regeneron with rilonacept to date, the most common adverse events reported were injection site reactions and upper respiratory tract infections. Across these studies, there were a total of five serious adverse events, or SAEs, that were assessed by investigators as drug related. Among patients treated with rilonacept there were three SAEs, colitis, gastrointestinal hemorrhage, and drug eruption. One patient treated with placebo experienced cellulitis and another placebo</w:t>
      </w:r>
      <w:r>
        <w:rPr>
          <w:rFonts w:ascii="MS PGothic" w:cs="MS PGothic" w:eastAsia="MS PGothic" w:hAnsi="MS PGothic"/>
          <w:sz w:val="18"/>
          <w:szCs w:val="18"/>
          <w:color w:val="auto"/>
        </w:rPr>
        <w:t>‑</w:t>
      </w:r>
      <w:r>
        <w:rPr>
          <w:rFonts w:ascii="Arial" w:cs="Arial" w:eastAsia="Arial" w:hAnsi="Arial"/>
          <w:sz w:val="18"/>
          <w:szCs w:val="18"/>
          <w:color w:val="auto"/>
        </w:rPr>
        <w:t>treated patient died. The largest clinical programs conducted by Regeneron with rilonacept were its Phase 2 and Phase 3 programs for gout flare prevention, which treated a total of 1,886 patients. The most common adverse events reported for the 160 mg dose, the dosage used for the treatment of CAPS, were injection site reactions (15.5% for rilonacept versus 2.6% for placebo) and upper respiratory tract infections (10.3% for rilonacept versus 10.1% for placebo).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Mavrilimumab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60" w:firstLine="648"/>
        <w:spacing w:after="0" w:line="218" w:lineRule="exact"/>
        <w:rPr>
          <w:sz w:val="20"/>
          <w:szCs w:val="20"/>
          <w:color w:val="auto"/>
        </w:rPr>
      </w:pPr>
      <w:r>
        <w:rPr>
          <w:rFonts w:ascii="Arial" w:cs="Arial" w:eastAsia="Arial" w:hAnsi="Arial"/>
          <w:sz w:val="16"/>
          <w:szCs w:val="16"/>
          <w:color w:val="auto"/>
        </w:rPr>
        <w:t>Mavrilimumab is a fully</w:t>
      </w:r>
      <w:r>
        <w:rPr>
          <w:rFonts w:ascii="MS PGothic" w:cs="MS PGothic" w:eastAsia="MS PGothic" w:hAnsi="MS PGothic"/>
          <w:sz w:val="16"/>
          <w:szCs w:val="16"/>
          <w:color w:val="auto"/>
        </w:rPr>
        <w:t>‑</w:t>
      </w:r>
      <w:r>
        <w:rPr>
          <w:rFonts w:ascii="Arial" w:cs="Arial" w:eastAsia="Arial" w:hAnsi="Arial"/>
          <w:sz w:val="16"/>
          <w:szCs w:val="16"/>
          <w:color w:val="auto"/>
        </w:rPr>
        <w:t>human monoclonal antibody that antagonizes GM</w:t>
      </w:r>
      <w:r>
        <w:rPr>
          <w:rFonts w:ascii="MS PGothic" w:cs="MS PGothic" w:eastAsia="MS PGothic" w:hAnsi="MS PGothic"/>
          <w:sz w:val="16"/>
          <w:szCs w:val="16"/>
          <w:color w:val="auto"/>
        </w:rPr>
        <w:t>‑</w:t>
      </w:r>
      <w:r>
        <w:rPr>
          <w:rFonts w:ascii="Arial" w:cs="Arial" w:eastAsia="Arial" w:hAnsi="Arial"/>
          <w:sz w:val="16"/>
          <w:szCs w:val="16"/>
          <w:color w:val="auto"/>
        </w:rPr>
        <w:t>CSF signaling by binding to the alpha subunit of the GM</w:t>
      </w:r>
      <w:r>
        <w:rPr>
          <w:rFonts w:ascii="MS PGothic" w:cs="MS PGothic" w:eastAsia="MS PGothic" w:hAnsi="MS PGothic"/>
          <w:sz w:val="16"/>
          <w:szCs w:val="16"/>
          <w:color w:val="auto"/>
        </w:rPr>
        <w:t>‑</w:t>
      </w:r>
      <w:r>
        <w:rPr>
          <w:rFonts w:ascii="Arial" w:cs="Arial" w:eastAsia="Arial" w:hAnsi="Arial"/>
          <w:sz w:val="16"/>
          <w:szCs w:val="16"/>
          <w:color w:val="auto"/>
        </w:rPr>
        <w:t>CSF receptor. Our lead indication for mavrilimumab is GCA, a chronic inflammatory disease of medium-large blood vessels with an estimated U.S. prevalence of approximately 75,000 – 150,000 patients. We have commenced dosing in multiple countries in a randomized, double</w:t>
      </w:r>
      <w:r>
        <w:rPr>
          <w:rFonts w:ascii="MS PGothic" w:cs="MS PGothic" w:eastAsia="MS PGothic" w:hAnsi="MS PGothic"/>
          <w:sz w:val="16"/>
          <w:szCs w:val="16"/>
          <w:color w:val="auto"/>
        </w:rPr>
        <w:t>‑</w:t>
      </w:r>
      <w:r>
        <w:rPr>
          <w:rFonts w:ascii="Arial" w:cs="Arial" w:eastAsia="Arial" w:hAnsi="Arial"/>
          <w:sz w:val="16"/>
          <w:szCs w:val="16"/>
          <w:color w:val="auto"/>
        </w:rPr>
        <w:t>blind, placebo</w:t>
      </w:r>
      <w:r>
        <w:rPr>
          <w:rFonts w:ascii="MS PGothic" w:cs="MS PGothic" w:eastAsia="MS PGothic" w:hAnsi="MS PGothic"/>
          <w:sz w:val="16"/>
          <w:szCs w:val="16"/>
          <w:color w:val="auto"/>
        </w:rPr>
        <w:t>‑</w:t>
      </w:r>
      <w:r>
        <w:rPr>
          <w:rFonts w:ascii="Arial" w:cs="Arial" w:eastAsia="Arial" w:hAnsi="Arial"/>
          <w:sz w:val="16"/>
          <w:szCs w:val="16"/>
          <w:color w:val="auto"/>
        </w:rPr>
        <w:t>controlled, global Phase 2 proof</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concept trial for the study of mavrilimumab in GCA. We expect to report top</w:t>
      </w:r>
      <w:r>
        <w:rPr>
          <w:rFonts w:ascii="MS PGothic" w:cs="MS PGothic" w:eastAsia="MS PGothic" w:hAnsi="MS PGothic"/>
          <w:sz w:val="16"/>
          <w:szCs w:val="16"/>
          <w:color w:val="auto"/>
        </w:rPr>
        <w:t>‑</w:t>
      </w:r>
      <w:r>
        <w:rPr>
          <w:rFonts w:ascii="Arial" w:cs="Arial" w:eastAsia="Arial" w:hAnsi="Arial"/>
          <w:sz w:val="16"/>
          <w:szCs w:val="16"/>
          <w:color w:val="auto"/>
        </w:rPr>
        <w:t>line data in the second half of 2020. Before we licensed mavrilimumab in 2017, MedImmune, Limited, or MedImmune, was developing mavrilimumab for the treatment of RA.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225" w:lineRule="exact"/>
        <w:rPr>
          <w:sz w:val="20"/>
          <w:szCs w:val="20"/>
          <w:color w:val="auto"/>
        </w:rPr>
      </w:pPr>
    </w:p>
    <w:p>
      <w:pPr>
        <w:ind w:right="340" w:firstLine="648"/>
        <w:spacing w:after="0" w:line="221" w:lineRule="exact"/>
        <w:rPr>
          <w:sz w:val="20"/>
          <w:szCs w:val="20"/>
          <w:color w:val="auto"/>
        </w:rPr>
      </w:pPr>
      <w:r>
        <w:rPr>
          <w:rFonts w:ascii="Arial" w:cs="Arial" w:eastAsia="Arial" w:hAnsi="Arial"/>
          <w:sz w:val="17"/>
          <w:szCs w:val="17"/>
          <w:color w:val="auto"/>
        </w:rPr>
        <w:t>Mavrilimumab is designed to inhibit the signaling of GM</w:t>
      </w:r>
      <w:r>
        <w:rPr>
          <w:rFonts w:ascii="MS PGothic" w:cs="MS PGothic" w:eastAsia="MS PGothic" w:hAnsi="MS PGothic"/>
          <w:sz w:val="17"/>
          <w:szCs w:val="17"/>
          <w:color w:val="auto"/>
        </w:rPr>
        <w:t>‑</w:t>
      </w:r>
      <w:r>
        <w:rPr>
          <w:rFonts w:ascii="Arial" w:cs="Arial" w:eastAsia="Arial" w:hAnsi="Arial"/>
          <w:sz w:val="17"/>
          <w:szCs w:val="17"/>
          <w:color w:val="auto"/>
        </w:rPr>
        <w:t>CSF, a growth factor that stimulates the production of certain types of white blood cells. Studies have demonstrated that with GM</w:t>
      </w:r>
      <w:r>
        <w:rPr>
          <w:rFonts w:ascii="MS PGothic" w:cs="MS PGothic" w:eastAsia="MS PGothic" w:hAnsi="MS PGothic"/>
          <w:sz w:val="17"/>
          <w:szCs w:val="17"/>
          <w:color w:val="auto"/>
        </w:rPr>
        <w:t>‑</w:t>
      </w:r>
      <w:r>
        <w:rPr>
          <w:rFonts w:ascii="Arial" w:cs="Arial" w:eastAsia="Arial" w:hAnsi="Arial"/>
          <w:sz w:val="17"/>
          <w:szCs w:val="17"/>
          <w:color w:val="auto"/>
        </w:rPr>
        <w:t>CSF overexpression, pathological changes almost always follow. Reported data suggest GM</w:t>
      </w:r>
      <w:r>
        <w:rPr>
          <w:rFonts w:ascii="MS PGothic" w:cs="MS PGothic" w:eastAsia="MS PGothic" w:hAnsi="MS PGothic"/>
          <w:sz w:val="17"/>
          <w:szCs w:val="17"/>
          <w:color w:val="auto"/>
        </w:rPr>
        <w:t>‑</w:t>
      </w:r>
      <w:r>
        <w:rPr>
          <w:rFonts w:ascii="Arial" w:cs="Arial" w:eastAsia="Arial" w:hAnsi="Arial"/>
          <w:sz w:val="17"/>
          <w:szCs w:val="17"/>
          <w:color w:val="auto"/>
        </w:rPr>
        <w:t>CSF is a key player in the immune system, as follows:</w:t>
      </w:r>
    </w:p>
    <w:p>
      <w:pPr>
        <w:spacing w:after="0" w:line="202" w:lineRule="exact"/>
        <w:rPr>
          <w:sz w:val="20"/>
          <w:szCs w:val="20"/>
          <w:color w:val="auto"/>
        </w:rPr>
      </w:pPr>
    </w:p>
    <w:p>
      <w:pPr>
        <w:ind w:left="980" w:right="60" w:hanging="329"/>
        <w:spacing w:after="0" w:line="223" w:lineRule="exact"/>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GM</w:t>
      </w:r>
      <w:r>
        <w:rPr>
          <w:rFonts w:ascii="MS PGothic" w:cs="MS PGothic" w:eastAsia="MS PGothic" w:hAnsi="MS PGothic"/>
          <w:sz w:val="18"/>
          <w:szCs w:val="18"/>
          <w:color w:val="auto"/>
        </w:rPr>
        <w:t>‑</w:t>
      </w:r>
      <w:r>
        <w:rPr>
          <w:rFonts w:ascii="Arial" w:cs="Arial" w:eastAsia="Arial" w:hAnsi="Arial"/>
          <w:sz w:val="18"/>
          <w:szCs w:val="18"/>
          <w:color w:val="auto"/>
        </w:rPr>
        <w:t>CSF enhanced trafficking of myeloid cells through activated endothelium of blood vessels and contributed to monocyte and macrophage accumulation in blood vessels during inflammation;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340" w:hanging="329"/>
        <w:spacing w:after="0" w:line="223" w:lineRule="exact"/>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GM</w:t>
      </w:r>
      <w:r>
        <w:rPr>
          <w:rFonts w:ascii="MS PGothic" w:cs="MS PGothic" w:eastAsia="MS PGothic" w:hAnsi="MS PGothic"/>
          <w:sz w:val="18"/>
          <w:szCs w:val="18"/>
          <w:color w:val="auto"/>
        </w:rPr>
        <w:t>‑</w:t>
      </w:r>
      <w:r>
        <w:rPr>
          <w:rFonts w:ascii="Arial" w:cs="Arial" w:eastAsia="Arial" w:hAnsi="Arial"/>
          <w:sz w:val="18"/>
          <w:szCs w:val="18"/>
          <w:color w:val="auto"/>
        </w:rPr>
        <w:t>CSF promoted activation, differentiation, survival and proliferation of monocytes and macrophages, as well as resident tissue macrophages in inflamed tissues;</w:t>
      </w:r>
    </w:p>
    <w:p>
      <w:pPr>
        <w:spacing w:after="0" w:line="203" w:lineRule="exact"/>
        <w:rPr>
          <w:rFonts w:ascii="Arial" w:cs="Arial" w:eastAsia="Arial" w:hAnsi="Arial"/>
          <w:sz w:val="18"/>
          <w:szCs w:val="18"/>
          <w:color w:val="auto"/>
        </w:rPr>
      </w:pPr>
    </w:p>
    <w:p>
      <w:pPr>
        <w:ind w:left="980" w:right="40" w:hanging="329"/>
        <w:spacing w:after="0" w:line="223" w:lineRule="exact"/>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GM</w:t>
      </w:r>
      <w:r>
        <w:rPr>
          <w:rFonts w:ascii="MS PGothic" w:cs="MS PGothic" w:eastAsia="MS PGothic" w:hAnsi="MS PGothic"/>
          <w:sz w:val="18"/>
          <w:szCs w:val="18"/>
          <w:color w:val="auto"/>
        </w:rPr>
        <w:t>‑</w:t>
      </w:r>
      <w:r>
        <w:rPr>
          <w:rFonts w:ascii="Arial" w:cs="Arial" w:eastAsia="Arial" w:hAnsi="Arial"/>
          <w:sz w:val="18"/>
          <w:szCs w:val="18"/>
          <w:color w:val="auto"/>
        </w:rPr>
        <w:t>CSF production led to activation of the vasculature and bone marrow and also promoted the differentiation of effector T cells at inflamed sites and draining lymph nodes; and</w:t>
      </w:r>
    </w:p>
    <w:p>
      <w:pPr>
        <w:spacing w:after="0" w:line="203" w:lineRule="exact"/>
        <w:rPr>
          <w:rFonts w:ascii="Arial" w:cs="Arial" w:eastAsia="Arial" w:hAnsi="Arial"/>
          <w:sz w:val="18"/>
          <w:szCs w:val="18"/>
          <w:color w:val="auto"/>
        </w:rPr>
      </w:pPr>
    </w:p>
    <w:p>
      <w:pPr>
        <w:ind w:left="980" w:right="660" w:hanging="329"/>
        <w:spacing w:after="0" w:line="221" w:lineRule="exact"/>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GM</w:t>
      </w:r>
      <w:r>
        <w:rPr>
          <w:rFonts w:ascii="MS PGothic" w:cs="MS PGothic" w:eastAsia="MS PGothic" w:hAnsi="MS PGothic"/>
          <w:sz w:val="18"/>
          <w:szCs w:val="18"/>
          <w:color w:val="auto"/>
        </w:rPr>
        <w:t>‑</w:t>
      </w:r>
      <w:r>
        <w:rPr>
          <w:rFonts w:ascii="Arial" w:cs="Arial" w:eastAsia="Arial" w:hAnsi="Arial"/>
          <w:sz w:val="18"/>
          <w:szCs w:val="18"/>
          <w:color w:val="auto"/>
        </w:rPr>
        <w:t>CSF regulated the phenotype of antigen</w:t>
      </w:r>
      <w:r>
        <w:rPr>
          <w:rFonts w:ascii="MS PGothic" w:cs="MS PGothic" w:eastAsia="MS PGothic" w:hAnsi="MS PGothic"/>
          <w:sz w:val="18"/>
          <w:szCs w:val="18"/>
          <w:color w:val="auto"/>
        </w:rPr>
        <w:t>‑</w:t>
      </w:r>
      <w:r>
        <w:rPr>
          <w:rFonts w:ascii="Arial" w:cs="Arial" w:eastAsia="Arial" w:hAnsi="Arial"/>
          <w:sz w:val="18"/>
          <w:szCs w:val="18"/>
          <w:color w:val="auto"/>
        </w:rPr>
        <w:t>presenting cells in inflamed tissues by promoting the differentiation of infiltrating monocytes into M1 macrophages and monocyte</w:t>
      </w:r>
      <w:r>
        <w:rPr>
          <w:rFonts w:ascii="MS PGothic" w:cs="MS PGothic" w:eastAsia="MS PGothic" w:hAnsi="MS PGothic"/>
          <w:sz w:val="18"/>
          <w:szCs w:val="18"/>
          <w:color w:val="auto"/>
        </w:rPr>
        <w:t>‑</w:t>
      </w:r>
      <w:r>
        <w:rPr>
          <w:rFonts w:ascii="Arial" w:cs="Arial" w:eastAsia="Arial" w:hAnsi="Arial"/>
          <w:sz w:val="18"/>
          <w:szCs w:val="18"/>
          <w:color w:val="auto"/>
        </w:rPr>
        <w:t>derived dendritic cells, or MoDCs.</w:t>
      </w:r>
    </w:p>
    <w:p>
      <w:pPr>
        <w:spacing w:after="0" w:line="202"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Additionally, GM</w:t>
      </w:r>
      <w:r>
        <w:rPr>
          <w:rFonts w:ascii="MS PGothic" w:cs="MS PGothic" w:eastAsia="MS PGothic" w:hAnsi="MS PGothic"/>
          <w:sz w:val="18"/>
          <w:szCs w:val="18"/>
          <w:color w:val="auto"/>
        </w:rPr>
        <w:t>‑</w:t>
      </w:r>
      <w:r>
        <w:rPr>
          <w:rFonts w:ascii="Arial" w:cs="Arial" w:eastAsia="Arial" w:hAnsi="Arial"/>
          <w:sz w:val="18"/>
          <w:szCs w:val="18"/>
          <w:color w:val="auto"/>
        </w:rPr>
        <w:t>CSF has been shown to be a confirmed mediator in RA based on the results from the Phase 2b clinical trial in RA conducted by MedImmune. In this trial, mavrilimumab achieved the co</w:t>
      </w:r>
      <w:r>
        <w:rPr>
          <w:rFonts w:ascii="MS PGothic" w:cs="MS PGothic" w:eastAsia="MS PGothic" w:hAnsi="MS PGothic"/>
          <w:sz w:val="18"/>
          <w:szCs w:val="18"/>
          <w:color w:val="auto"/>
        </w:rPr>
        <w:t>‑</w:t>
      </w:r>
      <w:r>
        <w:rPr>
          <w:rFonts w:ascii="Arial" w:cs="Arial" w:eastAsia="Arial" w:hAnsi="Arial"/>
          <w:sz w:val="18"/>
          <w:szCs w:val="18"/>
          <w:color w:val="auto"/>
        </w:rPr>
        <w:t>primary endpoints of change from baseline in disease activity score, or DAS, at week 12 and a response of 20% or greater improvement in the American College of Rheumatology criteria, at week 24. Patients with mavrilimumab showed a statistically significant reduction in DAS scores at all dosages compared to placebo, and significantly more mavrilimumab</w:t>
      </w:r>
      <w:r>
        <w:rPr>
          <w:rFonts w:ascii="MS PGothic" w:cs="MS PGothic" w:eastAsia="MS PGothic" w:hAnsi="MS PGothic"/>
          <w:sz w:val="18"/>
          <w:szCs w:val="18"/>
          <w:color w:val="auto"/>
        </w:rPr>
        <w:t>‑</w:t>
      </w:r>
      <w:r>
        <w:rPr>
          <w:rFonts w:ascii="Arial" w:cs="Arial" w:eastAsia="Arial" w:hAnsi="Arial"/>
          <w:sz w:val="18"/>
          <w:szCs w:val="18"/>
          <w:color w:val="auto"/>
        </w:rPr>
        <w:t>treated patients achieved ACR20 at all dosages compared to placebo.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Market Opportunity for Giant Cell Arteritis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GCA is an inflammatory disease of the medium-to-large arteries that strikes older adults and causes headaches, jaw and other muscle claudication, and possible ischemic visual loss. Many of the symptoms and signs of GCA result from involvement of the cranial branches of arteries that originate from the aortic arch, but the disease is systemic, and vascular involvement can be widespread. GCA is characterized by infiltration of monocytes, macrophages and the formation of giant cells (i.e., multinucleated fusions of macrophages). GCA generally occurs in adults over 50 years old with a 3:1 imbalance of women to men. We estimate there to be approximately 75,000 to 150,000 prevalent patients with GCA in the United States with similar prevalence rates for other major markets and believe that the incidence of GCA will increase over time as the population ages.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for Giant Cell Arteritis</w:t>
      </w:r>
    </w:p>
    <w:p>
      <w:pPr>
        <w:spacing w:after="0" w:line="225" w:lineRule="exact"/>
        <w:rPr>
          <w:sz w:val="20"/>
          <w:szCs w:val="20"/>
          <w:color w:val="auto"/>
        </w:rPr>
      </w:pPr>
    </w:p>
    <w:p>
      <w:pPr>
        <w:ind w:right="220" w:firstLine="648"/>
        <w:spacing w:after="0" w:line="219" w:lineRule="exact"/>
        <w:rPr>
          <w:sz w:val="20"/>
          <w:szCs w:val="20"/>
          <w:color w:val="auto"/>
        </w:rPr>
      </w:pPr>
      <w:r>
        <w:rPr>
          <w:rFonts w:ascii="Arial" w:cs="Arial" w:eastAsia="Arial" w:hAnsi="Arial"/>
          <w:sz w:val="18"/>
          <w:szCs w:val="18"/>
          <w:color w:val="auto"/>
        </w:rPr>
        <w:t>Glucocorticoids, a type of corticosteroid, are the mainstay for the treatment of GCA because they normalize inflammatory markers and resolve patient symptoms. Many patients receive long courses of this therapy to prevent disease flare</w:t>
      </w:r>
      <w:r>
        <w:rPr>
          <w:rFonts w:ascii="MS PGothic" w:cs="MS PGothic" w:eastAsia="MS PGothic" w:hAnsi="MS PGothic"/>
          <w:sz w:val="18"/>
          <w:szCs w:val="18"/>
          <w:color w:val="auto"/>
        </w:rPr>
        <w:t>‑</w:t>
      </w:r>
      <w:r>
        <w:rPr>
          <w:rFonts w:ascii="Arial" w:cs="Arial" w:eastAsia="Arial" w:hAnsi="Arial"/>
          <w:sz w:val="18"/>
          <w:szCs w:val="18"/>
          <w:color w:val="auto"/>
        </w:rPr>
        <w:t>up, which are associated with significant and serious side effects, including glaucoma, fluid retention, hypertension, mood changes, memory changes, other psychological effects, weight gain and diabetes. Up to 80% of patients suffer from glucocorticoid toxicity as a result of GCA treatment.</w:t>
      </w:r>
    </w:p>
    <w:p>
      <w:pPr>
        <w:spacing w:after="0" w:line="206"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Despite being effective for some patients, many are unable to wean off of corticosteroids because they continue to experience disease flares as the dose is reduced. In one study cohort published in the literature that followed 106 patients with GCA for 4.5 to 10.1 years, 68 patients (64%) experienced at least one relapse during or after weaning, and 38 patients (36%) experienced two or more. Experimental evidence in mice suggests that corticosteroid treatment does not adequately suppress tissue</w:t>
      </w:r>
      <w:r>
        <w:rPr>
          <w:rFonts w:ascii="MS PGothic" w:cs="MS PGothic" w:eastAsia="MS PGothic" w:hAnsi="MS PGothic"/>
          <w:sz w:val="17"/>
          <w:szCs w:val="17"/>
          <w:color w:val="auto"/>
        </w:rPr>
        <w:t>‑</w:t>
      </w:r>
      <w:r>
        <w:rPr>
          <w:rFonts w:ascii="Arial" w:cs="Arial" w:eastAsia="Arial" w:hAnsi="Arial"/>
          <w:sz w:val="17"/>
          <w:szCs w:val="17"/>
          <w:color w:val="auto"/>
        </w:rPr>
        <w:t>infiltrating macrophage function, a key cell type generated and maintained by GM</w:t>
      </w:r>
      <w:r>
        <w:rPr>
          <w:rFonts w:ascii="MS PGothic" w:cs="MS PGothic" w:eastAsia="MS PGothic" w:hAnsi="MS PGothic"/>
          <w:sz w:val="17"/>
          <w:szCs w:val="17"/>
          <w:color w:val="auto"/>
        </w:rPr>
        <w:t>‑</w:t>
      </w:r>
      <w:r>
        <w:rPr>
          <w:rFonts w:ascii="Arial" w:cs="Arial" w:eastAsia="Arial" w:hAnsi="Arial"/>
          <w:sz w:val="17"/>
          <w:szCs w:val="17"/>
          <w:color w:val="auto"/>
        </w:rPr>
        <w:t>CSF signaling, and may explain why many patients require long</w:t>
      </w:r>
      <w:r>
        <w:rPr>
          <w:rFonts w:ascii="MS PGothic" w:cs="MS PGothic" w:eastAsia="MS PGothic" w:hAnsi="MS PGothic"/>
          <w:sz w:val="17"/>
          <w:szCs w:val="17"/>
          <w:color w:val="auto"/>
        </w:rPr>
        <w:t>‑</w:t>
      </w:r>
      <w:r>
        <w:rPr>
          <w:rFonts w:ascii="Arial" w:cs="Arial" w:eastAsia="Arial" w:hAnsi="Arial"/>
          <w:sz w:val="17"/>
          <w:szCs w:val="17"/>
          <w:color w:val="auto"/>
        </w:rPr>
        <w:t>term chronic treatment and are unable to wean off corticosteroids. We believe by blocking GM</w:t>
      </w:r>
      <w:r>
        <w:rPr>
          <w:rFonts w:ascii="MS PGothic" w:cs="MS PGothic" w:eastAsia="MS PGothic" w:hAnsi="MS PGothic"/>
          <w:sz w:val="17"/>
          <w:szCs w:val="17"/>
          <w:color w:val="auto"/>
        </w:rPr>
        <w:t>‑</w:t>
      </w:r>
      <w:r>
        <w:rPr>
          <w:rFonts w:ascii="Arial" w:cs="Arial" w:eastAsia="Arial" w:hAnsi="Arial"/>
          <w:sz w:val="17"/>
          <w:szCs w:val="17"/>
          <w:color w:val="auto"/>
        </w:rPr>
        <w:t>CSF signaling, mavrilimumab may provide additional benefit to these patients by reducing long</w:t>
      </w:r>
      <w:r>
        <w:rPr>
          <w:rFonts w:ascii="MS PGothic" w:cs="MS PGothic" w:eastAsia="MS PGothic" w:hAnsi="MS PGothic"/>
          <w:sz w:val="17"/>
          <w:szCs w:val="17"/>
          <w:color w:val="auto"/>
        </w:rPr>
        <w:t>‑</w:t>
      </w:r>
      <w:r>
        <w:rPr>
          <w:rFonts w:ascii="Arial" w:cs="Arial" w:eastAsia="Arial" w:hAnsi="Arial"/>
          <w:sz w:val="17"/>
          <w:szCs w:val="17"/>
          <w:color w:val="auto"/>
        </w:rPr>
        <w:t>term sequelae that results from chronic vessel inflammation.</w:t>
      </w:r>
    </w:p>
    <w:p>
      <w:pPr>
        <w:spacing w:after="0" w:line="205"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color w:val="auto"/>
        </w:rPr>
        <w:t>In addition, tocilizumab, an inhibitor of interleukin</w:t>
      </w:r>
      <w:r>
        <w:rPr>
          <w:rFonts w:ascii="MS PGothic" w:cs="MS PGothic" w:eastAsia="MS PGothic" w:hAnsi="MS PGothic"/>
          <w:sz w:val="18"/>
          <w:szCs w:val="18"/>
          <w:color w:val="auto"/>
        </w:rPr>
        <w:t>‑</w:t>
      </w:r>
      <w:r>
        <w:rPr>
          <w:rFonts w:ascii="Arial" w:cs="Arial" w:eastAsia="Arial" w:hAnsi="Arial"/>
          <w:sz w:val="18"/>
          <w:szCs w:val="18"/>
          <w:color w:val="auto"/>
        </w:rPr>
        <w:t>6, or IL</w:t>
      </w:r>
      <w:r>
        <w:rPr>
          <w:rFonts w:ascii="MS PGothic" w:cs="MS PGothic" w:eastAsia="MS PGothic" w:hAnsi="MS PGothic"/>
          <w:sz w:val="18"/>
          <w:szCs w:val="18"/>
          <w:color w:val="auto"/>
        </w:rPr>
        <w:t>‑</w:t>
      </w:r>
      <w:r>
        <w:rPr>
          <w:rFonts w:ascii="Arial" w:cs="Arial" w:eastAsia="Arial" w:hAnsi="Arial"/>
          <w:sz w:val="18"/>
          <w:szCs w:val="18"/>
          <w:color w:val="auto"/>
        </w:rPr>
        <w:t>6, is approved in the United States in GCA for use on top of a concomitant corticosteroid taper. However, up to nearly half of the patients studied in the Phase 3 clinical trial for tocilizumab experienced disease flares during the 52 weeks treatment period that included a 26</w:t>
      </w:r>
      <w:r>
        <w:rPr>
          <w:rFonts w:ascii="MS PGothic" w:cs="MS PGothic" w:eastAsia="MS PGothic" w:hAnsi="MS PGothic"/>
          <w:sz w:val="18"/>
          <w:szCs w:val="18"/>
          <w:color w:val="auto"/>
        </w:rPr>
        <w:t>‑</w:t>
      </w:r>
      <w:r>
        <w:rPr>
          <w:rFonts w:ascii="Arial" w:cs="Arial" w:eastAsia="Arial" w:hAnsi="Arial"/>
          <w:sz w:val="18"/>
          <w:szCs w:val="18"/>
          <w:color w:val="auto"/>
        </w:rPr>
        <w:t>week corticosteroid taper. We believe this indicates a persistent unmet medical need exists.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25" w:lineRule="exact"/>
        <w:rPr>
          <w:sz w:val="20"/>
          <w:szCs w:val="20"/>
          <w:color w:val="auto"/>
        </w:rPr>
      </w:pPr>
    </w:p>
    <w:p>
      <w:pPr>
        <w:ind w:right="340" w:firstLine="648"/>
        <w:spacing w:after="0" w:line="223" w:lineRule="exact"/>
        <w:rPr>
          <w:sz w:val="20"/>
          <w:szCs w:val="20"/>
          <w:color w:val="auto"/>
        </w:rPr>
      </w:pPr>
      <w:r>
        <w:rPr>
          <w:rFonts w:ascii="Arial" w:cs="Arial" w:eastAsia="Arial" w:hAnsi="Arial"/>
          <w:sz w:val="18"/>
          <w:szCs w:val="18"/>
          <w:color w:val="auto"/>
        </w:rPr>
        <w:t>We chose GCA as our first indication for mavrilimumab due to the mechanistic rationale of inhibiting GM</w:t>
      </w:r>
      <w:r>
        <w:rPr>
          <w:rFonts w:ascii="MS PGothic" w:cs="MS PGothic" w:eastAsia="MS PGothic" w:hAnsi="MS PGothic"/>
          <w:sz w:val="18"/>
          <w:szCs w:val="18"/>
          <w:color w:val="auto"/>
        </w:rPr>
        <w:t>‑</w:t>
      </w:r>
      <w:r>
        <w:rPr>
          <w:rFonts w:ascii="Arial" w:cs="Arial" w:eastAsia="Arial" w:hAnsi="Arial"/>
          <w:sz w:val="18"/>
          <w:szCs w:val="18"/>
          <w:color w:val="auto"/>
        </w:rPr>
        <w:t>CSF. GM</w:t>
      </w:r>
      <w:r>
        <w:rPr>
          <w:rFonts w:ascii="MS PGothic" w:cs="MS PGothic" w:eastAsia="MS PGothic" w:hAnsi="MS PGothic"/>
          <w:sz w:val="18"/>
          <w:szCs w:val="18"/>
          <w:color w:val="auto"/>
        </w:rPr>
        <w:t>‑</w:t>
      </w:r>
      <w:r>
        <w:rPr>
          <w:rFonts w:ascii="Arial" w:cs="Arial" w:eastAsia="Arial" w:hAnsi="Arial"/>
          <w:sz w:val="18"/>
          <w:szCs w:val="18"/>
          <w:color w:val="auto"/>
        </w:rPr>
        <w:t>CSF is a key growth factor for many of these key inflammatory cell types and is found in high</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concentrations at the site of damage in the vessel wall. We believe that data provide a solid rationale for antagonizing this signaling with mavrilimumab.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Rationale for GCA</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the 2019 American College of Rheumatology conference, each of Dr. Cornelia M. Weyand and Dr. Maria C. Cid presented preclinical data sponsored by Kiniksa, which we believe support the mechanistic rationale for targeting granulocyte macrophage colony stimulating factor receptor alpha, or GM-CSFRα, in patients with GCA.</w:t>
      </w:r>
    </w:p>
    <w:p>
      <w:pPr>
        <w:spacing w:after="0" w:line="16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Dr. Weyand made an oral presentation entitled GM-CSF is a Pro-Inflammatory Cytokine in Experimental Vasculitis of Medium and Large Arteries. Data from a validated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 of vasculitis showed that, compared to treatment controls, mavrilimumab, reduced tissue inflammation in the arteries. In the model, normal human arteries were engrafted into immune-deficient mice. Following the engraftment, peripheral blood mononuclear cells from patients with GCA were transferred to the mice which then caused vasculitis to appear in the normal arteries within 7-10 days. After the inflammation had been established, animals were treated with mavrilimumab. Treatment with mavrilimumab resulted in statistically significant reductions in the number of CD3+ T-cells and in innate and adaptive immune responses in the inflamed arteries in addition to significant reductions in key cytokines known to play a role in GCA pathology including interferon-gamma, or IFN-γ. These data illustrate that blockade of GM-CSFRα signaling had a strong anti-inflammatory activity. We believe the reduced expression of IFN-γ in mice treated with mavrilimumab is of significance for treating GCA as it is the signature cytokine produced by the T helper type 1, or TH1, cell lineage which, along with GM-CSF, has been implicated in multinucleated giant cell formation. The TH1 signature is relatively unresponsive to glucocorticoid therapy and often persists in steroid-treated patients and is believed to mediate chronic and refractory disease.</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Dr. Cid presented a poster entitled GM-CSF Pathway Signature Identified in Temporal Artery Biopsies of Patients with Giant Cell Arteritis. Data from this study examining human temporal artery biopsies from two independent sources showed the GM-CSF signaling pathway molecular signature was upregulated in GCA biopsies versus control at both the messenger ribonucleic acid (mRNA) and protein level. GM-CSF and TH1 pathway signatures (including IFN-γ) were demonstrated in GCA patient temporal arteries by independent analytical techniques. The data also demonstrated active GM-CSF signaling in diseased tissue is evidenced by increased expression of PU.1, a transcription factor downstream of GM-CSF signaling, in the vessel wall. Additionally, treatment of ex vivo cultures of GCA arteries with mavrilimumab suppressed expression of these gene products, suggesting the biological activity of mavrilimumab on genes relevant to GCA pathophysiology.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Clinical Trial for GCA</w:t>
      </w:r>
    </w:p>
    <w:p>
      <w:pPr>
        <w:spacing w:after="0" w:line="225"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We are conducting a randomized, double</w:t>
      </w:r>
      <w:r>
        <w:rPr>
          <w:rFonts w:ascii="MS PGothic" w:cs="MS PGothic" w:eastAsia="MS PGothic" w:hAnsi="MS PGothic"/>
          <w:sz w:val="18"/>
          <w:szCs w:val="18"/>
          <w:color w:val="auto"/>
        </w:rPr>
        <w:t>‑</w:t>
      </w:r>
      <w:r>
        <w:rPr>
          <w:rFonts w:ascii="Arial" w:cs="Arial" w:eastAsia="Arial" w:hAnsi="Arial"/>
          <w:sz w:val="18"/>
          <w:szCs w:val="18"/>
          <w:color w:val="auto"/>
        </w:rPr>
        <w:t>blind, placebo</w:t>
      </w:r>
      <w:r>
        <w:rPr>
          <w:rFonts w:ascii="MS PGothic" w:cs="MS PGothic" w:eastAsia="MS PGothic" w:hAnsi="MS PGothic"/>
          <w:sz w:val="18"/>
          <w:szCs w:val="18"/>
          <w:color w:val="auto"/>
        </w:rPr>
        <w:t>‑</w:t>
      </w:r>
      <w:r>
        <w:rPr>
          <w:rFonts w:ascii="Arial" w:cs="Arial" w:eastAsia="Arial" w:hAnsi="Arial"/>
          <w:sz w:val="18"/>
          <w:szCs w:val="18"/>
          <w:color w:val="auto"/>
        </w:rPr>
        <w:t>controlled, global Phase 2 proof</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concept trial in multiple countries. The Phase 2 clinical trial of mavrilimumab for the treatment of GCA was designed to enroll approximately 60-70 subjects with new</w:t>
      </w:r>
      <w:r>
        <w:rPr>
          <w:rFonts w:ascii="MS PGothic" w:cs="MS PGothic" w:eastAsia="MS PGothic" w:hAnsi="MS PGothic"/>
          <w:sz w:val="18"/>
          <w:szCs w:val="18"/>
          <w:color w:val="auto"/>
        </w:rPr>
        <w:t>‑</w:t>
      </w:r>
      <w:r>
        <w:rPr>
          <w:rFonts w:ascii="Arial" w:cs="Arial" w:eastAsia="Arial" w:hAnsi="Arial"/>
          <w:sz w:val="18"/>
          <w:szCs w:val="18"/>
          <w:color w:val="auto"/>
        </w:rPr>
        <w:t>onset and refractory disease. Subjects are randomized 3:2 to mavrilimumab 150 mg or placebo injected SC once every two weeks co</w:t>
      </w:r>
      <w:r>
        <w:rPr>
          <w:rFonts w:ascii="MS PGothic" w:cs="MS PGothic" w:eastAsia="MS PGothic" w:hAnsi="MS PGothic"/>
          <w:sz w:val="18"/>
          <w:szCs w:val="18"/>
          <w:color w:val="auto"/>
        </w:rPr>
        <w:t>‑</w:t>
      </w:r>
      <w:r>
        <w:rPr>
          <w:rFonts w:ascii="Arial" w:cs="Arial" w:eastAsia="Arial" w:hAnsi="Arial"/>
          <w:sz w:val="18"/>
          <w:szCs w:val="18"/>
          <w:color w:val="auto"/>
        </w:rPr>
        <w:t>administered with a corticosteroid taper. Treatment duration is 26 weeks, and the primary efficacy endpoint is time to first flare.</w:t>
      </w:r>
    </w:p>
    <w:p>
      <w:pPr>
        <w:spacing w:after="0" w:line="206" w:lineRule="exact"/>
        <w:rPr>
          <w:sz w:val="20"/>
          <w:szCs w:val="20"/>
          <w:color w:val="auto"/>
        </w:rPr>
      </w:pPr>
    </w:p>
    <w:p>
      <w:pPr>
        <w:ind w:right="120" w:firstLine="648"/>
        <w:spacing w:after="0" w:line="219" w:lineRule="exact"/>
        <w:rPr>
          <w:sz w:val="20"/>
          <w:szCs w:val="20"/>
          <w:color w:val="auto"/>
        </w:rPr>
      </w:pPr>
      <w:r>
        <w:rPr>
          <w:rFonts w:ascii="Arial" w:cs="Arial" w:eastAsia="Arial" w:hAnsi="Arial"/>
          <w:sz w:val="18"/>
          <w:szCs w:val="18"/>
          <w:color w:val="auto"/>
        </w:rPr>
        <w:t>In the United States, the FDA initially placed our Investigational New Drug application, or IND, on clinical hold due a request for additional information regarding the 510(k)</w:t>
      </w:r>
      <w:r>
        <w:rPr>
          <w:rFonts w:ascii="MS PGothic" w:cs="MS PGothic" w:eastAsia="MS PGothic" w:hAnsi="MS PGothic"/>
          <w:sz w:val="18"/>
          <w:szCs w:val="18"/>
          <w:color w:val="auto"/>
        </w:rPr>
        <w:t>‑</w:t>
      </w:r>
      <w:r>
        <w:rPr>
          <w:rFonts w:ascii="Arial" w:cs="Arial" w:eastAsia="Arial" w:hAnsi="Arial"/>
          <w:sz w:val="18"/>
          <w:szCs w:val="18"/>
          <w:color w:val="auto"/>
        </w:rPr>
        <w:t>cleared delivery device to be used in our Phase 2 clinical trial. The device</w:t>
      </w:r>
      <w:r>
        <w:rPr>
          <w:rFonts w:ascii="MS PGothic" w:cs="MS PGothic" w:eastAsia="MS PGothic" w:hAnsi="MS PGothic"/>
          <w:sz w:val="18"/>
          <w:szCs w:val="18"/>
          <w:color w:val="auto"/>
        </w:rPr>
        <w:t>‑</w:t>
      </w:r>
      <w:r>
        <w:rPr>
          <w:rFonts w:ascii="Arial" w:cs="Arial" w:eastAsia="Arial" w:hAnsi="Arial"/>
          <w:sz w:val="18"/>
          <w:szCs w:val="18"/>
          <w:color w:val="auto"/>
        </w:rPr>
        <w:t>related information request did not pertain to preclinical toxicology data nor the design of our trial. We provided the FDA with the requested information and the IND became active. We expect to report top</w:t>
      </w:r>
      <w:r>
        <w:rPr>
          <w:rFonts w:ascii="MS PGothic" w:cs="MS PGothic" w:eastAsia="MS PGothic" w:hAnsi="MS PGothic"/>
          <w:sz w:val="18"/>
          <w:szCs w:val="18"/>
          <w:color w:val="auto"/>
        </w:rPr>
        <w:t>‑</w:t>
      </w:r>
      <w:r>
        <w:rPr>
          <w:rFonts w:ascii="Arial" w:cs="Arial" w:eastAsia="Arial" w:hAnsi="Arial"/>
          <w:sz w:val="18"/>
          <w:szCs w:val="18"/>
          <w:color w:val="auto"/>
        </w:rPr>
        <w:t>line data in the second half of 2020.</w:t>
      </w:r>
    </w:p>
    <w:p>
      <w:pPr>
        <w:spacing w:after="0" w:line="20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anticipate that to help inform the risk/benefit profile for the use of mavrilimumab in GCA, we will need to demonstrate the effectiveness and safety of mavrilimumab after 26 weeks, as well as evaluate its pharmacokinetic profile and the effectiveness of mavrilimumab at different doses. We also intend to initiate research and development activities of mavrilimumab’s potential across other various disease states where cells of myeloid phenotype have been implicated by the literature, such as other vasculitides and cardiomyopathies, diseases characterized by barrier dysfunction, other arthropathies or oncologic indications.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Clinical Trial Evaluating Mavrilimumab with YESCARTA</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December of 2019, we entered into a clinical collaboration with Kite to initiate a Phase 2 clinical trial evaluating the combination of Yescarta and mavrilimumab in relapsed or refractory large B-Cell lymphoma. The objective of the trial is to determine the effect of mavrilimumab on the safety of Yescarta. Treatment related induction of GM-CSF has been identified through clinical, translational and preclinical studies as a potential key signal associated with side effects of CAR T cell therapy. Preclinical evidence suggests the potential for interruption of GM-CSF signaling to disrupt CAR T cell mediated inflammation without disrupting anti-tumor activity. Kite will be the sponsor or this study and responsible for its conduct.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History in Rheumatoid Arthritis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MedImmune had received authorization to conduct clinical trials for rheumatoid arthritis, or RA, in Europe and executed an extensive Phase 1 and Phase 2 clinical program where the company studied mavrilimumab in over 550 patients with RA through Phase 2b. All of MedImmune’s European clinical trials achieved their prospectively defined primary endpoints of safety or efficacy.</w:t>
      </w:r>
    </w:p>
    <w:p>
      <w:pPr>
        <w:spacing w:after="0" w:line="187" w:lineRule="exact"/>
        <w:rPr>
          <w:sz w:val="20"/>
          <w:szCs w:val="20"/>
          <w:color w:val="auto"/>
        </w:rPr>
      </w:pPr>
    </w:p>
    <w:p>
      <w:pPr>
        <w:ind w:right="60" w:firstLine="648"/>
        <w:spacing w:after="0" w:line="218" w:lineRule="exact"/>
        <w:rPr>
          <w:sz w:val="20"/>
          <w:szCs w:val="20"/>
          <w:color w:val="auto"/>
        </w:rPr>
      </w:pPr>
      <w:r>
        <w:rPr>
          <w:rFonts w:ascii="Arial" w:cs="Arial" w:eastAsia="Arial" w:hAnsi="Arial"/>
          <w:sz w:val="18"/>
          <w:szCs w:val="18"/>
          <w:color w:val="auto"/>
        </w:rPr>
        <w:t>MedImmune’s IND for the clinical development of mavrilimumab for the treatment of RA was initially put on clinical hold in 2010 before human data had been generated due to certain effects that were observed in non</w:t>
      </w:r>
      <w:r>
        <w:rPr>
          <w:rFonts w:ascii="MS PGothic" w:cs="MS PGothic" w:eastAsia="MS PGothic" w:hAnsi="MS PGothic"/>
          <w:sz w:val="18"/>
          <w:szCs w:val="18"/>
          <w:color w:val="auto"/>
        </w:rPr>
        <w:t>‑</w:t>
      </w:r>
      <w:r>
        <w:rPr>
          <w:rFonts w:ascii="Arial" w:cs="Arial" w:eastAsia="Arial" w:hAnsi="Arial"/>
          <w:sz w:val="18"/>
          <w:szCs w:val="18"/>
          <w:color w:val="auto"/>
        </w:rPr>
        <w:t>clinical studies, which coincides with a theoretical risk of developing PAP, possibly in the setting of GM</w:t>
      </w:r>
      <w:r>
        <w:rPr>
          <w:rFonts w:ascii="MS PGothic" w:cs="MS PGothic" w:eastAsia="MS PGothic" w:hAnsi="MS PGothic"/>
          <w:sz w:val="18"/>
          <w:szCs w:val="18"/>
          <w:color w:val="auto"/>
        </w:rPr>
        <w:t>‑</w:t>
      </w:r>
      <w:r>
        <w:rPr>
          <w:rFonts w:ascii="Arial" w:cs="Arial" w:eastAsia="Arial" w:hAnsi="Arial"/>
          <w:sz w:val="18"/>
          <w:szCs w:val="18"/>
          <w:color w:val="auto"/>
        </w:rPr>
        <w:t>CSF inhibition. Since then, in 2014, the FDA acknowledged that clinical studies in refractory RA may be appropriate based on MedImmune’s clinical studies in Europe in which it dosed over 550 RA patients with mavrilimumab with no evidence of PAP attributable to mavrilimumab following long</w:t>
      </w:r>
      <w:r>
        <w:rPr>
          <w:rFonts w:ascii="MS PGothic" w:cs="MS PGothic" w:eastAsia="MS PGothic" w:hAnsi="MS PGothic"/>
          <w:sz w:val="18"/>
          <w:szCs w:val="18"/>
          <w:color w:val="auto"/>
        </w:rPr>
        <w:t>‑</w:t>
      </w:r>
      <w:r>
        <w:rPr>
          <w:rFonts w:ascii="Arial" w:cs="Arial" w:eastAsia="Arial" w:hAnsi="Arial"/>
          <w:sz w:val="18"/>
          <w:szCs w:val="18"/>
          <w:color w:val="auto"/>
        </w:rPr>
        <w:t>term administration. MedImmune did not engage in further dialogue with the FDA and withdrew the IND for mavrilimumab for the treatment of RA.</w:t>
      </w:r>
    </w:p>
    <w:p>
      <w:pPr>
        <w:spacing w:after="0" w:line="207" w:lineRule="exact"/>
        <w:rPr>
          <w:sz w:val="20"/>
          <w:szCs w:val="20"/>
          <w:color w:val="auto"/>
        </w:rPr>
      </w:pPr>
    </w:p>
    <w:p>
      <w:pPr>
        <w:ind w:right="160" w:firstLine="648"/>
        <w:spacing w:after="0" w:line="219" w:lineRule="exact"/>
        <w:rPr>
          <w:sz w:val="20"/>
          <w:szCs w:val="20"/>
          <w:color w:val="auto"/>
        </w:rPr>
      </w:pPr>
      <w:r>
        <w:rPr>
          <w:rFonts w:ascii="Arial" w:cs="Arial" w:eastAsia="Arial" w:hAnsi="Arial"/>
          <w:sz w:val="17"/>
          <w:szCs w:val="17"/>
          <w:color w:val="auto"/>
        </w:rPr>
        <w:t>We believe that the trials conducted by MedImmune provide substantial support for the potential of mavrilimumab in autoimmune diseases. In these trials, mavrilimumab was observed to be well</w:t>
      </w:r>
      <w:r>
        <w:rPr>
          <w:rFonts w:ascii="MS PGothic" w:cs="MS PGothic" w:eastAsia="MS PGothic" w:hAnsi="MS PGothic"/>
          <w:sz w:val="17"/>
          <w:szCs w:val="17"/>
          <w:color w:val="auto"/>
        </w:rPr>
        <w:t>‑</w:t>
      </w:r>
      <w:r>
        <w:rPr>
          <w:rFonts w:ascii="Arial" w:cs="Arial" w:eastAsia="Arial" w:hAnsi="Arial"/>
          <w:sz w:val="17"/>
          <w:szCs w:val="17"/>
          <w:color w:val="auto"/>
        </w:rPr>
        <w:t>tolerated. The most common adverse event was infection, with all dose groups (30 mg, 100 mg, 150 mg) in a Phase 2b clinical trial reporting similar rates of infection compared to the placebo group. We believe that these safety results provide an accurate early representation of the safety profile of mavrilimumab, which we believe to be at least competitive with and potentially better than existing systemically administered agents for autoimmune diseases.</w:t>
      </w:r>
    </w:p>
    <w:p>
      <w:pPr>
        <w:spacing w:after="0" w:line="203" w:lineRule="exact"/>
        <w:rPr>
          <w:sz w:val="20"/>
          <w:szCs w:val="20"/>
          <w:color w:val="auto"/>
        </w:rPr>
      </w:pPr>
    </w:p>
    <w:p>
      <w:pPr>
        <w:ind w:firstLine="648"/>
        <w:spacing w:after="0" w:line="220" w:lineRule="exact"/>
        <w:rPr>
          <w:sz w:val="20"/>
          <w:szCs w:val="20"/>
          <w:color w:val="auto"/>
        </w:rPr>
      </w:pPr>
      <w:r>
        <w:rPr>
          <w:rFonts w:ascii="Arial" w:cs="Arial" w:eastAsia="Arial" w:hAnsi="Arial"/>
          <w:sz w:val="17"/>
          <w:szCs w:val="17"/>
          <w:color w:val="auto"/>
        </w:rPr>
        <w:t>Mavrilimumab’s results from Phase 2b clinical trials in RA have provided important information about its safety and efficacy profile and helped solidify our choice for focusing our development efforts in GCA as a lead indication. In addition to the reductions to the primary endpoint demonstrated in the Phase 2b trials, other markers of inflammation, such as CRP, erythrocyte sedimentation rate, or ESR, and IL</w:t>
      </w:r>
      <w:r>
        <w:rPr>
          <w:rFonts w:ascii="MS PGothic" w:cs="MS PGothic" w:eastAsia="MS PGothic" w:hAnsi="MS PGothic"/>
          <w:sz w:val="17"/>
          <w:szCs w:val="17"/>
          <w:color w:val="auto"/>
        </w:rPr>
        <w:t>‑</w:t>
      </w:r>
      <w:r>
        <w:rPr>
          <w:rFonts w:ascii="Arial" w:cs="Arial" w:eastAsia="Arial" w:hAnsi="Arial"/>
          <w:sz w:val="17"/>
          <w:szCs w:val="17"/>
          <w:color w:val="auto"/>
        </w:rPr>
        <w:t>6, were similarly reduced, as shown in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224" w:lineRule="exact"/>
        <w:rPr>
          <w:sz w:val="20"/>
          <w:szCs w:val="20"/>
          <w:color w:val="auto"/>
        </w:rPr>
      </w:pPr>
      <w:r>
        <w:rPr>
          <w:rFonts w:ascii="Arial" w:cs="Arial" w:eastAsia="Arial" w:hAnsi="Arial"/>
          <w:sz w:val="16"/>
          <w:szCs w:val="16"/>
          <w:color w:val="auto"/>
        </w:rPr>
        <w:t>graphs below. CRP, ESR and IL</w:t>
      </w:r>
      <w:r>
        <w:rPr>
          <w:rFonts w:ascii="MS PGothic" w:cs="MS PGothic" w:eastAsia="MS PGothic" w:hAnsi="MS PGothic"/>
          <w:sz w:val="16"/>
          <w:szCs w:val="16"/>
          <w:color w:val="auto"/>
        </w:rPr>
        <w:t>‑</w:t>
      </w:r>
      <w:r>
        <w:rPr>
          <w:rFonts w:ascii="Arial" w:cs="Arial" w:eastAsia="Arial" w:hAnsi="Arial"/>
          <w:sz w:val="16"/>
          <w:szCs w:val="16"/>
          <w:color w:val="auto"/>
        </w:rPr>
        <w:t>6 are key markers of disease activity for GCA. We believe that these results may also provide evidence for mavrilimumab’s utility across a broad range of indications with a similar biomarker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137160</wp:posOffset>
            </wp:positionV>
            <wp:extent cx="5548630" cy="22040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4863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Source: Burmester GR, et al. Ann Rheum Dis 2017. *p&lt;0.05, **p&lt;0.01, ***p&lt;0.001 mavrilimumab versus placebo</w:t>
      </w:r>
    </w:p>
    <w:p>
      <w:pPr>
        <w:spacing w:after="0" w:line="20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KPL</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716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KPL</w:t>
      </w:r>
      <w:r>
        <w:rPr>
          <w:rFonts w:ascii="MS PGothic" w:cs="MS PGothic" w:eastAsia="MS PGothic" w:hAnsi="MS PGothic"/>
          <w:sz w:val="16"/>
          <w:szCs w:val="16"/>
          <w:color w:val="auto"/>
        </w:rPr>
        <w:t>‑</w:t>
      </w:r>
      <w:r>
        <w:rPr>
          <w:rFonts w:ascii="Arial" w:cs="Arial" w:eastAsia="Arial" w:hAnsi="Arial"/>
          <w:sz w:val="16"/>
          <w:szCs w:val="16"/>
          <w:color w:val="auto"/>
        </w:rPr>
        <w:t>716 is a fully</w:t>
      </w:r>
      <w:r>
        <w:rPr>
          <w:rFonts w:ascii="MS PGothic" w:cs="MS PGothic" w:eastAsia="MS PGothic" w:hAnsi="MS PGothic"/>
          <w:sz w:val="16"/>
          <w:szCs w:val="16"/>
          <w:color w:val="auto"/>
        </w:rPr>
        <w:t>‑</w:t>
      </w:r>
      <w:r>
        <w:rPr>
          <w:rFonts w:ascii="Arial" w:cs="Arial" w:eastAsia="Arial" w:hAnsi="Arial"/>
          <w:sz w:val="16"/>
          <w:szCs w:val="16"/>
          <w:color w:val="auto"/>
        </w:rPr>
        <w:t>human monoclonal antibody that targets OSMRβ, which mediates signaling of IL</w:t>
      </w:r>
      <w:r>
        <w:rPr>
          <w:rFonts w:ascii="MS PGothic" w:cs="MS PGothic" w:eastAsia="MS PGothic" w:hAnsi="MS PGothic"/>
          <w:sz w:val="16"/>
          <w:szCs w:val="16"/>
          <w:color w:val="auto"/>
        </w:rPr>
        <w:t>‑</w:t>
      </w:r>
      <w:r>
        <w:rPr>
          <w:rFonts w:ascii="Arial" w:cs="Arial" w:eastAsia="Arial" w:hAnsi="Arial"/>
          <w:sz w:val="16"/>
          <w:szCs w:val="16"/>
          <w:color w:val="auto"/>
        </w:rPr>
        <w:t>31 and OSM, two key cytokines implicated in inflammation, pruritus and fibrosis. We believe KPL</w:t>
      </w:r>
      <w:r>
        <w:rPr>
          <w:rFonts w:ascii="MS PGothic" w:cs="MS PGothic" w:eastAsia="MS PGothic" w:hAnsi="MS PGothic"/>
          <w:sz w:val="16"/>
          <w:szCs w:val="16"/>
          <w:color w:val="auto"/>
        </w:rPr>
        <w:t>‑</w:t>
      </w:r>
      <w:r>
        <w:rPr>
          <w:rFonts w:ascii="Arial" w:cs="Arial" w:eastAsia="Arial" w:hAnsi="Arial"/>
          <w:sz w:val="16"/>
          <w:szCs w:val="16"/>
          <w:color w:val="auto"/>
        </w:rPr>
        <w:t>716 to be the only monoclonal antibody in development that targets both pathways simultaneously. We completed our Phase 1a/1b program in atopic dermatitis subjects in 2019. Both the single IV dose and repeated-single doses of KPL-716 resulted in a marked and rapid reduction in pruritus as measured by a numerical rating score. We believe these results support further development of KPL-716 as an anti-pruritic treatment for diseases with upregulated signaling through OSMRβ. We are initially evaluating KPL</w:t>
      </w:r>
      <w:r>
        <w:rPr>
          <w:rFonts w:ascii="MS PGothic" w:cs="MS PGothic" w:eastAsia="MS PGothic" w:hAnsi="MS PGothic"/>
          <w:sz w:val="16"/>
          <w:szCs w:val="16"/>
          <w:color w:val="auto"/>
        </w:rPr>
        <w:t>‑</w:t>
      </w:r>
      <w:r>
        <w:rPr>
          <w:rFonts w:ascii="Arial" w:cs="Arial" w:eastAsia="Arial" w:hAnsi="Arial"/>
          <w:sz w:val="16"/>
          <w:szCs w:val="16"/>
          <w:color w:val="auto"/>
        </w:rPr>
        <w:t>716 for the treatment of a variety of pruritic diseases potentially driven by signaling through OSMRβ, including prurigo nodularis, a chronic inflammatory skin condition with an estimated U.S. prevalence of approximately 300,000 patients.</w:t>
      </w:r>
    </w:p>
    <w:p>
      <w:pPr>
        <w:spacing w:after="0" w:line="203"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We acquired the assets relating to KPL</w:t>
      </w:r>
      <w:r>
        <w:rPr>
          <w:rFonts w:ascii="MS PGothic" w:cs="MS PGothic" w:eastAsia="MS PGothic" w:hAnsi="MS PGothic"/>
          <w:sz w:val="18"/>
          <w:szCs w:val="18"/>
          <w:color w:val="auto"/>
        </w:rPr>
        <w:t>‑</w:t>
      </w:r>
      <w:r>
        <w:rPr>
          <w:rFonts w:ascii="Arial" w:cs="Arial" w:eastAsia="Arial" w:hAnsi="Arial"/>
          <w:sz w:val="18"/>
          <w:szCs w:val="18"/>
          <w:color w:val="auto"/>
        </w:rPr>
        <w:t>716 from Biogen MA, Inc., or Biogen, in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225" w:lineRule="exact"/>
        <w:rPr>
          <w:sz w:val="20"/>
          <w:szCs w:val="20"/>
          <w:color w:val="auto"/>
        </w:rPr>
      </w:pPr>
    </w:p>
    <w:p>
      <w:pPr>
        <w:ind w:firstLine="648"/>
        <w:spacing w:after="0" w:line="219" w:lineRule="exact"/>
        <w:rPr>
          <w:sz w:val="20"/>
          <w:szCs w:val="20"/>
          <w:color w:val="auto"/>
        </w:rPr>
      </w:pPr>
      <w:r>
        <w:rPr>
          <w:rFonts w:ascii="Arial" w:cs="Arial" w:eastAsia="Arial" w:hAnsi="Arial"/>
          <w:sz w:val="16"/>
          <w:szCs w:val="16"/>
          <w:color w:val="auto"/>
        </w:rPr>
        <w:t>The OSMRβ subunit is an IL</w:t>
      </w:r>
      <w:r>
        <w:rPr>
          <w:rFonts w:ascii="MS PGothic" w:cs="MS PGothic" w:eastAsia="MS PGothic" w:hAnsi="MS PGothic"/>
          <w:sz w:val="16"/>
          <w:szCs w:val="16"/>
          <w:color w:val="auto"/>
        </w:rPr>
        <w:t>‑</w:t>
      </w:r>
      <w:r>
        <w:rPr>
          <w:rFonts w:ascii="Arial" w:cs="Arial" w:eastAsia="Arial" w:hAnsi="Arial"/>
          <w:sz w:val="16"/>
          <w:szCs w:val="16"/>
          <w:color w:val="auto"/>
        </w:rPr>
        <w:t>6 type receptor which combines with one of two other subunits to form two distinct cytokine receptors used for the signaling of two different cytokines: IL</w:t>
      </w:r>
      <w:r>
        <w:rPr>
          <w:rFonts w:ascii="MS PGothic" w:cs="MS PGothic" w:eastAsia="MS PGothic" w:hAnsi="MS PGothic"/>
          <w:sz w:val="16"/>
          <w:szCs w:val="16"/>
          <w:color w:val="auto"/>
        </w:rPr>
        <w:t>‑</w:t>
      </w:r>
      <w:r>
        <w:rPr>
          <w:rFonts w:ascii="Arial" w:cs="Arial" w:eastAsia="Arial" w:hAnsi="Arial"/>
          <w:sz w:val="16"/>
          <w:szCs w:val="16"/>
          <w:color w:val="auto"/>
        </w:rPr>
        <w:t>31, and OSM. IL</w:t>
      </w:r>
      <w:r>
        <w:rPr>
          <w:rFonts w:ascii="MS PGothic" w:cs="MS PGothic" w:eastAsia="MS PGothic" w:hAnsi="MS PGothic"/>
          <w:sz w:val="16"/>
          <w:szCs w:val="16"/>
          <w:color w:val="auto"/>
        </w:rPr>
        <w:t>‑</w:t>
      </w:r>
      <w:r>
        <w:rPr>
          <w:rFonts w:ascii="Arial" w:cs="Arial" w:eastAsia="Arial" w:hAnsi="Arial"/>
          <w:sz w:val="16"/>
          <w:szCs w:val="16"/>
          <w:color w:val="auto"/>
        </w:rPr>
        <w:t>31 binds to the IL</w:t>
      </w:r>
      <w:r>
        <w:rPr>
          <w:rFonts w:ascii="MS PGothic" w:cs="MS PGothic" w:eastAsia="MS PGothic" w:hAnsi="MS PGothic"/>
          <w:sz w:val="16"/>
          <w:szCs w:val="16"/>
          <w:color w:val="auto"/>
        </w:rPr>
        <w:t>‑</w:t>
      </w:r>
      <w:r>
        <w:rPr>
          <w:rFonts w:ascii="Arial" w:cs="Arial" w:eastAsia="Arial" w:hAnsi="Arial"/>
          <w:sz w:val="16"/>
          <w:szCs w:val="16"/>
          <w:color w:val="auto"/>
        </w:rPr>
        <w:t>31 receptor on keratinocytes, epidermal cells, leading to a sensation of pruritus and further inflammatory responses in the skin. In addition to interacting with IL</w:t>
      </w:r>
      <w:r>
        <w:rPr>
          <w:rFonts w:ascii="MS PGothic" w:cs="MS PGothic" w:eastAsia="MS PGothic" w:hAnsi="MS PGothic"/>
          <w:sz w:val="16"/>
          <w:szCs w:val="16"/>
          <w:color w:val="auto"/>
        </w:rPr>
        <w:t>‑</w:t>
      </w:r>
      <w:r>
        <w:rPr>
          <w:rFonts w:ascii="Arial" w:cs="Arial" w:eastAsia="Arial" w:hAnsi="Arial"/>
          <w:sz w:val="16"/>
          <w:szCs w:val="16"/>
          <w:color w:val="auto"/>
        </w:rPr>
        <w:t>31 receptors on keratinocytes, IL</w:t>
      </w:r>
      <w:r>
        <w:rPr>
          <w:rFonts w:ascii="MS PGothic" w:cs="MS PGothic" w:eastAsia="MS PGothic" w:hAnsi="MS PGothic"/>
          <w:sz w:val="16"/>
          <w:szCs w:val="16"/>
          <w:color w:val="auto"/>
        </w:rPr>
        <w:t>‑</w:t>
      </w:r>
      <w:r>
        <w:rPr>
          <w:rFonts w:ascii="Arial" w:cs="Arial" w:eastAsia="Arial" w:hAnsi="Arial"/>
          <w:sz w:val="16"/>
          <w:szCs w:val="16"/>
          <w:color w:val="auto"/>
        </w:rPr>
        <w:t>31 also stimulates pruritus directly through IL</w:t>
      </w:r>
      <w:r>
        <w:rPr>
          <w:rFonts w:ascii="MS PGothic" w:cs="MS PGothic" w:eastAsia="MS PGothic" w:hAnsi="MS PGothic"/>
          <w:sz w:val="16"/>
          <w:szCs w:val="16"/>
          <w:color w:val="auto"/>
        </w:rPr>
        <w:t>‑</w:t>
      </w:r>
      <w:r>
        <w:rPr>
          <w:rFonts w:ascii="Arial" w:cs="Arial" w:eastAsia="Arial" w:hAnsi="Arial"/>
          <w:sz w:val="16"/>
          <w:szCs w:val="16"/>
          <w:color w:val="auto"/>
        </w:rPr>
        <w:t>31 receptors expressed on unmyelinated C</w:t>
      </w:r>
      <w:r>
        <w:rPr>
          <w:rFonts w:ascii="MS PGothic" w:cs="MS PGothic" w:eastAsia="MS PGothic" w:hAnsi="MS PGothic"/>
          <w:sz w:val="16"/>
          <w:szCs w:val="16"/>
          <w:color w:val="auto"/>
        </w:rPr>
        <w:t>‑</w:t>
      </w:r>
      <w:r>
        <w:rPr>
          <w:rFonts w:ascii="Arial" w:cs="Arial" w:eastAsia="Arial" w:hAnsi="Arial"/>
          <w:sz w:val="16"/>
          <w:szCs w:val="16"/>
          <w:color w:val="auto"/>
        </w:rPr>
        <w:t>fibers in the skin responsible for the sensation and transmission of pruritic signaling.</w:t>
      </w:r>
    </w:p>
    <w:p>
      <w:pPr>
        <w:spacing w:after="0" w:line="204" w:lineRule="exact"/>
        <w:rPr>
          <w:sz w:val="20"/>
          <w:szCs w:val="20"/>
          <w:color w:val="auto"/>
        </w:rPr>
      </w:pPr>
    </w:p>
    <w:p>
      <w:pPr>
        <w:ind w:right="220" w:firstLine="648"/>
        <w:spacing w:after="0" w:line="219" w:lineRule="exact"/>
        <w:rPr>
          <w:sz w:val="20"/>
          <w:szCs w:val="20"/>
          <w:color w:val="auto"/>
        </w:rPr>
      </w:pPr>
      <w:r>
        <w:rPr>
          <w:rFonts w:ascii="Arial" w:cs="Arial" w:eastAsia="Arial" w:hAnsi="Arial"/>
          <w:sz w:val="17"/>
          <w:szCs w:val="17"/>
          <w:color w:val="auto"/>
        </w:rPr>
        <w:t>OSM is produced primarily under inflammatory conditions and stimulates dermal fibroblast proliferation and migration as well as synthesis of collagen and glycosaminoglycan in the skin, leading to fibrosis. In addition to these functions, OSM signaling through the type II OSM receptor upregulates interleukin</w:t>
      </w:r>
      <w:r>
        <w:rPr>
          <w:rFonts w:ascii="MS PGothic" w:cs="MS PGothic" w:eastAsia="MS PGothic" w:hAnsi="MS PGothic"/>
          <w:sz w:val="17"/>
          <w:szCs w:val="17"/>
          <w:color w:val="auto"/>
        </w:rPr>
        <w:t>‑</w:t>
      </w:r>
      <w:r>
        <w:rPr>
          <w:rFonts w:ascii="Arial" w:cs="Arial" w:eastAsia="Arial" w:hAnsi="Arial"/>
          <w:sz w:val="17"/>
          <w:szCs w:val="17"/>
          <w:color w:val="auto"/>
        </w:rPr>
        <w:t>4, or IL</w:t>
      </w:r>
      <w:r>
        <w:rPr>
          <w:rFonts w:ascii="MS PGothic" w:cs="MS PGothic" w:eastAsia="MS PGothic" w:hAnsi="MS PGothic"/>
          <w:sz w:val="17"/>
          <w:szCs w:val="17"/>
          <w:color w:val="auto"/>
        </w:rPr>
        <w:t>‑</w:t>
      </w:r>
      <w:r>
        <w:rPr>
          <w:rFonts w:ascii="Arial" w:cs="Arial" w:eastAsia="Arial" w:hAnsi="Arial"/>
          <w:sz w:val="17"/>
          <w:szCs w:val="17"/>
          <w:color w:val="auto"/>
        </w:rPr>
        <w:t>4, interleukin</w:t>
      </w:r>
      <w:r>
        <w:rPr>
          <w:rFonts w:ascii="MS PGothic" w:cs="MS PGothic" w:eastAsia="MS PGothic" w:hAnsi="MS PGothic"/>
          <w:sz w:val="17"/>
          <w:szCs w:val="17"/>
          <w:color w:val="auto"/>
        </w:rPr>
        <w:t>‑</w:t>
      </w:r>
      <w:r>
        <w:rPr>
          <w:rFonts w:ascii="Arial" w:cs="Arial" w:eastAsia="Arial" w:hAnsi="Arial"/>
          <w:sz w:val="17"/>
          <w:szCs w:val="17"/>
          <w:color w:val="auto"/>
        </w:rPr>
        <w:t>13 receptor, or IL</w:t>
      </w:r>
      <w:r>
        <w:rPr>
          <w:rFonts w:ascii="MS PGothic" w:cs="MS PGothic" w:eastAsia="MS PGothic" w:hAnsi="MS PGothic"/>
          <w:sz w:val="17"/>
          <w:szCs w:val="17"/>
          <w:color w:val="auto"/>
        </w:rPr>
        <w:t>‑</w:t>
      </w:r>
      <w:r>
        <w:rPr>
          <w:rFonts w:ascii="Arial" w:cs="Arial" w:eastAsia="Arial" w:hAnsi="Arial"/>
          <w:sz w:val="17"/>
          <w:szCs w:val="17"/>
          <w:color w:val="auto"/>
        </w:rPr>
        <w:t>13Rα1, and interleukin</w:t>
      </w:r>
      <w:r>
        <w:rPr>
          <w:rFonts w:ascii="MS PGothic" w:cs="MS PGothic" w:eastAsia="MS PGothic" w:hAnsi="MS PGothic"/>
          <w:sz w:val="17"/>
          <w:szCs w:val="17"/>
          <w:color w:val="auto"/>
        </w:rPr>
        <w:t>‑</w:t>
      </w:r>
      <w:r>
        <w:rPr>
          <w:rFonts w:ascii="Arial" w:cs="Arial" w:eastAsia="Arial" w:hAnsi="Arial"/>
          <w:sz w:val="17"/>
          <w:szCs w:val="17"/>
          <w:color w:val="auto"/>
        </w:rPr>
        <w:t>4 receptor, or IL</w:t>
      </w:r>
      <w:r>
        <w:rPr>
          <w:rFonts w:ascii="MS PGothic" w:cs="MS PGothic" w:eastAsia="MS PGothic" w:hAnsi="MS PGothic"/>
          <w:sz w:val="17"/>
          <w:szCs w:val="17"/>
          <w:color w:val="auto"/>
        </w:rPr>
        <w:t>‑</w:t>
      </w:r>
      <w:r>
        <w:rPr>
          <w:rFonts w:ascii="Arial" w:cs="Arial" w:eastAsia="Arial" w:hAnsi="Arial"/>
          <w:sz w:val="17"/>
          <w:szCs w:val="17"/>
          <w:color w:val="auto"/>
        </w:rPr>
        <w:t>4Rα, in human skin equivalent cultures, upregulates IL</w:t>
      </w:r>
      <w:r>
        <w:rPr>
          <w:rFonts w:ascii="MS PGothic" w:cs="MS PGothic" w:eastAsia="MS PGothic" w:hAnsi="MS PGothic"/>
          <w:sz w:val="17"/>
          <w:szCs w:val="17"/>
          <w:color w:val="auto"/>
        </w:rPr>
        <w:t>‑</w:t>
      </w:r>
      <w:r>
        <w:rPr>
          <w:rFonts w:ascii="Arial" w:cs="Arial" w:eastAsia="Arial" w:hAnsi="Arial"/>
          <w:sz w:val="17"/>
          <w:szCs w:val="17"/>
          <w:color w:val="auto"/>
        </w:rPr>
        <w:t>4Rα in primary human keratinocytes and also impairs expression of filaggrin, loricrin and involucrin (classical “differentiation” markers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of the epidermal differentiation complex cluster) in human skin equivalent cultures. These data implicate OSM signaling as important in many autoimmune diseases characterized by barrier dysfunction, fibrosis and inflammation.</w:t>
      </w:r>
    </w:p>
    <w:p>
      <w:pPr>
        <w:spacing w:after="0" w:line="147" w:lineRule="exact"/>
        <w:rPr>
          <w:sz w:val="20"/>
          <w:szCs w:val="20"/>
          <w:color w:val="auto"/>
        </w:rPr>
      </w:pPr>
    </w:p>
    <w:p>
      <w:pPr>
        <w:ind w:right="300" w:firstLine="648"/>
        <w:spacing w:after="0" w:line="223" w:lineRule="exact"/>
        <w:rPr>
          <w:sz w:val="20"/>
          <w:szCs w:val="20"/>
          <w:color w:val="auto"/>
        </w:rPr>
      </w:pPr>
      <w:r>
        <w:rPr>
          <w:rFonts w:ascii="Arial" w:cs="Arial" w:eastAsia="Arial" w:hAnsi="Arial"/>
          <w:sz w:val="18"/>
          <w:szCs w:val="18"/>
          <w:color w:val="auto"/>
        </w:rPr>
        <w:t>KPL</w:t>
      </w:r>
      <w:r>
        <w:rPr>
          <w:rFonts w:ascii="MS PGothic" w:cs="MS PGothic" w:eastAsia="MS PGothic" w:hAnsi="MS PGothic"/>
          <w:sz w:val="18"/>
          <w:szCs w:val="18"/>
          <w:color w:val="auto"/>
        </w:rPr>
        <w:t>‑</w:t>
      </w:r>
      <w:r>
        <w:rPr>
          <w:rFonts w:ascii="Arial" w:cs="Arial" w:eastAsia="Arial" w:hAnsi="Arial"/>
          <w:sz w:val="18"/>
          <w:szCs w:val="18"/>
          <w:color w:val="auto"/>
        </w:rPr>
        <w:t>716 inhibits both IL</w:t>
      </w:r>
      <w:r>
        <w:rPr>
          <w:rFonts w:ascii="MS PGothic" w:cs="MS PGothic" w:eastAsia="MS PGothic" w:hAnsi="MS PGothic"/>
          <w:sz w:val="18"/>
          <w:szCs w:val="18"/>
          <w:color w:val="auto"/>
        </w:rPr>
        <w:t>‑</w:t>
      </w:r>
      <w:r>
        <w:rPr>
          <w:rFonts w:ascii="Arial" w:cs="Arial" w:eastAsia="Arial" w:hAnsi="Arial"/>
          <w:sz w:val="18"/>
          <w:szCs w:val="18"/>
          <w:color w:val="auto"/>
        </w:rPr>
        <w:t>31 and OSM activities at their respective receptors, potentially disrupting the pruritus, inflammation and fibrosis mediated by these cytokine pathways.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Market Opportunity for Prurigo Nodularis and Other Chronic Pruritic Diseases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Prurigo Nodularis</w:t>
      </w:r>
    </w:p>
    <w:p>
      <w:pPr>
        <w:spacing w:after="0" w:line="225"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Prurigo nodularis is a chronic inflammatory skin condition that affects primarily older adults and is characterized by multiple firm and extremely pruritic nodules typically located on the arms and legs. The etiology of prurigo nodularis is largely unknown, however, human biopsy studies have shown that the cytokines IL</w:t>
      </w:r>
      <w:r>
        <w:rPr>
          <w:rFonts w:ascii="MS PGothic" w:cs="MS PGothic" w:eastAsia="MS PGothic" w:hAnsi="MS PGothic"/>
          <w:sz w:val="17"/>
          <w:szCs w:val="17"/>
          <w:color w:val="auto"/>
        </w:rPr>
        <w:t>‑</w:t>
      </w:r>
      <w:r>
        <w:rPr>
          <w:rFonts w:ascii="Arial" w:cs="Arial" w:eastAsia="Arial" w:hAnsi="Arial"/>
          <w:sz w:val="17"/>
          <w:szCs w:val="17"/>
          <w:color w:val="auto"/>
        </w:rPr>
        <w:t>31 and OSM and the receptor chains IL</w:t>
      </w:r>
      <w:r>
        <w:rPr>
          <w:rFonts w:ascii="MS PGothic" w:cs="MS PGothic" w:eastAsia="MS PGothic" w:hAnsi="MS PGothic"/>
          <w:sz w:val="17"/>
          <w:szCs w:val="17"/>
          <w:color w:val="auto"/>
        </w:rPr>
        <w:t>‑</w:t>
      </w:r>
      <w:r>
        <w:rPr>
          <w:rFonts w:ascii="Arial" w:cs="Arial" w:eastAsia="Arial" w:hAnsi="Arial"/>
          <w:sz w:val="17"/>
          <w:szCs w:val="17"/>
          <w:color w:val="auto"/>
        </w:rPr>
        <w:t>31Rα and OSMRβ are highly expressed in prurigo nodularis lesions. The pruritus is severe and distressing and can be sudden, sporadic or continuous, worsening with heat, sweating or irritation from clothing. The itching sensation in prurigo nodularis is extreme and often leads to scratching to the point of bleeding, infection or pain. Our market research to</w:t>
      </w:r>
      <w:r>
        <w:rPr>
          <w:rFonts w:ascii="MS PGothic" w:cs="MS PGothic" w:eastAsia="MS PGothic" w:hAnsi="MS PGothic"/>
          <w:sz w:val="17"/>
          <w:szCs w:val="17"/>
          <w:color w:val="auto"/>
        </w:rPr>
        <w:t>‑</w:t>
      </w:r>
      <w:r>
        <w:rPr>
          <w:rFonts w:ascii="Arial" w:cs="Arial" w:eastAsia="Arial" w:hAnsi="Arial"/>
          <w:sz w:val="17"/>
          <w:szCs w:val="17"/>
          <w:color w:val="auto"/>
        </w:rPr>
        <w:t>date with physicians and patients highlights the severe and debilitating nature of this disease and the significant levels of unmet need. Multiple physicians have reported suicidal tendencies among their prurigo nodularis patients due to an overwhelming inability to control the unrelenting itch. The exact prevalence of prurigo nodularis is unknown, however, we estimate there to be approximately 300,000 prevalent cases in the United States.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Chronic Pruritic Diseases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exploratory, pilot Phase 2 clinical trial was designed to evaluate study populations with chronic idiopathic urticaria, chronic idiopathic pruritus, plaque psoriasis, lichen planus, and lichen simplex chronicus.</w:t>
      </w:r>
    </w:p>
    <w:p>
      <w:pPr>
        <w:spacing w:after="0" w:line="170" w:lineRule="exact"/>
        <w:rPr>
          <w:sz w:val="20"/>
          <w:szCs w:val="20"/>
          <w:color w:val="auto"/>
        </w:rPr>
      </w:pPr>
    </w:p>
    <w:p>
      <w:pPr>
        <w:ind w:left="980" w:right="120" w:hanging="329"/>
        <w:spacing w:after="0" w:line="255"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Chronic Idiopathic Urticaria. </w:t>
      </w:r>
      <w:r>
        <w:rPr>
          <w:rFonts w:ascii="Arial" w:cs="Arial" w:eastAsia="Arial" w:hAnsi="Arial"/>
          <w:sz w:val="18"/>
          <w:szCs w:val="18"/>
          <w:color w:val="auto"/>
        </w:rPr>
        <w:t>Chronic idiopathic urticaria is the chronic occurrence of hives without a known</w:t>
      </w:r>
      <w:r>
        <w:rPr>
          <w:rFonts w:ascii="Arial" w:cs="Arial" w:eastAsia="Arial" w:hAnsi="Arial"/>
          <w:sz w:val="18"/>
          <w:szCs w:val="18"/>
          <w:i w:val="1"/>
          <w:iCs w:val="1"/>
          <w:color w:val="auto"/>
        </w:rPr>
        <w:t xml:space="preserve"> </w:t>
      </w:r>
      <w:r>
        <w:rPr>
          <w:rFonts w:ascii="Arial" w:cs="Arial" w:eastAsia="Arial" w:hAnsi="Arial"/>
          <w:sz w:val="18"/>
          <w:szCs w:val="18"/>
          <w:color w:val="auto"/>
        </w:rPr>
        <w:t>cause. We estimate that there are approximately two to three million patients in the United States with chronic idiopathic urticaria. Based on company survey data of over 100 treating physicians, or company survey data, approximately one out of three patients experience pruritus that is refractory to conventional therapies, and among patients treating their chronic idiopathic urticaria with Xolair (omalizumab), 15% to 20% continue to experience pruritus.</w:t>
      </w:r>
    </w:p>
    <w:p>
      <w:pPr>
        <w:spacing w:after="0" w:line="193" w:lineRule="exact"/>
        <w:rPr>
          <w:rFonts w:ascii="Arial" w:cs="Arial" w:eastAsia="Arial" w:hAnsi="Arial"/>
          <w:sz w:val="18"/>
          <w:szCs w:val="18"/>
          <w:color w:val="auto"/>
        </w:rPr>
      </w:pPr>
    </w:p>
    <w:p>
      <w:pPr>
        <w:ind w:left="980" w:hanging="329"/>
        <w:spacing w:after="0" w:line="279"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Chronic Idiopathic Pruritus. </w:t>
      </w:r>
      <w:r>
        <w:rPr>
          <w:rFonts w:ascii="Arial" w:cs="Arial" w:eastAsia="Arial" w:hAnsi="Arial"/>
          <w:sz w:val="17"/>
          <w:szCs w:val="17"/>
          <w:color w:val="auto"/>
        </w:rPr>
        <w:t>Chronic idiopathic pruritus is chronic itching without a known cause.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survey data, treating physicians report that there is approximately one patient with idiopathic pruritus for every three atopic dermatitis patients, and approximately 50% of these patients experience symptoms lasting for more than one year and one in three treated patients experience refractory pruritus.</w:t>
      </w:r>
    </w:p>
    <w:p>
      <w:pPr>
        <w:spacing w:after="0" w:line="171" w:lineRule="exact"/>
        <w:rPr>
          <w:rFonts w:ascii="Arial" w:cs="Arial" w:eastAsia="Arial" w:hAnsi="Arial"/>
          <w:sz w:val="17"/>
          <w:szCs w:val="17"/>
          <w:color w:val="auto"/>
        </w:rPr>
      </w:pPr>
    </w:p>
    <w:p>
      <w:pPr>
        <w:jc w:val="both"/>
        <w:ind w:left="980" w:right="160" w:hanging="329"/>
        <w:spacing w:after="0" w:line="221" w:lineRule="exact"/>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Plaque Psoriasis. </w:t>
      </w:r>
      <w:r>
        <w:rPr>
          <w:rFonts w:ascii="Arial" w:cs="Arial" w:eastAsia="Arial" w:hAnsi="Arial"/>
          <w:sz w:val="17"/>
          <w:szCs w:val="17"/>
          <w:color w:val="auto"/>
        </w:rPr>
        <w:t>Plaque psoriasis is the most common form of psoriasis and causes skin lesions with silvery</w:t>
      </w:r>
      <w:r>
        <w:rPr>
          <w:rFonts w:ascii="Arial" w:cs="Arial" w:eastAsia="Arial" w:hAnsi="Arial"/>
          <w:sz w:val="17"/>
          <w:szCs w:val="17"/>
          <w:i w:val="1"/>
          <w:iCs w:val="1"/>
          <w:color w:val="auto"/>
        </w:rPr>
        <w:t xml:space="preserve"> </w:t>
      </w:r>
      <w:r>
        <w:rPr>
          <w:rFonts w:ascii="Arial" w:cs="Arial" w:eastAsia="Arial" w:hAnsi="Arial"/>
          <w:sz w:val="17"/>
          <w:szCs w:val="17"/>
          <w:color w:val="auto"/>
        </w:rPr>
        <w:t>scales. We estimate that there are approximately 12 million patients with plaque psoriasis in the United States with approximately two to three million patients experiencing moderate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severe pruritus.</w:t>
      </w:r>
    </w:p>
    <w:p>
      <w:pPr>
        <w:spacing w:after="0" w:line="202" w:lineRule="exact"/>
        <w:rPr>
          <w:rFonts w:ascii="Arial" w:cs="Arial" w:eastAsia="Arial" w:hAnsi="Arial"/>
          <w:sz w:val="17"/>
          <w:szCs w:val="17"/>
          <w:color w:val="auto"/>
        </w:rPr>
      </w:pPr>
    </w:p>
    <w:p>
      <w:pPr>
        <w:ind w:left="980" w:right="40" w:hanging="329"/>
        <w:spacing w:after="0" w:line="220" w:lineRule="exact"/>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Lichen Planus. </w:t>
      </w:r>
      <w:r>
        <w:rPr>
          <w:rFonts w:ascii="Arial" w:cs="Arial" w:eastAsia="Arial" w:hAnsi="Arial"/>
          <w:sz w:val="17"/>
          <w:szCs w:val="17"/>
          <w:color w:val="auto"/>
        </w:rPr>
        <w:t>Lichen planus is a chronic inflammatory and immune</w:t>
      </w:r>
      <w:r>
        <w:rPr>
          <w:rFonts w:ascii="MS PGothic" w:cs="MS PGothic" w:eastAsia="MS PGothic" w:hAnsi="MS PGothic"/>
          <w:sz w:val="17"/>
          <w:szCs w:val="17"/>
          <w:color w:val="auto"/>
        </w:rPr>
        <w:t>‑</w:t>
      </w:r>
      <w:r>
        <w:rPr>
          <w:rFonts w:ascii="Arial" w:cs="Arial" w:eastAsia="Arial" w:hAnsi="Arial"/>
          <w:sz w:val="17"/>
          <w:szCs w:val="17"/>
          <w:color w:val="auto"/>
        </w:rPr>
        <w:t>mediated disease that affects the skin,</w:t>
      </w:r>
      <w:r>
        <w:rPr>
          <w:rFonts w:ascii="Arial" w:cs="Arial" w:eastAsia="Arial" w:hAnsi="Arial"/>
          <w:sz w:val="17"/>
          <w:szCs w:val="17"/>
          <w:i w:val="1"/>
          <w:iCs w:val="1"/>
          <w:color w:val="auto"/>
        </w:rPr>
        <w:t xml:space="preserve"> </w:t>
      </w:r>
      <w:r>
        <w:rPr>
          <w:rFonts w:ascii="Arial" w:cs="Arial" w:eastAsia="Arial" w:hAnsi="Arial"/>
          <w:sz w:val="17"/>
          <w:szCs w:val="17"/>
          <w:color w:val="auto"/>
        </w:rPr>
        <w:t>nails, hair, and mucous membranes. We estimate that there are approximately 500,000 patients in the United States with lichen planus. Based on company survey data, treating physicians report that among treated patients with this disease, approximately one in every three experience refractory pruritus.</w:t>
      </w:r>
    </w:p>
    <w:p>
      <w:pPr>
        <w:spacing w:after="0" w:line="204" w:lineRule="exact"/>
        <w:rPr>
          <w:rFonts w:ascii="Arial" w:cs="Arial" w:eastAsia="Arial" w:hAnsi="Arial"/>
          <w:sz w:val="17"/>
          <w:szCs w:val="17"/>
          <w:color w:val="auto"/>
        </w:rPr>
      </w:pPr>
    </w:p>
    <w:p>
      <w:pPr>
        <w:ind w:left="980" w:hanging="329"/>
        <w:spacing w:after="0" w:line="25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Lichen Simplex Chronicus. </w:t>
      </w:r>
      <w:r>
        <w:rPr>
          <w:rFonts w:ascii="Arial" w:cs="Arial" w:eastAsia="Arial" w:hAnsi="Arial"/>
          <w:sz w:val="18"/>
          <w:szCs w:val="18"/>
          <w:color w:val="auto"/>
        </w:rPr>
        <w:t>Lichen simplex chronicus results from chronic itching and scratching, which causes</w:t>
      </w:r>
      <w:r>
        <w:rPr>
          <w:rFonts w:ascii="Arial" w:cs="Arial" w:eastAsia="Arial" w:hAnsi="Arial"/>
          <w:sz w:val="18"/>
          <w:szCs w:val="18"/>
          <w:i w:val="1"/>
          <w:iCs w:val="1"/>
          <w:color w:val="auto"/>
        </w:rPr>
        <w:t xml:space="preserve"> </w:t>
      </w:r>
      <w:r>
        <w:rPr>
          <w:rFonts w:ascii="Arial" w:cs="Arial" w:eastAsia="Arial" w:hAnsi="Arial"/>
          <w:sz w:val="18"/>
          <w:szCs w:val="18"/>
          <w:color w:val="auto"/>
        </w:rPr>
        <w:t>lichenified skin. Based on company survey data, treating physicians report approximately one lichen simplex chronicus patient for every prurigo nodularis patient, which equates to approximately 300,000 addressable patients in the United States, and among treated patients with lichen simplex chronicus, approximately 40% experience refractory pruritus.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for Prurigo Nodularis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Prurigo Nodularis</w:t>
      </w:r>
    </w:p>
    <w:p>
      <w:pPr>
        <w:spacing w:after="0" w:line="225" w:lineRule="exact"/>
        <w:rPr>
          <w:sz w:val="20"/>
          <w:szCs w:val="20"/>
          <w:color w:val="auto"/>
        </w:rPr>
      </w:pPr>
    </w:p>
    <w:p>
      <w:pPr>
        <w:ind w:right="100" w:firstLine="648"/>
        <w:spacing w:after="0" w:line="219" w:lineRule="exact"/>
        <w:rPr>
          <w:sz w:val="20"/>
          <w:szCs w:val="20"/>
          <w:color w:val="auto"/>
        </w:rPr>
      </w:pPr>
      <w:r>
        <w:rPr>
          <w:rFonts w:ascii="Arial" w:cs="Arial" w:eastAsia="Arial" w:hAnsi="Arial"/>
          <w:sz w:val="18"/>
          <w:szCs w:val="18"/>
          <w:color w:val="auto"/>
        </w:rPr>
        <w:t>We are not aware of any current FDA</w:t>
      </w:r>
      <w:r>
        <w:rPr>
          <w:rFonts w:ascii="MS PGothic" w:cs="MS PGothic" w:eastAsia="MS PGothic" w:hAnsi="MS PGothic"/>
          <w:sz w:val="18"/>
          <w:szCs w:val="18"/>
          <w:color w:val="auto"/>
        </w:rPr>
        <w:t>‑</w:t>
      </w:r>
      <w:r>
        <w:rPr>
          <w:rFonts w:ascii="Arial" w:cs="Arial" w:eastAsia="Arial" w:hAnsi="Arial"/>
          <w:sz w:val="18"/>
          <w:szCs w:val="18"/>
          <w:color w:val="auto"/>
        </w:rPr>
        <w:t>approved therapies for treating prurigo nodularis, and the treatment approach ranges from topical corticosteroids and occlusive steroid containing bandages for more mild patients to systemic corticosteroid, ultraviolet phototherapy and systemic therapies such as thalidomide, methotrexate and cyclosporine for those patients who fail initial treatments. Patients have reported using opioid pain medications to attempt to control the disease in its most severe form.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25" w:lineRule="exact"/>
        <w:rPr>
          <w:sz w:val="20"/>
          <w:szCs w:val="20"/>
          <w:color w:val="auto"/>
        </w:rPr>
      </w:pPr>
    </w:p>
    <w:p>
      <w:pPr>
        <w:ind w:right="380" w:firstLine="648"/>
        <w:spacing w:after="0" w:line="218" w:lineRule="exact"/>
        <w:rPr>
          <w:sz w:val="20"/>
          <w:szCs w:val="20"/>
          <w:color w:val="auto"/>
        </w:rPr>
      </w:pPr>
      <w:r>
        <w:rPr>
          <w:rFonts w:ascii="Arial" w:cs="Arial" w:eastAsia="Arial" w:hAnsi="Arial"/>
          <w:sz w:val="16"/>
          <w:szCs w:val="16"/>
          <w:color w:val="auto"/>
        </w:rPr>
        <w:t>KPL</w:t>
      </w:r>
      <w:r>
        <w:rPr>
          <w:rFonts w:ascii="MS PGothic" w:cs="MS PGothic" w:eastAsia="MS PGothic" w:hAnsi="MS PGothic"/>
          <w:sz w:val="16"/>
          <w:szCs w:val="16"/>
          <w:color w:val="auto"/>
        </w:rPr>
        <w:t>‑</w:t>
      </w:r>
      <w:r>
        <w:rPr>
          <w:rFonts w:ascii="Arial" w:cs="Arial" w:eastAsia="Arial" w:hAnsi="Arial"/>
          <w:sz w:val="16"/>
          <w:szCs w:val="16"/>
          <w:color w:val="auto"/>
        </w:rPr>
        <w:t>716 is a fully</w:t>
      </w:r>
      <w:r>
        <w:rPr>
          <w:rFonts w:ascii="MS PGothic" w:cs="MS PGothic" w:eastAsia="MS PGothic" w:hAnsi="MS PGothic"/>
          <w:sz w:val="16"/>
          <w:szCs w:val="16"/>
          <w:color w:val="auto"/>
        </w:rPr>
        <w:t>‑</w:t>
      </w:r>
      <w:r>
        <w:rPr>
          <w:rFonts w:ascii="Arial" w:cs="Arial" w:eastAsia="Arial" w:hAnsi="Arial"/>
          <w:sz w:val="16"/>
          <w:szCs w:val="16"/>
          <w:color w:val="auto"/>
        </w:rPr>
        <w:t>human monoclonal antibody that targets two key pathways for the development of pruritus, inflammation and fibrosis through inhibition of OSMRβ. Chronic pruritic diseases are often characterized by a complex interplay among pruritus, inflammation and fibrosis. The pathogenesis of chronic pruritic diseases involves interlocking positive feedback loops in which pruritus causes scratch, and scratch causes reactive inflammation through mechanical disruption of the skin architecture. The decline in skin barrier function and resulting bacterial colonization or infection ultimately increase extracellular matrix formation and collagen deposition, leading to fibrosis. Fibrosis then begets more pruritus through disruption and dysregulation of sensory nerve fiber expression.</w:t>
      </w:r>
    </w:p>
    <w:p>
      <w:pPr>
        <w:spacing w:after="0" w:line="205"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Current therapies target only one or two aspects of this complex pathophysiology and are inevitably limited in their effectiveness. Targeting only one pathway may address a single aspect of the symptomatology, e.g., pruritus, but not the full spectrum of the pathophysiologic components of the disease. This point is particularly relevant since OSM is upregulated in many chronic inflammatory skin diseases and synergistically interacts with pruritic and inflammatory pathways. Of particular relevance is the central role of OSM in inflammation and barrier function and its autocrine effects on type II OSM receptor in IL</w:t>
      </w:r>
      <w:r>
        <w:rPr>
          <w:rFonts w:ascii="MS PGothic" w:cs="MS PGothic" w:eastAsia="MS PGothic" w:hAnsi="MS PGothic"/>
          <w:sz w:val="17"/>
          <w:szCs w:val="17"/>
          <w:color w:val="auto"/>
        </w:rPr>
        <w:t>‑</w:t>
      </w:r>
      <w:r>
        <w:rPr>
          <w:rFonts w:ascii="Arial" w:cs="Arial" w:eastAsia="Arial" w:hAnsi="Arial"/>
          <w:sz w:val="17"/>
          <w:szCs w:val="17"/>
          <w:color w:val="auto"/>
        </w:rPr>
        <w:t>31</w:t>
      </w:r>
      <w:r>
        <w:rPr>
          <w:rFonts w:ascii="MS PGothic" w:cs="MS PGothic" w:eastAsia="MS PGothic" w:hAnsi="MS PGothic"/>
          <w:sz w:val="17"/>
          <w:szCs w:val="17"/>
          <w:color w:val="auto"/>
        </w:rPr>
        <w:t>‑</w:t>
      </w:r>
      <w:r>
        <w:rPr>
          <w:rFonts w:ascii="Arial" w:cs="Arial" w:eastAsia="Arial" w:hAnsi="Arial"/>
          <w:sz w:val="17"/>
          <w:szCs w:val="17"/>
          <w:color w:val="auto"/>
        </w:rPr>
        <w:t>dependent epidermal proliferation and remodeling as well as inflammation.</w:t>
      </w:r>
    </w:p>
    <w:p>
      <w:pPr>
        <w:spacing w:after="0" w:line="203" w:lineRule="exact"/>
        <w:rPr>
          <w:sz w:val="20"/>
          <w:szCs w:val="20"/>
          <w:color w:val="auto"/>
        </w:rPr>
      </w:pPr>
    </w:p>
    <w:p>
      <w:pPr>
        <w:ind w:right="40" w:firstLine="648"/>
        <w:spacing w:after="0" w:line="221" w:lineRule="exact"/>
        <w:rPr>
          <w:sz w:val="20"/>
          <w:szCs w:val="20"/>
          <w:color w:val="auto"/>
        </w:rPr>
      </w:pPr>
      <w:r>
        <w:rPr>
          <w:rFonts w:ascii="Arial" w:cs="Arial" w:eastAsia="Arial" w:hAnsi="Arial"/>
          <w:sz w:val="16"/>
          <w:szCs w:val="16"/>
          <w:color w:val="auto"/>
        </w:rPr>
        <w:t>There is a relatively large body of literature linking inflammatory pruritic and inflammatory diseases to both IL</w:t>
      </w:r>
      <w:r>
        <w:rPr>
          <w:rFonts w:ascii="MS PGothic" w:cs="MS PGothic" w:eastAsia="MS PGothic" w:hAnsi="MS PGothic"/>
          <w:sz w:val="16"/>
          <w:szCs w:val="16"/>
          <w:color w:val="auto"/>
        </w:rPr>
        <w:t>‑</w:t>
      </w:r>
      <w:r>
        <w:rPr>
          <w:rFonts w:ascii="Arial" w:cs="Arial" w:eastAsia="Arial" w:hAnsi="Arial"/>
          <w:sz w:val="16"/>
          <w:szCs w:val="16"/>
          <w:color w:val="auto"/>
        </w:rPr>
        <w:t>31 and OSM via signaling though OSMRβ. KPL</w:t>
      </w:r>
      <w:r>
        <w:rPr>
          <w:rFonts w:ascii="MS PGothic" w:cs="MS PGothic" w:eastAsia="MS PGothic" w:hAnsi="MS PGothic"/>
          <w:sz w:val="16"/>
          <w:szCs w:val="16"/>
          <w:color w:val="auto"/>
        </w:rPr>
        <w:t>‑</w:t>
      </w:r>
      <w:r>
        <w:rPr>
          <w:rFonts w:ascii="Arial" w:cs="Arial" w:eastAsia="Arial" w:hAnsi="Arial"/>
          <w:sz w:val="16"/>
          <w:szCs w:val="16"/>
          <w:color w:val="auto"/>
        </w:rPr>
        <w:t>716 has been specifically designed to target both pathways simultaneously and thus KPL</w:t>
      </w:r>
      <w:r>
        <w:rPr>
          <w:rFonts w:ascii="MS PGothic" w:cs="MS PGothic" w:eastAsia="MS PGothic" w:hAnsi="MS PGothic"/>
          <w:sz w:val="16"/>
          <w:szCs w:val="16"/>
          <w:color w:val="auto"/>
        </w:rPr>
        <w:t>‑</w:t>
      </w:r>
      <w:r>
        <w:rPr>
          <w:rFonts w:ascii="Arial" w:cs="Arial" w:eastAsia="Arial" w:hAnsi="Arial"/>
          <w:sz w:val="16"/>
          <w:szCs w:val="16"/>
          <w:color w:val="auto"/>
        </w:rPr>
        <w:t>716 may disrupt this pathologic cycle in patients afflicted by prurigo nodularis and atopic dermatitis.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Development</w:t>
      </w:r>
    </w:p>
    <w:p>
      <w:pPr>
        <w:spacing w:after="0" w:line="225"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In our preclinical development program we have observed favorable pharmacokinetics and toxicology characteristics to support clinical development of KPL</w:t>
      </w:r>
      <w:r>
        <w:rPr>
          <w:rFonts w:ascii="MS PGothic" w:cs="MS PGothic" w:eastAsia="MS PGothic" w:hAnsi="MS PGothic"/>
          <w:sz w:val="17"/>
          <w:szCs w:val="17"/>
          <w:color w:val="auto"/>
        </w:rPr>
        <w:t>‑</w:t>
      </w:r>
      <w:r>
        <w:rPr>
          <w:rFonts w:ascii="Arial" w:cs="Arial" w:eastAsia="Arial" w:hAnsi="Arial"/>
          <w:sz w:val="17"/>
          <w:szCs w:val="17"/>
          <w:color w:val="auto"/>
        </w:rPr>
        <w:t>716. KPL</w:t>
      </w:r>
      <w:r>
        <w:rPr>
          <w:rFonts w:ascii="MS PGothic" w:cs="MS PGothic" w:eastAsia="MS PGothic" w:hAnsi="MS PGothic"/>
          <w:sz w:val="17"/>
          <w:szCs w:val="17"/>
          <w:color w:val="auto"/>
        </w:rPr>
        <w:t>‑</w:t>
      </w:r>
      <w:r>
        <w:rPr>
          <w:rFonts w:ascii="Arial" w:cs="Arial" w:eastAsia="Arial" w:hAnsi="Arial"/>
          <w:sz w:val="17"/>
          <w:szCs w:val="17"/>
          <w:color w:val="auto"/>
        </w:rPr>
        <w:t>716 has shown signs of efficacy in two non</w:t>
      </w:r>
      <w:r>
        <w:rPr>
          <w:rFonts w:ascii="MS PGothic" w:cs="MS PGothic" w:eastAsia="MS PGothic" w:hAnsi="MS PGothic"/>
          <w:sz w:val="17"/>
          <w:szCs w:val="17"/>
          <w:color w:val="auto"/>
        </w:rPr>
        <w:t>‑</w:t>
      </w:r>
      <w:r>
        <w:rPr>
          <w:rFonts w:ascii="Arial" w:cs="Arial" w:eastAsia="Arial" w:hAnsi="Arial"/>
          <w:sz w:val="17"/>
          <w:szCs w:val="17"/>
          <w:color w:val="auto"/>
        </w:rPr>
        <w:t>human primate models. In the first, KPL</w:t>
      </w:r>
      <w:r>
        <w:rPr>
          <w:rFonts w:ascii="MS PGothic" w:cs="MS PGothic" w:eastAsia="MS PGothic" w:hAnsi="MS PGothic"/>
          <w:sz w:val="17"/>
          <w:szCs w:val="17"/>
          <w:color w:val="auto"/>
        </w:rPr>
        <w:t>‑</w:t>
      </w:r>
      <w:r>
        <w:rPr>
          <w:rFonts w:ascii="Arial" w:cs="Arial" w:eastAsia="Arial" w:hAnsi="Arial"/>
          <w:sz w:val="17"/>
          <w:szCs w:val="17"/>
          <w:color w:val="auto"/>
        </w:rPr>
        <w:t>716 abrogated the pharmacodynamic marker of pruritus in an IL</w:t>
      </w:r>
      <w:r>
        <w:rPr>
          <w:rFonts w:ascii="MS PGothic" w:cs="MS PGothic" w:eastAsia="MS PGothic" w:hAnsi="MS PGothic"/>
          <w:sz w:val="17"/>
          <w:szCs w:val="17"/>
          <w:color w:val="auto"/>
        </w:rPr>
        <w:t>‑</w:t>
      </w:r>
      <w:r>
        <w:rPr>
          <w:rFonts w:ascii="Arial" w:cs="Arial" w:eastAsia="Arial" w:hAnsi="Arial"/>
          <w:sz w:val="17"/>
          <w:szCs w:val="17"/>
          <w:color w:val="auto"/>
        </w:rPr>
        <w:t>31 challenge model. A single three milligram per kilogram dose of KPL</w:t>
      </w:r>
      <w:r>
        <w:rPr>
          <w:rFonts w:ascii="MS PGothic" w:cs="MS PGothic" w:eastAsia="MS PGothic" w:hAnsi="MS PGothic"/>
          <w:sz w:val="17"/>
          <w:szCs w:val="17"/>
          <w:color w:val="auto"/>
        </w:rPr>
        <w:t>‑</w:t>
      </w:r>
      <w:r>
        <w:rPr>
          <w:rFonts w:ascii="Arial" w:cs="Arial" w:eastAsia="Arial" w:hAnsi="Arial"/>
          <w:sz w:val="17"/>
          <w:szCs w:val="17"/>
          <w:color w:val="auto"/>
        </w:rPr>
        <w:t>716 substantially reduced scratch counts despite multiple repeated injections of IL</w:t>
      </w:r>
      <w:r>
        <w:rPr>
          <w:rFonts w:ascii="MS PGothic" w:cs="MS PGothic" w:eastAsia="MS PGothic" w:hAnsi="MS PGothic"/>
          <w:sz w:val="17"/>
          <w:szCs w:val="17"/>
          <w:color w:val="auto"/>
        </w:rPr>
        <w:t>‑</w:t>
      </w:r>
      <w:r>
        <w:rPr>
          <w:rFonts w:ascii="Arial" w:cs="Arial" w:eastAsia="Arial" w:hAnsi="Arial"/>
          <w:sz w:val="17"/>
          <w:szCs w:val="17"/>
          <w:color w:val="auto"/>
        </w:rPr>
        <w:t>31 over several weeks at concentrations we believe to be supraphysiologic in a disease context. In the second non</w:t>
      </w:r>
      <w:r>
        <w:rPr>
          <w:rFonts w:ascii="MS PGothic" w:cs="MS PGothic" w:eastAsia="MS PGothic" w:hAnsi="MS PGothic"/>
          <w:sz w:val="17"/>
          <w:szCs w:val="17"/>
          <w:color w:val="auto"/>
        </w:rPr>
        <w:t>‑</w:t>
      </w:r>
      <w:r>
        <w:rPr>
          <w:rFonts w:ascii="Arial" w:cs="Arial" w:eastAsia="Arial" w:hAnsi="Arial"/>
          <w:sz w:val="17"/>
          <w:szCs w:val="17"/>
          <w:color w:val="auto"/>
        </w:rPr>
        <w:t>human primate model, KPL</w:t>
      </w:r>
      <w:r>
        <w:rPr>
          <w:rFonts w:ascii="MS PGothic" w:cs="MS PGothic" w:eastAsia="MS PGothic" w:hAnsi="MS PGothic"/>
          <w:sz w:val="17"/>
          <w:szCs w:val="17"/>
          <w:color w:val="auto"/>
        </w:rPr>
        <w:t>‑</w:t>
      </w:r>
      <w:r>
        <w:rPr>
          <w:rFonts w:ascii="Arial" w:cs="Arial" w:eastAsia="Arial" w:hAnsi="Arial"/>
          <w:sz w:val="17"/>
          <w:szCs w:val="17"/>
          <w:color w:val="auto"/>
        </w:rPr>
        <w:t>716 again abrogated the painful response to an injection to an inflammatory agent called carrageenan through the time period measured after a single infusion of KPL</w:t>
      </w:r>
      <w:r>
        <w:rPr>
          <w:rFonts w:ascii="MS PGothic" w:cs="MS PGothic" w:eastAsia="MS PGothic" w:hAnsi="MS PGothic"/>
          <w:sz w:val="17"/>
          <w:szCs w:val="17"/>
          <w:color w:val="auto"/>
        </w:rPr>
        <w:t>‑</w:t>
      </w:r>
      <w:r>
        <w:rPr>
          <w:rFonts w:ascii="Arial" w:cs="Arial" w:eastAsia="Arial" w:hAnsi="Arial"/>
          <w:sz w:val="17"/>
          <w:szCs w:val="17"/>
          <w:color w:val="auto"/>
        </w:rPr>
        <w:t>716, implicating OSM in the inflammatory response. We have conducted preclinical toxicology studies for KPL</w:t>
      </w:r>
      <w:r>
        <w:rPr>
          <w:rFonts w:ascii="MS PGothic" w:cs="MS PGothic" w:eastAsia="MS PGothic" w:hAnsi="MS PGothic"/>
          <w:sz w:val="17"/>
          <w:szCs w:val="17"/>
          <w:color w:val="auto"/>
        </w:rPr>
        <w:t>‑</w:t>
      </w:r>
      <w:r>
        <w:rPr>
          <w:rFonts w:ascii="Arial" w:cs="Arial" w:eastAsia="Arial" w:hAnsi="Arial"/>
          <w:sz w:val="17"/>
          <w:szCs w:val="17"/>
          <w:color w:val="auto"/>
        </w:rPr>
        <w:t>716 with a no adverse event level of 500 milligrams per kilogram with intravenous dosing.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1a/1b Clinical Trial</w:t>
      </w:r>
    </w:p>
    <w:p>
      <w:pPr>
        <w:spacing w:after="0" w:line="225" w:lineRule="exact"/>
        <w:rPr>
          <w:sz w:val="20"/>
          <w:szCs w:val="20"/>
          <w:color w:val="auto"/>
        </w:rPr>
      </w:pPr>
    </w:p>
    <w:p>
      <w:pPr>
        <w:ind w:right="140" w:firstLine="648"/>
        <w:spacing w:after="0" w:line="221" w:lineRule="exact"/>
        <w:rPr>
          <w:sz w:val="20"/>
          <w:szCs w:val="20"/>
          <w:color w:val="auto"/>
        </w:rPr>
      </w:pPr>
      <w:r>
        <w:rPr>
          <w:rFonts w:ascii="Arial" w:cs="Arial" w:eastAsia="Arial" w:hAnsi="Arial"/>
          <w:sz w:val="18"/>
          <w:szCs w:val="18"/>
          <w:color w:val="auto"/>
        </w:rPr>
        <w:t>In early 2017, we filed an IND application and began clinical development with KPL</w:t>
      </w:r>
      <w:r>
        <w:rPr>
          <w:rFonts w:ascii="MS PGothic" w:cs="MS PGothic" w:eastAsia="MS PGothic" w:hAnsi="MS PGothic"/>
          <w:sz w:val="18"/>
          <w:szCs w:val="18"/>
          <w:color w:val="auto"/>
        </w:rPr>
        <w:t>‑</w:t>
      </w:r>
      <w:r>
        <w:rPr>
          <w:rFonts w:ascii="Arial" w:cs="Arial" w:eastAsia="Arial" w:hAnsi="Arial"/>
          <w:sz w:val="18"/>
          <w:szCs w:val="18"/>
          <w:color w:val="auto"/>
        </w:rPr>
        <w:t>716 in a Phase 1a/1b clinical trial in healthy volunteers and in subjects with moderate</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severe atopic dermatitis experiencing moderate</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severe pruritus, respectively.</w:t>
      </w:r>
    </w:p>
    <w:p>
      <w:pPr>
        <w:spacing w:after="0" w:line="20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The first portion of the Phase 1a/1b clinical trial utilized a randomized, double</w:t>
      </w:r>
      <w:r>
        <w:rPr>
          <w:rFonts w:ascii="MS PGothic" w:cs="MS PGothic" w:eastAsia="MS PGothic" w:hAnsi="MS PGothic"/>
          <w:sz w:val="18"/>
          <w:szCs w:val="18"/>
          <w:color w:val="auto"/>
        </w:rPr>
        <w:t>‑</w:t>
      </w:r>
      <w:r>
        <w:rPr>
          <w:rFonts w:ascii="Arial" w:cs="Arial" w:eastAsia="Arial" w:hAnsi="Arial"/>
          <w:sz w:val="18"/>
          <w:szCs w:val="18"/>
          <w:color w:val="auto"/>
        </w:rPr>
        <w:t>blind, placebo</w:t>
      </w:r>
      <w:r>
        <w:rPr>
          <w:rFonts w:ascii="MS PGothic" w:cs="MS PGothic" w:eastAsia="MS PGothic" w:hAnsi="MS PGothic"/>
          <w:sz w:val="18"/>
          <w:szCs w:val="18"/>
          <w:color w:val="auto"/>
        </w:rPr>
        <w:t>‑</w:t>
      </w:r>
      <w:r>
        <w:rPr>
          <w:rFonts w:ascii="Arial" w:cs="Arial" w:eastAsia="Arial" w:hAnsi="Arial"/>
          <w:sz w:val="18"/>
          <w:szCs w:val="18"/>
          <w:color w:val="auto"/>
        </w:rPr>
        <w:t>controlled,</w:t>
      </w:r>
    </w:p>
    <w:p>
      <w:pPr>
        <w:spacing w:after="0" w:line="2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single</w:t>
      </w:r>
      <w:r>
        <w:rPr>
          <w:rFonts w:ascii="MS PGothic" w:cs="MS PGothic" w:eastAsia="MS PGothic" w:hAnsi="MS PGothic"/>
          <w:sz w:val="16"/>
          <w:szCs w:val="16"/>
          <w:color w:val="auto"/>
        </w:rPr>
        <w:t>‑</w:t>
      </w:r>
      <w:r>
        <w:rPr>
          <w:rFonts w:ascii="Arial" w:cs="Arial" w:eastAsia="Arial" w:hAnsi="Arial"/>
          <w:sz w:val="16"/>
          <w:szCs w:val="16"/>
          <w:color w:val="auto"/>
        </w:rPr>
        <w:t>ascending</w:t>
      </w:r>
      <w:r>
        <w:rPr>
          <w:rFonts w:ascii="MS PGothic" w:cs="MS PGothic" w:eastAsia="MS PGothic" w:hAnsi="MS PGothic"/>
          <w:sz w:val="16"/>
          <w:szCs w:val="16"/>
          <w:color w:val="auto"/>
        </w:rPr>
        <w:t>‑</w:t>
      </w:r>
      <w:r>
        <w:rPr>
          <w:rFonts w:ascii="Arial" w:cs="Arial" w:eastAsia="Arial" w:hAnsi="Arial"/>
          <w:sz w:val="16"/>
          <w:szCs w:val="16"/>
          <w:color w:val="auto"/>
        </w:rPr>
        <w:t>dose, sequential</w:t>
      </w:r>
      <w:r>
        <w:rPr>
          <w:rFonts w:ascii="MS PGothic" w:cs="MS PGothic" w:eastAsia="MS PGothic" w:hAnsi="MS PGothic"/>
          <w:sz w:val="16"/>
          <w:szCs w:val="16"/>
          <w:color w:val="auto"/>
        </w:rPr>
        <w:t>‑</w:t>
      </w:r>
      <w:r>
        <w:rPr>
          <w:rFonts w:ascii="Arial" w:cs="Arial" w:eastAsia="Arial" w:hAnsi="Arial"/>
          <w:sz w:val="16"/>
          <w:szCs w:val="16"/>
          <w:color w:val="auto"/>
        </w:rPr>
        <w:t>group design to evaluate the safety, tolerability, pharmacokinetics and immunogenicity of</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KPL</w:t>
      </w:r>
      <w:r>
        <w:rPr>
          <w:rFonts w:ascii="MS PGothic" w:cs="MS PGothic" w:eastAsia="MS PGothic" w:hAnsi="MS PGothic"/>
          <w:sz w:val="18"/>
          <w:szCs w:val="18"/>
          <w:color w:val="auto"/>
        </w:rPr>
        <w:t>‑</w:t>
      </w:r>
      <w:r>
        <w:rPr>
          <w:rFonts w:ascii="Arial" w:cs="Arial" w:eastAsia="Arial" w:hAnsi="Arial"/>
          <w:sz w:val="18"/>
          <w:szCs w:val="18"/>
          <w:color w:val="auto"/>
        </w:rPr>
        <w:t>716 in healthy volunteers and subjects with atopic dermatitis following IV or SC</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23" w:lineRule="exact"/>
        <w:rPr>
          <w:sz w:val="20"/>
          <w:szCs w:val="20"/>
          <w:color w:val="auto"/>
        </w:rPr>
      </w:pPr>
      <w:r>
        <w:rPr>
          <w:rFonts w:ascii="Arial" w:cs="Arial" w:eastAsia="Arial" w:hAnsi="Arial"/>
          <w:sz w:val="18"/>
          <w:szCs w:val="18"/>
          <w:color w:val="auto"/>
        </w:rPr>
        <w:t>administration. We used the pruritis in atopic dermatitis as a proxy for IL</w:t>
      </w:r>
      <w:r>
        <w:rPr>
          <w:rFonts w:ascii="MS PGothic" w:cs="MS PGothic" w:eastAsia="MS PGothic" w:hAnsi="MS PGothic"/>
          <w:sz w:val="18"/>
          <w:szCs w:val="18"/>
          <w:color w:val="auto"/>
        </w:rPr>
        <w:t>‑</w:t>
      </w:r>
      <w:r>
        <w:rPr>
          <w:rFonts w:ascii="Arial" w:cs="Arial" w:eastAsia="Arial" w:hAnsi="Arial"/>
          <w:sz w:val="18"/>
          <w:szCs w:val="18"/>
          <w:color w:val="auto"/>
        </w:rPr>
        <w:t>31</w:t>
      </w:r>
      <w:r>
        <w:rPr>
          <w:rFonts w:ascii="MS PGothic" w:cs="MS PGothic" w:eastAsia="MS PGothic" w:hAnsi="MS PGothic"/>
          <w:sz w:val="18"/>
          <w:szCs w:val="18"/>
          <w:color w:val="auto"/>
        </w:rPr>
        <w:t>‑</w:t>
      </w:r>
      <w:r>
        <w:rPr>
          <w:rFonts w:ascii="Arial" w:cs="Arial" w:eastAsia="Arial" w:hAnsi="Arial"/>
          <w:sz w:val="18"/>
          <w:szCs w:val="18"/>
          <w:color w:val="auto"/>
        </w:rPr>
        <w:t>driven pruritic diseases, including prurigo nodularis.</w:t>
      </w:r>
    </w:p>
    <w:p>
      <w:pPr>
        <w:spacing w:after="0" w:line="203"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In total, 50 healthy volunteers and 32 subjects with moderate</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severe atopic dermatitis experiencing</w:t>
      </w:r>
    </w:p>
    <w:p>
      <w:pPr>
        <w:spacing w:after="0" w:line="2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moderate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severe pruritus received a single dose of KPL</w:t>
      </w:r>
      <w:r>
        <w:rPr>
          <w:rFonts w:ascii="MS PGothic" w:cs="MS PGothic" w:eastAsia="MS PGothic" w:hAnsi="MS PGothic"/>
          <w:sz w:val="16"/>
          <w:szCs w:val="16"/>
          <w:color w:val="auto"/>
        </w:rPr>
        <w:t>‑</w:t>
      </w:r>
      <w:r>
        <w:rPr>
          <w:rFonts w:ascii="Arial" w:cs="Arial" w:eastAsia="Arial" w:hAnsi="Arial"/>
          <w:sz w:val="16"/>
          <w:szCs w:val="16"/>
          <w:color w:val="auto"/>
        </w:rPr>
        <w:t>716 or placebo in the Phase 1a/1b clinical trial, with the top dose</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of 20 mg/kg IV in healthy volunteers and 7.5 mg/kg IV in subjects with atopic dermatitis. There was a seven</w:t>
      </w:r>
      <w:r>
        <w:rPr>
          <w:rFonts w:ascii="MS PGothic" w:cs="MS PGothic" w:eastAsia="MS PGothic" w:hAnsi="MS PGothic"/>
          <w:sz w:val="16"/>
          <w:szCs w:val="16"/>
          <w:color w:val="auto"/>
        </w:rPr>
        <w:t>‑</w:t>
      </w:r>
      <w:r>
        <w:rPr>
          <w:rFonts w:ascii="Arial" w:cs="Arial" w:eastAsia="Arial" w:hAnsi="Arial"/>
          <w:sz w:val="16"/>
          <w:szCs w:val="16"/>
          <w:color w:val="auto"/>
        </w:rPr>
        <w:t>day wash 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of prior therapies for all subjects with atopic dermatitis before treatment, and topical corticosteroids, or TCS, were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allowed through day 28. All subjects were given TSC to use as needed after day 28, and rescue medication was provided for</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atopic dermatitis flares throughout the study. KPL</w:t>
      </w:r>
      <w:r>
        <w:rPr>
          <w:rFonts w:ascii="MS PGothic" w:cs="MS PGothic" w:eastAsia="MS PGothic" w:hAnsi="MS PGothic"/>
          <w:sz w:val="17"/>
          <w:szCs w:val="17"/>
          <w:color w:val="auto"/>
        </w:rPr>
        <w:t>‑</w:t>
      </w:r>
      <w:r>
        <w:rPr>
          <w:rFonts w:ascii="Arial" w:cs="Arial" w:eastAsia="Arial" w:hAnsi="Arial"/>
          <w:sz w:val="17"/>
          <w:szCs w:val="17"/>
          <w:color w:val="auto"/>
        </w:rPr>
        <w:t>716 was well</w:t>
      </w:r>
      <w:r>
        <w:rPr>
          <w:rFonts w:ascii="MS PGothic" w:cs="MS PGothic" w:eastAsia="MS PGothic" w:hAnsi="MS PGothic"/>
          <w:sz w:val="17"/>
          <w:szCs w:val="17"/>
          <w:color w:val="auto"/>
        </w:rPr>
        <w:t>‑</w:t>
      </w:r>
      <w:r>
        <w:rPr>
          <w:rFonts w:ascii="Arial" w:cs="Arial" w:eastAsia="Arial" w:hAnsi="Arial"/>
          <w:sz w:val="17"/>
          <w:szCs w:val="17"/>
          <w:color w:val="auto"/>
        </w:rPr>
        <w:t>tolerated, no dose</w:t>
      </w:r>
      <w:r>
        <w:rPr>
          <w:rFonts w:ascii="MS PGothic" w:cs="MS PGothic" w:eastAsia="MS PGothic" w:hAnsi="MS PGothic"/>
          <w:sz w:val="17"/>
          <w:szCs w:val="17"/>
          <w:color w:val="auto"/>
        </w:rPr>
        <w:t>‑</w:t>
      </w:r>
      <w:r>
        <w:rPr>
          <w:rFonts w:ascii="Arial" w:cs="Arial" w:eastAsia="Arial" w:hAnsi="Arial"/>
          <w:sz w:val="17"/>
          <w:szCs w:val="17"/>
          <w:color w:val="auto"/>
        </w:rPr>
        <w:t>limiting toxicities were observed, and</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there were no serious adverse events. All drug</w:t>
      </w:r>
      <w:r>
        <w:rPr>
          <w:rFonts w:ascii="MS PGothic" w:cs="MS PGothic" w:eastAsia="MS PGothic" w:hAnsi="MS PGothic"/>
          <w:sz w:val="17"/>
          <w:szCs w:val="17"/>
          <w:color w:val="auto"/>
        </w:rPr>
        <w:t>‑</w:t>
      </w:r>
      <w:r>
        <w:rPr>
          <w:rFonts w:ascii="Arial" w:cs="Arial" w:eastAsia="Arial" w:hAnsi="Arial"/>
          <w:sz w:val="17"/>
          <w:szCs w:val="17"/>
          <w:color w:val="auto"/>
        </w:rPr>
        <w:t>related or potentially drug</w:t>
      </w:r>
      <w:r>
        <w:rPr>
          <w:rFonts w:ascii="MS PGothic" w:cs="MS PGothic" w:eastAsia="MS PGothic" w:hAnsi="MS PGothic"/>
          <w:sz w:val="17"/>
          <w:szCs w:val="17"/>
          <w:color w:val="auto"/>
        </w:rPr>
        <w:t>‑</w:t>
      </w:r>
      <w:r>
        <w:rPr>
          <w:rFonts w:ascii="Arial" w:cs="Arial" w:eastAsia="Arial" w:hAnsi="Arial"/>
          <w:sz w:val="17"/>
          <w:szCs w:val="17"/>
          <w:color w:val="auto"/>
        </w:rPr>
        <w:t>related treatment</w:t>
      </w:r>
      <w:r>
        <w:rPr>
          <w:rFonts w:ascii="MS PGothic" w:cs="MS PGothic" w:eastAsia="MS PGothic" w:hAnsi="MS PGothic"/>
          <w:sz w:val="17"/>
          <w:szCs w:val="17"/>
          <w:color w:val="auto"/>
        </w:rPr>
        <w:t>‑</w:t>
      </w:r>
      <w:r>
        <w:rPr>
          <w:rFonts w:ascii="Arial" w:cs="Arial" w:eastAsia="Arial" w:hAnsi="Arial"/>
          <w:sz w:val="17"/>
          <w:szCs w:val="17"/>
          <w:color w:val="auto"/>
        </w:rPr>
        <w:t>emergent adverse events, or</w:t>
      </w:r>
    </w:p>
    <w:p>
      <w:pPr>
        <w:spacing w:after="0" w:line="2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DR</w:t>
      </w:r>
      <w:r>
        <w:rPr>
          <w:rFonts w:ascii="MS PGothic" w:cs="MS PGothic" w:eastAsia="MS PGothic" w:hAnsi="MS PGothic"/>
          <w:sz w:val="18"/>
          <w:szCs w:val="18"/>
          <w:color w:val="auto"/>
        </w:rPr>
        <w:t>‑</w:t>
      </w:r>
      <w:r>
        <w:rPr>
          <w:rFonts w:ascii="Arial" w:cs="Arial" w:eastAsia="Arial" w:hAnsi="Arial"/>
          <w:sz w:val="18"/>
          <w:szCs w:val="18"/>
          <w:color w:val="auto"/>
        </w:rPr>
        <w:t>TEAE, were mild, except for one patient who experienced a moderate DR</w:t>
      </w:r>
      <w:r>
        <w:rPr>
          <w:rFonts w:ascii="MS PGothic" w:cs="MS PGothic" w:eastAsia="MS PGothic" w:hAnsi="MS PGothic"/>
          <w:sz w:val="18"/>
          <w:szCs w:val="18"/>
          <w:color w:val="auto"/>
        </w:rPr>
        <w:t>‑</w:t>
      </w:r>
      <w:r>
        <w:rPr>
          <w:rFonts w:ascii="Arial" w:cs="Arial" w:eastAsia="Arial" w:hAnsi="Arial"/>
          <w:sz w:val="18"/>
          <w:szCs w:val="18"/>
          <w:color w:val="auto"/>
        </w:rPr>
        <w:t>TEAE of dizziness.</w:t>
      </w:r>
    </w:p>
    <w:p>
      <w:pPr>
        <w:spacing w:after="0" w:line="211"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KPL</w:t>
      </w:r>
      <w:r>
        <w:rPr>
          <w:rFonts w:ascii="MS PGothic" w:cs="MS PGothic" w:eastAsia="MS PGothic" w:hAnsi="MS PGothic"/>
          <w:sz w:val="18"/>
          <w:szCs w:val="18"/>
          <w:color w:val="auto"/>
        </w:rPr>
        <w:t>‑</w:t>
      </w:r>
      <w:r>
        <w:rPr>
          <w:rFonts w:ascii="Arial" w:cs="Arial" w:eastAsia="Arial" w:hAnsi="Arial"/>
          <w:sz w:val="18"/>
          <w:szCs w:val="18"/>
          <w:color w:val="auto"/>
        </w:rPr>
        <w:t>716 showed dose</w:t>
      </w:r>
      <w:r>
        <w:rPr>
          <w:rFonts w:ascii="MS PGothic" w:cs="MS PGothic" w:eastAsia="MS PGothic" w:hAnsi="MS PGothic"/>
          <w:sz w:val="18"/>
          <w:szCs w:val="18"/>
          <w:color w:val="auto"/>
        </w:rPr>
        <w:t>‑</w:t>
      </w:r>
      <w:r>
        <w:rPr>
          <w:rFonts w:ascii="Arial" w:cs="Arial" w:eastAsia="Arial" w:hAnsi="Arial"/>
          <w:sz w:val="18"/>
          <w:szCs w:val="18"/>
          <w:color w:val="auto"/>
        </w:rPr>
        <w:t>dependent elimination consistent with a target</w:t>
      </w:r>
      <w:r>
        <w:rPr>
          <w:rFonts w:ascii="MS PGothic" w:cs="MS PGothic" w:eastAsia="MS PGothic" w:hAnsi="MS PGothic"/>
          <w:sz w:val="18"/>
          <w:szCs w:val="18"/>
          <w:color w:val="auto"/>
        </w:rPr>
        <w:t>‑</w:t>
      </w:r>
      <w:r>
        <w:rPr>
          <w:rFonts w:ascii="Arial" w:cs="Arial" w:eastAsia="Arial" w:hAnsi="Arial"/>
          <w:sz w:val="18"/>
          <w:szCs w:val="18"/>
          <w:color w:val="auto"/>
        </w:rPr>
        <w:t>mediated drug disposition profile and was still detectable at least eight weeks after the high dose of 7.5 mg/kg IV in subjects with atopic dermatitis. We believe the available pharmacokinetic and bioavailability data are supportive of testing once every other week or once monthly SC dosing regimens in subsequent studies of KPL</w:t>
      </w:r>
      <w:r>
        <w:rPr>
          <w:rFonts w:ascii="MS PGothic" w:cs="MS PGothic" w:eastAsia="MS PGothic" w:hAnsi="MS PGothic"/>
          <w:sz w:val="18"/>
          <w:szCs w:val="18"/>
          <w:color w:val="auto"/>
        </w:rPr>
        <w:t>‑</w:t>
      </w:r>
      <w:r>
        <w:rPr>
          <w:rFonts w:ascii="Arial" w:cs="Arial" w:eastAsia="Arial" w:hAnsi="Arial"/>
          <w:sz w:val="18"/>
          <w:szCs w:val="18"/>
          <w:color w:val="auto"/>
        </w:rPr>
        <w:t>716.</w:t>
      </w:r>
    </w:p>
    <w:p>
      <w:pPr>
        <w:spacing w:after="0" w:line="204" w:lineRule="exact"/>
        <w:rPr>
          <w:sz w:val="20"/>
          <w:szCs w:val="20"/>
          <w:color w:val="auto"/>
        </w:rPr>
      </w:pPr>
    </w:p>
    <w:p>
      <w:pPr>
        <w:jc w:val="both"/>
        <w:ind w:right="60" w:firstLine="648"/>
        <w:spacing w:after="0" w:line="221" w:lineRule="exact"/>
        <w:rPr>
          <w:sz w:val="20"/>
          <w:szCs w:val="20"/>
          <w:color w:val="auto"/>
        </w:rPr>
      </w:pPr>
      <w:r>
        <w:rPr>
          <w:rFonts w:ascii="Arial" w:cs="Arial" w:eastAsia="Arial" w:hAnsi="Arial"/>
          <w:sz w:val="18"/>
          <w:szCs w:val="18"/>
          <w:color w:val="auto"/>
        </w:rPr>
        <w:t>An exploratory analysis of data in ten subjects with moderate</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severe atopic dermatitis receiving a single dose of KPL</w:t>
      </w:r>
      <w:r>
        <w:rPr>
          <w:rFonts w:ascii="MS PGothic" w:cs="MS PGothic" w:eastAsia="MS PGothic" w:hAnsi="MS PGothic"/>
          <w:sz w:val="18"/>
          <w:szCs w:val="18"/>
          <w:color w:val="auto"/>
        </w:rPr>
        <w:t>‑</w:t>
      </w:r>
      <w:r>
        <w:rPr>
          <w:rFonts w:ascii="Arial" w:cs="Arial" w:eastAsia="Arial" w:hAnsi="Arial"/>
          <w:sz w:val="18"/>
          <w:szCs w:val="18"/>
          <w:color w:val="auto"/>
        </w:rPr>
        <w:t>716 7.5 mg/kg IV versus ten pooled placebo IV recipients provided an early signal of efficacy for KPL</w:t>
      </w:r>
      <w:r>
        <w:rPr>
          <w:rFonts w:ascii="MS PGothic" w:cs="MS PGothic" w:eastAsia="MS PGothic" w:hAnsi="MS PGothic"/>
          <w:sz w:val="18"/>
          <w:szCs w:val="18"/>
          <w:color w:val="auto"/>
        </w:rPr>
        <w:t>‑</w:t>
      </w:r>
      <w:r>
        <w:rPr>
          <w:rFonts w:ascii="Arial" w:cs="Arial" w:eastAsia="Arial" w:hAnsi="Arial"/>
          <w:sz w:val="18"/>
          <w:szCs w:val="18"/>
          <w:color w:val="auto"/>
        </w:rPr>
        <w:t>716 in reducing pruritus, indicative of target engagement. Among these groups, we observed:</w:t>
      </w:r>
    </w:p>
    <w:p>
      <w:pPr>
        <w:spacing w:after="0" w:line="202" w:lineRule="exact"/>
        <w:rPr>
          <w:sz w:val="20"/>
          <w:szCs w:val="20"/>
          <w:color w:val="auto"/>
        </w:rPr>
      </w:pPr>
    </w:p>
    <w:p>
      <w:pPr>
        <w:ind w:left="980" w:right="20" w:hanging="329"/>
        <w:spacing w:after="0" w:line="221" w:lineRule="exact"/>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Mean percentage change in weekly</w:t>
      </w:r>
      <w:r>
        <w:rPr>
          <w:rFonts w:ascii="MS PGothic" w:cs="MS PGothic" w:eastAsia="MS PGothic" w:hAnsi="MS PGothic"/>
          <w:sz w:val="18"/>
          <w:szCs w:val="18"/>
          <w:color w:val="auto"/>
        </w:rPr>
        <w:t>‑</w:t>
      </w:r>
      <w:r>
        <w:rPr>
          <w:rFonts w:ascii="Arial" w:cs="Arial" w:eastAsia="Arial" w:hAnsi="Arial"/>
          <w:sz w:val="18"/>
          <w:szCs w:val="18"/>
          <w:color w:val="auto"/>
        </w:rPr>
        <w:t>average Worst</w:t>
      </w:r>
      <w:r>
        <w:rPr>
          <w:rFonts w:ascii="MS PGothic" w:cs="MS PGothic" w:eastAsia="MS PGothic" w:hAnsi="MS PGothic"/>
          <w:sz w:val="18"/>
          <w:szCs w:val="18"/>
          <w:color w:val="auto"/>
        </w:rPr>
        <w:t>‑</w:t>
      </w:r>
      <w:r>
        <w:rPr>
          <w:rFonts w:ascii="Arial" w:cs="Arial" w:eastAsia="Arial" w:hAnsi="Arial"/>
          <w:sz w:val="18"/>
          <w:szCs w:val="18"/>
          <w:color w:val="auto"/>
        </w:rPr>
        <w:t>Itch Numeric Rating Scale, or WI</w:t>
      </w:r>
      <w:r>
        <w:rPr>
          <w:rFonts w:ascii="MS PGothic" w:cs="MS PGothic" w:eastAsia="MS PGothic" w:hAnsi="MS PGothic"/>
          <w:sz w:val="18"/>
          <w:szCs w:val="18"/>
          <w:color w:val="auto"/>
        </w:rPr>
        <w:t>‑</w:t>
      </w:r>
      <w:r>
        <w:rPr>
          <w:rFonts w:ascii="Arial" w:cs="Arial" w:eastAsia="Arial" w:hAnsi="Arial"/>
          <w:sz w:val="18"/>
          <w:szCs w:val="18"/>
          <w:color w:val="auto"/>
        </w:rPr>
        <w:t>NRS, decreased by 40.4% in KPL</w:t>
      </w:r>
      <w:r>
        <w:rPr>
          <w:rFonts w:ascii="MS PGothic" w:cs="MS PGothic" w:eastAsia="MS PGothic" w:hAnsi="MS PGothic"/>
          <w:sz w:val="18"/>
          <w:szCs w:val="18"/>
          <w:color w:val="auto"/>
        </w:rPr>
        <w:t>‑</w:t>
      </w:r>
      <w:r>
        <w:rPr>
          <w:rFonts w:ascii="Arial" w:cs="Arial" w:eastAsia="Arial" w:hAnsi="Arial"/>
          <w:sz w:val="18"/>
          <w:szCs w:val="18"/>
          <w:color w:val="auto"/>
        </w:rPr>
        <w:t>716 recipients compared to a 17.6% decrease in placebo recipients at day 28 in the absence of concomitant TCS.</w:t>
      </w:r>
    </w:p>
    <w:p>
      <w:pPr>
        <w:spacing w:after="0" w:line="201" w:lineRule="exact"/>
        <w:rPr>
          <w:rFonts w:ascii="Arial" w:cs="Arial" w:eastAsia="Arial" w:hAnsi="Arial"/>
          <w:sz w:val="18"/>
          <w:szCs w:val="18"/>
          <w:color w:val="auto"/>
        </w:rPr>
      </w:pPr>
    </w:p>
    <w:p>
      <w:pPr>
        <w:ind w:left="980" w:right="200" w:hanging="329"/>
        <w:spacing w:after="0" w:line="224" w:lineRule="exact"/>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Mean percentage change in pruritus Visual Analog Scale, or VAS, decreased by 55.4% in KPL</w:t>
      </w:r>
      <w:r>
        <w:rPr>
          <w:rFonts w:ascii="MS PGothic" w:cs="MS PGothic" w:eastAsia="MS PGothic" w:hAnsi="MS PGothic"/>
          <w:sz w:val="16"/>
          <w:szCs w:val="16"/>
          <w:color w:val="auto"/>
        </w:rPr>
        <w:t>‑</w:t>
      </w:r>
      <w:r>
        <w:rPr>
          <w:rFonts w:ascii="Arial" w:cs="Arial" w:eastAsia="Arial" w:hAnsi="Arial"/>
          <w:sz w:val="16"/>
          <w:szCs w:val="16"/>
          <w:color w:val="auto"/>
        </w:rPr>
        <w:t>716 recipients compared to a 10.4% decrease in placebo recipients at day 28 in the absence of concomitant TCS.</w:t>
      </w:r>
    </w:p>
    <w:p>
      <w:pPr>
        <w:spacing w:after="0" w:line="202" w:lineRule="exact"/>
        <w:rPr>
          <w:rFonts w:ascii="Arial" w:cs="Arial" w:eastAsia="Arial" w:hAnsi="Arial"/>
          <w:sz w:val="16"/>
          <w:szCs w:val="16"/>
          <w:color w:val="auto"/>
        </w:rPr>
      </w:pPr>
    </w:p>
    <w:p>
      <w:pPr>
        <w:ind w:left="980" w:right="340" w:hanging="329"/>
        <w:spacing w:after="0" w:line="223" w:lineRule="exact"/>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50% of KPL</w:t>
      </w:r>
      <w:r>
        <w:rPr>
          <w:rFonts w:ascii="MS PGothic" w:cs="MS PGothic" w:eastAsia="MS PGothic" w:hAnsi="MS PGothic"/>
          <w:sz w:val="18"/>
          <w:szCs w:val="18"/>
          <w:color w:val="auto"/>
        </w:rPr>
        <w:t>‑</w:t>
      </w:r>
      <w:r>
        <w:rPr>
          <w:rFonts w:ascii="Arial" w:cs="Arial" w:eastAsia="Arial" w:hAnsi="Arial"/>
          <w:sz w:val="18"/>
          <w:szCs w:val="18"/>
          <w:color w:val="auto"/>
        </w:rPr>
        <w:t>716 recipients showed a ≥ 4</w:t>
      </w:r>
      <w:r>
        <w:rPr>
          <w:rFonts w:ascii="MS PGothic" w:cs="MS PGothic" w:eastAsia="MS PGothic" w:hAnsi="MS PGothic"/>
          <w:sz w:val="18"/>
          <w:szCs w:val="18"/>
          <w:color w:val="auto"/>
        </w:rPr>
        <w:t>‑</w:t>
      </w:r>
      <w:r>
        <w:rPr>
          <w:rFonts w:ascii="Arial" w:cs="Arial" w:eastAsia="Arial" w:hAnsi="Arial"/>
          <w:sz w:val="18"/>
          <w:szCs w:val="18"/>
          <w:color w:val="auto"/>
        </w:rPr>
        <w:t>point reduction in weekly</w:t>
      </w:r>
      <w:r>
        <w:rPr>
          <w:rFonts w:ascii="MS PGothic" w:cs="MS PGothic" w:eastAsia="MS PGothic" w:hAnsi="MS PGothic"/>
          <w:sz w:val="18"/>
          <w:szCs w:val="18"/>
          <w:color w:val="auto"/>
        </w:rPr>
        <w:t>‑</w:t>
      </w:r>
      <w:r>
        <w:rPr>
          <w:rFonts w:ascii="Arial" w:cs="Arial" w:eastAsia="Arial" w:hAnsi="Arial"/>
          <w:sz w:val="18"/>
          <w:szCs w:val="18"/>
          <w:color w:val="auto"/>
        </w:rPr>
        <w:t>average WI</w:t>
      </w:r>
      <w:r>
        <w:rPr>
          <w:rFonts w:ascii="MS PGothic" w:cs="MS PGothic" w:eastAsia="MS PGothic" w:hAnsi="MS PGothic"/>
          <w:sz w:val="18"/>
          <w:szCs w:val="18"/>
          <w:color w:val="auto"/>
        </w:rPr>
        <w:t>‑</w:t>
      </w:r>
      <w:r>
        <w:rPr>
          <w:rFonts w:ascii="Arial" w:cs="Arial" w:eastAsia="Arial" w:hAnsi="Arial"/>
          <w:sz w:val="18"/>
          <w:szCs w:val="18"/>
          <w:color w:val="auto"/>
        </w:rPr>
        <w:t>NRS, compared to 10% of placebo recipients at day 28 in the absence of concomitant TCS.</w:t>
      </w:r>
    </w:p>
    <w:p>
      <w:pPr>
        <w:spacing w:after="0" w:line="203" w:lineRule="exact"/>
        <w:rPr>
          <w:rFonts w:ascii="Arial" w:cs="Arial" w:eastAsia="Arial" w:hAnsi="Arial"/>
          <w:sz w:val="18"/>
          <w:szCs w:val="18"/>
          <w:color w:val="auto"/>
        </w:rPr>
      </w:pPr>
    </w:p>
    <w:p>
      <w:pPr>
        <w:ind w:left="980" w:right="140" w:hanging="329"/>
        <w:spacing w:after="0" w:line="223" w:lineRule="exact"/>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maximum decrease in WI</w:t>
      </w:r>
      <w:r>
        <w:rPr>
          <w:rFonts w:ascii="MS PGothic" w:cs="MS PGothic" w:eastAsia="MS PGothic" w:hAnsi="MS PGothic"/>
          <w:sz w:val="18"/>
          <w:szCs w:val="18"/>
          <w:color w:val="auto"/>
        </w:rPr>
        <w:t>‑</w:t>
      </w:r>
      <w:r>
        <w:rPr>
          <w:rFonts w:ascii="Arial" w:cs="Arial" w:eastAsia="Arial" w:hAnsi="Arial"/>
          <w:sz w:val="18"/>
          <w:szCs w:val="18"/>
          <w:color w:val="auto"/>
        </w:rPr>
        <w:t>NRS at day 28 in the absence of concomitant TCS was ≥ 8 points (1 subject) in KPL</w:t>
      </w:r>
      <w:r>
        <w:rPr>
          <w:rFonts w:ascii="MS PGothic" w:cs="MS PGothic" w:eastAsia="MS PGothic" w:hAnsi="MS PGothic"/>
          <w:sz w:val="18"/>
          <w:szCs w:val="18"/>
          <w:color w:val="auto"/>
        </w:rPr>
        <w:t>‑</w:t>
      </w:r>
      <w:r>
        <w:rPr>
          <w:rFonts w:ascii="Arial" w:cs="Arial" w:eastAsia="Arial" w:hAnsi="Arial"/>
          <w:sz w:val="18"/>
          <w:szCs w:val="18"/>
          <w:color w:val="auto"/>
        </w:rPr>
        <w:t>716 recipients compared to a maximum decrease of 4 points in placebo recipients.</w:t>
      </w:r>
    </w:p>
    <w:p>
      <w:pPr>
        <w:spacing w:after="0" w:line="203" w:lineRule="exact"/>
        <w:rPr>
          <w:rFonts w:ascii="Arial" w:cs="Arial" w:eastAsia="Arial" w:hAnsi="Arial"/>
          <w:sz w:val="18"/>
          <w:szCs w:val="18"/>
          <w:color w:val="auto"/>
        </w:rPr>
      </w:pPr>
    </w:p>
    <w:p>
      <w:pPr>
        <w:ind w:left="980" w:right="240" w:hanging="329"/>
        <w:spacing w:after="0" w:line="223" w:lineRule="exact"/>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KPL</w:t>
      </w:r>
      <w:r>
        <w:rPr>
          <w:rFonts w:ascii="MS PGothic" w:cs="MS PGothic" w:eastAsia="MS PGothic" w:hAnsi="MS PGothic"/>
          <w:sz w:val="18"/>
          <w:szCs w:val="18"/>
          <w:color w:val="auto"/>
        </w:rPr>
        <w:t>‑</w:t>
      </w:r>
      <w:r>
        <w:rPr>
          <w:rFonts w:ascii="Arial" w:cs="Arial" w:eastAsia="Arial" w:hAnsi="Arial"/>
          <w:sz w:val="18"/>
          <w:szCs w:val="18"/>
          <w:color w:val="auto"/>
        </w:rPr>
        <w:t>716 appeared to show a persistent effect on weekly</w:t>
      </w:r>
      <w:r>
        <w:rPr>
          <w:rFonts w:ascii="MS PGothic" w:cs="MS PGothic" w:eastAsia="MS PGothic" w:hAnsi="MS PGothic"/>
          <w:sz w:val="18"/>
          <w:szCs w:val="18"/>
          <w:color w:val="auto"/>
        </w:rPr>
        <w:t>‑</w:t>
      </w:r>
      <w:r>
        <w:rPr>
          <w:rFonts w:ascii="Arial" w:cs="Arial" w:eastAsia="Arial" w:hAnsi="Arial"/>
          <w:sz w:val="18"/>
          <w:szCs w:val="18"/>
          <w:color w:val="auto"/>
        </w:rPr>
        <w:t>average WI</w:t>
      </w:r>
      <w:r>
        <w:rPr>
          <w:rFonts w:ascii="MS PGothic" w:cs="MS PGothic" w:eastAsia="MS PGothic" w:hAnsi="MS PGothic"/>
          <w:sz w:val="18"/>
          <w:szCs w:val="18"/>
          <w:color w:val="auto"/>
        </w:rPr>
        <w:t>‑</w:t>
      </w:r>
      <w:r>
        <w:rPr>
          <w:rFonts w:ascii="Arial" w:cs="Arial" w:eastAsia="Arial" w:hAnsi="Arial"/>
          <w:sz w:val="18"/>
          <w:szCs w:val="18"/>
          <w:color w:val="auto"/>
        </w:rPr>
        <w:t>NRS in the period after day 28 through day 56, during which concomitant TCS use was permitted.</w:t>
      </w:r>
    </w:p>
    <w:p>
      <w:pPr>
        <w:spacing w:after="0" w:line="203" w:lineRule="exact"/>
        <w:rPr>
          <w:rFonts w:ascii="Arial" w:cs="Arial" w:eastAsia="Arial" w:hAnsi="Arial"/>
          <w:sz w:val="18"/>
          <w:szCs w:val="18"/>
          <w:color w:val="auto"/>
        </w:rPr>
      </w:pPr>
    </w:p>
    <w:p>
      <w:pPr>
        <w:ind w:left="980" w:right="460" w:hanging="329"/>
        <w:spacing w:after="0" w:line="223" w:lineRule="exact"/>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KPL</w:t>
      </w:r>
      <w:r>
        <w:rPr>
          <w:rFonts w:ascii="MS PGothic" w:cs="MS PGothic" w:eastAsia="MS PGothic" w:hAnsi="MS PGothic"/>
          <w:sz w:val="18"/>
          <w:szCs w:val="18"/>
          <w:color w:val="auto"/>
        </w:rPr>
        <w:t>‑</w:t>
      </w:r>
      <w:r>
        <w:rPr>
          <w:rFonts w:ascii="Arial" w:cs="Arial" w:eastAsia="Arial" w:hAnsi="Arial"/>
          <w:sz w:val="18"/>
          <w:szCs w:val="18"/>
          <w:color w:val="auto"/>
        </w:rPr>
        <w:t>716 recipients reported a 59.5% decrease in sleep</w:t>
      </w:r>
      <w:r>
        <w:rPr>
          <w:rFonts w:ascii="MS PGothic" w:cs="MS PGothic" w:eastAsia="MS PGothic" w:hAnsi="MS PGothic"/>
          <w:sz w:val="18"/>
          <w:szCs w:val="18"/>
          <w:color w:val="auto"/>
        </w:rPr>
        <w:t>‑</w:t>
      </w:r>
      <w:r>
        <w:rPr>
          <w:rFonts w:ascii="Arial" w:cs="Arial" w:eastAsia="Arial" w:hAnsi="Arial"/>
          <w:sz w:val="18"/>
          <w:szCs w:val="18"/>
          <w:color w:val="auto"/>
        </w:rPr>
        <w:t>loss VAS compared to a 2.3% decrease in placebo recipients at day 28 in the absence of concomitant TCS.</w:t>
      </w:r>
    </w:p>
    <w:p>
      <w:pPr>
        <w:spacing w:after="0" w:line="203" w:lineRule="exact"/>
        <w:rPr>
          <w:rFonts w:ascii="Arial" w:cs="Arial" w:eastAsia="Arial" w:hAnsi="Arial"/>
          <w:sz w:val="18"/>
          <w:szCs w:val="18"/>
          <w:color w:val="auto"/>
        </w:rPr>
      </w:pPr>
    </w:p>
    <w:p>
      <w:pPr>
        <w:ind w:left="980" w:right="60" w:hanging="329"/>
        <w:spacing w:after="0" w:line="221" w:lineRule="exact"/>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mean percentage change in Eczema Area and Severity Index, or EASI (a standardized measure of atopic dermatitis disease severity), decreased by 42.3% in KPL</w:t>
      </w:r>
      <w:r>
        <w:rPr>
          <w:rFonts w:ascii="MS PGothic" w:cs="MS PGothic" w:eastAsia="MS PGothic" w:hAnsi="MS PGothic"/>
          <w:sz w:val="18"/>
          <w:szCs w:val="18"/>
          <w:color w:val="auto"/>
        </w:rPr>
        <w:t>‑</w:t>
      </w:r>
      <w:r>
        <w:rPr>
          <w:rFonts w:ascii="Arial" w:cs="Arial" w:eastAsia="Arial" w:hAnsi="Arial"/>
          <w:sz w:val="18"/>
          <w:szCs w:val="18"/>
          <w:color w:val="auto"/>
        </w:rPr>
        <w:t>716 recipients compared to a 25% decrease in placebo recipients at Day 28 in absence of concomitant TCS.</w:t>
      </w:r>
    </w:p>
    <w:p>
      <w:pPr>
        <w:spacing w:after="0" w:line="20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August of 2019 we reported interim results from the repeated-single-dose Phase 1b clinical trial. The Phase 1b trial used a weekly 360 mg SC dose in a randomized, double-blind, placebo-controlled design in order to evaluate safety and exploratory disease response markers. The 360 mg SC dose was intended to replicate and extend exposures from the prior single-ascending-dose Phase 1b clinical trial where an early signal of efficacy had been observed in reducing pruritus after a single 7.5 mg/kg intravenous dose. In the repeated-single-dose Phase 1b clinical trial, 43 subjects with moderate-to-severe atopic dermatitis were enrolled and randomized 1:1 to KPL-716 or placebo once weekly for 12 weeks. There was a seven-day wash out period of all other therapies before treatment, and topical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corticosteroids were not allowed throughout the 12-week treatment period. However, rescue medication was available for atopic dermatitis flares throughout the study. In an interim analysis of the data through the 12-week treatment period as of August 19, 2019, KPL-716 showed a rapid and sustained anti-pruritic response as measured by a reduction in Worst-Itch Numeric Rating Scale, or WI-NRS, in subjects with moderate-to-severe atopic dermatitis:</w:t>
      </w:r>
    </w:p>
    <w:p>
      <w:pPr>
        <w:spacing w:after="0" w:line="154" w:lineRule="exact"/>
        <w:rPr>
          <w:sz w:val="20"/>
          <w:szCs w:val="20"/>
          <w:color w:val="auto"/>
        </w:rPr>
      </w:pPr>
    </w:p>
    <w:p>
      <w:pPr>
        <w:ind w:left="1300" w:right="400" w:hanging="325"/>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Mean change from baseline in weekly-average WI-NRS at Week 1 was -28.1% in KPL-716 recipients compared to -6.8% in placebo recipients.</w:t>
      </w:r>
    </w:p>
    <w:p>
      <w:pPr>
        <w:spacing w:after="0" w:line="170" w:lineRule="exact"/>
        <w:rPr>
          <w:rFonts w:ascii="Arial" w:cs="Arial" w:eastAsia="Arial" w:hAnsi="Arial"/>
          <w:sz w:val="18"/>
          <w:szCs w:val="18"/>
          <w:color w:val="auto"/>
        </w:rPr>
      </w:pPr>
    </w:p>
    <w:p>
      <w:pPr>
        <w:ind w:left="1300" w:right="300" w:hanging="325"/>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Mean change from baseline in weekly-average WI-NRS at Week 12 was -55.0% in KPL-716 recipients compared to -30.9% in placebo recipients.</w:t>
      </w:r>
    </w:p>
    <w:p>
      <w:pPr>
        <w:spacing w:after="0" w:line="170" w:lineRule="exact"/>
        <w:rPr>
          <w:rFonts w:ascii="Arial" w:cs="Arial" w:eastAsia="Arial" w:hAnsi="Arial"/>
          <w:sz w:val="18"/>
          <w:szCs w:val="18"/>
          <w:color w:val="auto"/>
        </w:rPr>
      </w:pPr>
    </w:p>
    <w:p>
      <w:pPr>
        <w:ind w:left="1300" w:right="140" w:hanging="325"/>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52.6% of KPL-716 recipients demonstrated a ≥ 4-point reduction in weekly-average WI-NRS at Week 12 compared to 26.3% of placebo recipients.</w:t>
      </w:r>
    </w:p>
    <w:p>
      <w:pPr>
        <w:spacing w:after="0" w:line="170"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There was no meaningful benefit of repeated-single-doses of KPL-716 on other efficacy endpoints specific to atopic dermatitis, including EASI and Scoring Atopic Dermatitis, or SCORAD. There were no serious adverse events. However, there were more atopic dermatitis flares in the KPL-716-treated population versus placebo (47.6% versus 4.5%) through the 12-week treatment period; all subjects who experienced a flare were successfully managed with topical corticosteroids. KPL-716 was otherwise well-tolerated by all subjects. We believe these single</w:t>
      </w:r>
      <w:r>
        <w:rPr>
          <w:rFonts w:ascii="MS PGothic" w:cs="MS PGothic" w:eastAsia="MS PGothic" w:hAnsi="MS PGothic"/>
          <w:sz w:val="17"/>
          <w:szCs w:val="17"/>
          <w:color w:val="auto"/>
        </w:rPr>
        <w:t>‑</w:t>
      </w:r>
      <w:r>
        <w:rPr>
          <w:rFonts w:ascii="Arial" w:cs="Arial" w:eastAsia="Arial" w:hAnsi="Arial"/>
          <w:sz w:val="17"/>
          <w:szCs w:val="17"/>
          <w:color w:val="auto"/>
        </w:rPr>
        <w:t>dose and repeated-single doses study results provide proof</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principle for KPL</w:t>
      </w:r>
      <w:r>
        <w:rPr>
          <w:rFonts w:ascii="MS PGothic" w:cs="MS PGothic" w:eastAsia="MS PGothic" w:hAnsi="MS PGothic"/>
          <w:sz w:val="17"/>
          <w:szCs w:val="17"/>
          <w:color w:val="auto"/>
        </w:rPr>
        <w:t>‑</w:t>
      </w:r>
      <w:r>
        <w:rPr>
          <w:rFonts w:ascii="Arial" w:cs="Arial" w:eastAsia="Arial" w:hAnsi="Arial"/>
          <w:sz w:val="17"/>
          <w:szCs w:val="17"/>
          <w:color w:val="auto"/>
        </w:rPr>
        <w:t>716’s potential to treat a spectrum of IL</w:t>
      </w:r>
      <w:r>
        <w:rPr>
          <w:rFonts w:ascii="MS PGothic" w:cs="MS PGothic" w:eastAsia="MS PGothic" w:hAnsi="MS PGothic"/>
          <w:sz w:val="17"/>
          <w:szCs w:val="17"/>
          <w:color w:val="auto"/>
        </w:rPr>
        <w:t>‑</w:t>
      </w:r>
      <w:r>
        <w:rPr>
          <w:rFonts w:ascii="Arial" w:cs="Arial" w:eastAsia="Arial" w:hAnsi="Arial"/>
          <w:sz w:val="17"/>
          <w:szCs w:val="17"/>
          <w:color w:val="auto"/>
        </w:rPr>
        <w:t>31</w:t>
      </w:r>
      <w:r>
        <w:rPr>
          <w:rFonts w:ascii="MS PGothic" w:cs="MS PGothic" w:eastAsia="MS PGothic" w:hAnsi="MS PGothic"/>
          <w:sz w:val="17"/>
          <w:szCs w:val="17"/>
          <w:color w:val="auto"/>
        </w:rPr>
        <w:t>‑</w:t>
      </w:r>
      <w:r>
        <w:rPr>
          <w:rFonts w:ascii="Arial" w:cs="Arial" w:eastAsia="Arial" w:hAnsi="Arial"/>
          <w:sz w:val="17"/>
          <w:szCs w:val="17"/>
          <w:color w:val="auto"/>
        </w:rPr>
        <w:t>driven pruritic diseases and support our plans to advance KPL</w:t>
      </w:r>
      <w:r>
        <w:rPr>
          <w:rFonts w:ascii="MS PGothic" w:cs="MS PGothic" w:eastAsia="MS PGothic" w:hAnsi="MS PGothic"/>
          <w:sz w:val="17"/>
          <w:szCs w:val="17"/>
          <w:color w:val="auto"/>
        </w:rPr>
        <w:t>‑</w:t>
      </w:r>
      <w:r>
        <w:rPr>
          <w:rFonts w:ascii="Arial" w:cs="Arial" w:eastAsia="Arial" w:hAnsi="Arial"/>
          <w:sz w:val="17"/>
          <w:szCs w:val="17"/>
          <w:color w:val="auto"/>
        </w:rPr>
        <w:t>716 into multiple chronic pruritic diseases.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OSMRβ Axis Identified in Prurigo Nodularis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2019 at the Annual Meeting of the Society for Investigative Dermatology, we presented preclinical data identifying the OSMRβ axis in prurigo nodularis subjects. Data from Kiniksa’s longitudinal observational study in prurigo nodularis, or LOTUS-PN suggest that the OSMRβ axis (IL-31, OSM, IL-31 receptor alpha (IL-31Rα) and OSMRβ) may play a role in the pathogenesis of prurigo nodularis given its prevalent expression in lesional prurigo nodularis. IL-31 messenger ribonucleic acid, or mRNA, was expressed in approximately two-thirds of lesional biopsies from prurigo nodularis patients with WI-NRS ≥ 7 compared to one-tenth in healthy volunteers. Additionally, lesional biopsies from prurigo nodularis patients contained mononuclear cells expressing OSM, OSMRβ, IL-31 and IL-31Rα protein compared with non-lesional biopsies.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2a Clinical Trial in Prurigo Nodularis</w:t>
      </w:r>
    </w:p>
    <w:p>
      <w:pPr>
        <w:spacing w:after="0" w:line="225" w:lineRule="exact"/>
        <w:rPr>
          <w:sz w:val="20"/>
          <w:szCs w:val="20"/>
          <w:color w:val="auto"/>
        </w:rPr>
      </w:pPr>
    </w:p>
    <w:p>
      <w:pPr>
        <w:ind w:right="20" w:firstLine="648"/>
        <w:spacing w:after="0" w:line="218" w:lineRule="exact"/>
        <w:rPr>
          <w:sz w:val="20"/>
          <w:szCs w:val="20"/>
          <w:color w:val="auto"/>
        </w:rPr>
      </w:pPr>
      <w:r>
        <w:rPr>
          <w:rFonts w:ascii="Arial" w:cs="Arial" w:eastAsia="Arial" w:hAnsi="Arial"/>
          <w:sz w:val="18"/>
          <w:szCs w:val="18"/>
          <w:color w:val="auto"/>
        </w:rPr>
        <w:t>Based on the results from the single-dose IV Phase 1b results in atopic dermatitis subjects, we initiated a Phase 2a randomized, double blind, placebo</w:t>
      </w:r>
      <w:r>
        <w:rPr>
          <w:rFonts w:ascii="MS PGothic" w:cs="MS PGothic" w:eastAsia="MS PGothic" w:hAnsi="MS PGothic"/>
          <w:sz w:val="18"/>
          <w:szCs w:val="18"/>
          <w:color w:val="auto"/>
        </w:rPr>
        <w:t>‑</w:t>
      </w:r>
      <w:r>
        <w:rPr>
          <w:rFonts w:ascii="Arial" w:cs="Arial" w:eastAsia="Arial" w:hAnsi="Arial"/>
          <w:sz w:val="18"/>
          <w:szCs w:val="18"/>
          <w:color w:val="auto"/>
        </w:rPr>
        <w:t>controlled clinical trial to evaluate the efficacy, safety, tolerability, PK and immunogenicity of KPL-716 administered SC in subjects with moderate-to-severe prurigo nodularis experiencing moderate-to-severe pruritus. The Phase 2a study includes two arms: one placebo arm and one active arm administered as 360mg weekly subcutaneous doses after a 720mg loading dose; designed to achieve maximum or near maximum steady-state exposures. The primary and key secondary endpoints, which focus on pruritus, are to be evaluated at 8 weeks. Other secondary endpoints explore the impact of KPL</w:t>
      </w:r>
      <w:r>
        <w:rPr>
          <w:rFonts w:ascii="MS PGothic" w:cs="MS PGothic" w:eastAsia="MS PGothic" w:hAnsi="MS PGothic"/>
          <w:sz w:val="18"/>
          <w:szCs w:val="18"/>
          <w:color w:val="auto"/>
        </w:rPr>
        <w:t>‑</w:t>
      </w:r>
      <w:r>
        <w:rPr>
          <w:rFonts w:ascii="Arial" w:cs="Arial" w:eastAsia="Arial" w:hAnsi="Arial"/>
          <w:sz w:val="18"/>
          <w:szCs w:val="18"/>
          <w:color w:val="auto"/>
        </w:rPr>
        <w:t>716 versus placebo on pruritus, sleep, quality of life and disease severity over time (at each week of the study treatment period up to and including week 8). We expect to report data from this trial by the end of April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OSMRβ Axis Identified in Other Chronic Pruritic Diseases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At the Annual Meeting of the European Society of Dermatological Research in 2019, we presented preclinical data identifying the OSMRβ axis as relevant in chronic pruritic diseases. Increased mRNA transcript levels and protein levels of OSMRβ, in formalin-fixed paraffin-embedded biopsies from patients with chronic idiopathic urticaria, chronic idiopathic pruritus, lichen planus and lichen simplex chronicus, relative to healthy control skin samples, suggest the IL-31/OSM signaling axis is associated with these pruritic diseases.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Elevated levels of OSMRβ mRNA and protein observed in regions of inflammatory infiltrate of all chronic pruritic diseases tested, relative to healthy controls, suggest that the OSMRβ axis may be active in, and contributing to, these skin disorders. Particularly, OSM and IL-31 mRNA and protein were present in each disease evaluated for these cytokines.</w:t>
      </w:r>
    </w:p>
    <w:p>
      <w:pPr>
        <w:spacing w:after="0" w:line="147"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Exploratory Multi</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Indication, Pilot Phase 2 Clinical Trial</w:t>
      </w:r>
    </w:p>
    <w:p>
      <w:pPr>
        <w:spacing w:after="0" w:line="225" w:lineRule="exact"/>
        <w:rPr>
          <w:sz w:val="20"/>
          <w:szCs w:val="20"/>
          <w:color w:val="auto"/>
        </w:rPr>
      </w:pPr>
    </w:p>
    <w:p>
      <w:pPr>
        <w:ind w:right="120" w:firstLine="648"/>
        <w:spacing w:after="0" w:line="218" w:lineRule="exact"/>
        <w:rPr>
          <w:sz w:val="20"/>
          <w:szCs w:val="20"/>
          <w:color w:val="auto"/>
        </w:rPr>
      </w:pPr>
      <w:r>
        <w:rPr>
          <w:rFonts w:ascii="Arial" w:cs="Arial" w:eastAsia="Arial" w:hAnsi="Arial"/>
          <w:sz w:val="16"/>
          <w:szCs w:val="16"/>
          <w:color w:val="auto"/>
        </w:rPr>
        <w:t>We believe there are multiple chronic pruritic diseases where IL</w:t>
      </w:r>
      <w:r>
        <w:rPr>
          <w:rFonts w:ascii="MS PGothic" w:cs="MS PGothic" w:eastAsia="MS PGothic" w:hAnsi="MS PGothic"/>
          <w:sz w:val="16"/>
          <w:szCs w:val="16"/>
          <w:color w:val="auto"/>
        </w:rPr>
        <w:t>‑</w:t>
      </w:r>
      <w:r>
        <w:rPr>
          <w:rFonts w:ascii="Arial" w:cs="Arial" w:eastAsia="Arial" w:hAnsi="Arial"/>
          <w:sz w:val="16"/>
          <w:szCs w:val="16"/>
          <w:color w:val="auto"/>
        </w:rPr>
        <w:t>31 and OSM may play a role in disease pathology. In the first half of 2019, we initiated an exploratory, multi</w:t>
      </w:r>
      <w:r>
        <w:rPr>
          <w:rFonts w:ascii="MS PGothic" w:cs="MS PGothic" w:eastAsia="MS PGothic" w:hAnsi="MS PGothic"/>
          <w:sz w:val="16"/>
          <w:szCs w:val="16"/>
          <w:color w:val="auto"/>
        </w:rPr>
        <w:t>‑</w:t>
      </w:r>
      <w:r>
        <w:rPr>
          <w:rFonts w:ascii="Arial" w:cs="Arial" w:eastAsia="Arial" w:hAnsi="Arial"/>
          <w:sz w:val="16"/>
          <w:szCs w:val="16"/>
          <w:color w:val="auto"/>
        </w:rPr>
        <w:t>indication, randomized, double</w:t>
      </w:r>
      <w:r>
        <w:rPr>
          <w:rFonts w:ascii="MS PGothic" w:cs="MS PGothic" w:eastAsia="MS PGothic" w:hAnsi="MS PGothic"/>
          <w:sz w:val="16"/>
          <w:szCs w:val="16"/>
          <w:color w:val="auto"/>
        </w:rPr>
        <w:t>‑</w:t>
      </w:r>
      <w:r>
        <w:rPr>
          <w:rFonts w:ascii="Arial" w:cs="Arial" w:eastAsia="Arial" w:hAnsi="Arial"/>
          <w:sz w:val="16"/>
          <w:szCs w:val="16"/>
          <w:color w:val="auto"/>
        </w:rPr>
        <w:t>blind, placebo</w:t>
      </w:r>
      <w:r>
        <w:rPr>
          <w:rFonts w:ascii="MS PGothic" w:cs="MS PGothic" w:eastAsia="MS PGothic" w:hAnsi="MS PGothic"/>
          <w:sz w:val="16"/>
          <w:szCs w:val="16"/>
          <w:color w:val="auto"/>
        </w:rPr>
        <w:t>‑</w:t>
      </w:r>
      <w:r>
        <w:rPr>
          <w:rFonts w:ascii="Arial" w:cs="Arial" w:eastAsia="Arial" w:hAnsi="Arial"/>
          <w:sz w:val="16"/>
          <w:szCs w:val="16"/>
          <w:color w:val="auto"/>
        </w:rPr>
        <w:t>controlled, pilot clinical trial designed to (1) explore the role of IL</w:t>
      </w:r>
      <w:r>
        <w:rPr>
          <w:rFonts w:ascii="MS PGothic" w:cs="MS PGothic" w:eastAsia="MS PGothic" w:hAnsi="MS PGothic"/>
          <w:sz w:val="16"/>
          <w:szCs w:val="16"/>
          <w:color w:val="auto"/>
        </w:rPr>
        <w:t>‑</w:t>
      </w:r>
      <w:r>
        <w:rPr>
          <w:rFonts w:ascii="Arial" w:cs="Arial" w:eastAsia="Arial" w:hAnsi="Arial"/>
          <w:sz w:val="16"/>
          <w:szCs w:val="16"/>
          <w:color w:val="auto"/>
        </w:rPr>
        <w:t>31 and OSM in a number of diseases characterized by chronic pruritus seen by dermatologists or allergists and (2) investigate the efficacy, safety and tolerability of KPL</w:t>
      </w:r>
      <w:r>
        <w:rPr>
          <w:rFonts w:ascii="MS PGothic" w:cs="MS PGothic" w:eastAsia="MS PGothic" w:hAnsi="MS PGothic"/>
          <w:sz w:val="16"/>
          <w:szCs w:val="16"/>
          <w:color w:val="auto"/>
        </w:rPr>
        <w:t>‑</w:t>
      </w:r>
      <w:r>
        <w:rPr>
          <w:rFonts w:ascii="Arial" w:cs="Arial" w:eastAsia="Arial" w:hAnsi="Arial"/>
          <w:sz w:val="16"/>
          <w:szCs w:val="16"/>
          <w:color w:val="auto"/>
        </w:rPr>
        <w:t>716 in reducing the moderate to severe pruritus experienced by these subjects, with study populations in chronic idiopathic urticaria, chronic idiopathic pruritus, plaque psoriasis, lichen planus, and lichen simplex chronicus.</w:t>
      </w:r>
    </w:p>
    <w:p>
      <w:pPr>
        <w:spacing w:after="0" w:line="206" w:lineRule="exact"/>
        <w:rPr>
          <w:sz w:val="20"/>
          <w:szCs w:val="20"/>
          <w:color w:val="auto"/>
        </w:rPr>
      </w:pPr>
    </w:p>
    <w:p>
      <w:pPr>
        <w:ind w:right="140" w:firstLine="648"/>
        <w:spacing w:after="0" w:line="218" w:lineRule="exact"/>
        <w:rPr>
          <w:sz w:val="20"/>
          <w:szCs w:val="20"/>
          <w:color w:val="auto"/>
        </w:rPr>
      </w:pPr>
      <w:r>
        <w:rPr>
          <w:rFonts w:ascii="Arial" w:cs="Arial" w:eastAsia="Arial" w:hAnsi="Arial"/>
          <w:sz w:val="17"/>
          <w:szCs w:val="17"/>
          <w:color w:val="auto"/>
        </w:rPr>
        <w:t>The trial is comprised of multiple cohorts, each for a different study population. Each cohort being an independent sub</w:t>
      </w:r>
      <w:r>
        <w:rPr>
          <w:rFonts w:ascii="MS PGothic" w:cs="MS PGothic" w:eastAsia="MS PGothic" w:hAnsi="MS PGothic"/>
          <w:sz w:val="17"/>
          <w:szCs w:val="17"/>
          <w:color w:val="auto"/>
        </w:rPr>
        <w:t>‑</w:t>
      </w:r>
      <w:r>
        <w:rPr>
          <w:rFonts w:ascii="Arial" w:cs="Arial" w:eastAsia="Arial" w:hAnsi="Arial"/>
          <w:sz w:val="17"/>
          <w:szCs w:val="17"/>
          <w:color w:val="auto"/>
        </w:rPr>
        <w:t>study assessing each study population for presence of an IL</w:t>
      </w:r>
      <w:r>
        <w:rPr>
          <w:rFonts w:ascii="MS PGothic" w:cs="MS PGothic" w:eastAsia="MS PGothic" w:hAnsi="MS PGothic"/>
          <w:sz w:val="17"/>
          <w:szCs w:val="17"/>
          <w:color w:val="auto"/>
        </w:rPr>
        <w:t>‑</w:t>
      </w:r>
      <w:r>
        <w:rPr>
          <w:rFonts w:ascii="Arial" w:cs="Arial" w:eastAsia="Arial" w:hAnsi="Arial"/>
          <w:sz w:val="17"/>
          <w:szCs w:val="17"/>
          <w:color w:val="auto"/>
        </w:rPr>
        <w:t>31 or OSM protein or ribonucleic acid signature via biopsy and investigating the efficacy, safety and tolerability of KPL</w:t>
      </w:r>
      <w:r>
        <w:rPr>
          <w:rFonts w:ascii="MS PGothic" w:cs="MS PGothic" w:eastAsia="MS PGothic" w:hAnsi="MS PGothic"/>
          <w:sz w:val="17"/>
          <w:szCs w:val="17"/>
          <w:color w:val="auto"/>
        </w:rPr>
        <w:t>‑</w:t>
      </w:r>
      <w:r>
        <w:rPr>
          <w:rFonts w:ascii="Arial" w:cs="Arial" w:eastAsia="Arial" w:hAnsi="Arial"/>
          <w:sz w:val="17"/>
          <w:szCs w:val="17"/>
          <w:color w:val="auto"/>
        </w:rPr>
        <w:t>716 administered SC in reducing pruritus in these populations. Investigators and subjects remain blinded throughout the study. Each cohort could enroll up to a maximum of 26 subjects with each subject experiencing WI</w:t>
      </w:r>
      <w:r>
        <w:rPr>
          <w:rFonts w:ascii="MS PGothic" w:cs="MS PGothic" w:eastAsia="MS PGothic" w:hAnsi="MS PGothic"/>
          <w:sz w:val="17"/>
          <w:szCs w:val="17"/>
          <w:color w:val="auto"/>
        </w:rPr>
        <w:t>‑</w:t>
      </w:r>
      <w:r>
        <w:rPr>
          <w:rFonts w:ascii="Arial" w:cs="Arial" w:eastAsia="Arial" w:hAnsi="Arial"/>
          <w:sz w:val="17"/>
          <w:szCs w:val="17"/>
          <w:color w:val="auto"/>
        </w:rPr>
        <w:t>NRS of seven or above at screening. A loading dose of KPL</w:t>
      </w:r>
      <w:r>
        <w:rPr>
          <w:rFonts w:ascii="MS PGothic" w:cs="MS PGothic" w:eastAsia="MS PGothic" w:hAnsi="MS PGothic"/>
          <w:sz w:val="17"/>
          <w:szCs w:val="17"/>
          <w:color w:val="auto"/>
        </w:rPr>
        <w:t>‑</w:t>
      </w:r>
      <w:r>
        <w:rPr>
          <w:rFonts w:ascii="Arial" w:cs="Arial" w:eastAsia="Arial" w:hAnsi="Arial"/>
          <w:sz w:val="17"/>
          <w:szCs w:val="17"/>
          <w:color w:val="auto"/>
        </w:rPr>
        <w:t>716 (720 mg) or matching placebo is administered on day 1, followed by single, weekly SC injections of KPL</w:t>
      </w:r>
      <w:r>
        <w:rPr>
          <w:rFonts w:ascii="MS PGothic" w:cs="MS PGothic" w:eastAsia="MS PGothic" w:hAnsi="MS PGothic"/>
          <w:sz w:val="17"/>
          <w:szCs w:val="17"/>
          <w:color w:val="auto"/>
        </w:rPr>
        <w:t>‑</w:t>
      </w:r>
      <w:r>
        <w:rPr>
          <w:rFonts w:ascii="Arial" w:cs="Arial" w:eastAsia="Arial" w:hAnsi="Arial"/>
          <w:sz w:val="17"/>
          <w:szCs w:val="17"/>
          <w:color w:val="auto"/>
        </w:rPr>
        <w:t>716 (360 mg) or matching placebo for the next seven weeks, with the goal of achieving maximum or near maximum exposures at steady state. The goal of this exploratory study is to identify chronic pruritic conditions where IL</w:t>
      </w:r>
      <w:r>
        <w:rPr>
          <w:rFonts w:ascii="MS PGothic" w:cs="MS PGothic" w:eastAsia="MS PGothic" w:hAnsi="MS PGothic"/>
          <w:sz w:val="17"/>
          <w:szCs w:val="17"/>
          <w:color w:val="auto"/>
        </w:rPr>
        <w:t>‑</w:t>
      </w:r>
      <w:r>
        <w:rPr>
          <w:rFonts w:ascii="Arial" w:cs="Arial" w:eastAsia="Arial" w:hAnsi="Arial"/>
          <w:sz w:val="17"/>
          <w:szCs w:val="17"/>
          <w:color w:val="auto"/>
        </w:rPr>
        <w:t>31 or OSM may be playing a role and assess the presence or absence of reduction in pruritus after KPL</w:t>
      </w:r>
      <w:r>
        <w:rPr>
          <w:rFonts w:ascii="MS PGothic" w:cs="MS PGothic" w:eastAsia="MS PGothic" w:hAnsi="MS PGothic"/>
          <w:sz w:val="17"/>
          <w:szCs w:val="17"/>
          <w:color w:val="auto"/>
        </w:rPr>
        <w:t>‑</w:t>
      </w:r>
      <w:r>
        <w:rPr>
          <w:rFonts w:ascii="Arial" w:cs="Arial" w:eastAsia="Arial" w:hAnsi="Arial"/>
          <w:sz w:val="17"/>
          <w:szCs w:val="17"/>
          <w:color w:val="auto"/>
        </w:rPr>
        <w:t>716 treatment. We expect to report interim data from cohorts of this trial in the first half of 2020</w:t>
      </w:r>
    </w:p>
    <w:p>
      <w:pPr>
        <w:spacing w:after="0" w:line="20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KPL</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404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40" w:firstLine="648"/>
        <w:spacing w:after="0" w:line="219" w:lineRule="exact"/>
        <w:rPr>
          <w:sz w:val="20"/>
          <w:szCs w:val="20"/>
          <w:color w:val="auto"/>
        </w:rPr>
      </w:pPr>
      <w:r>
        <w:rPr>
          <w:rFonts w:ascii="Arial" w:cs="Arial" w:eastAsia="Arial" w:hAnsi="Arial"/>
          <w:sz w:val="17"/>
          <w:szCs w:val="17"/>
          <w:color w:val="auto"/>
        </w:rPr>
        <w:t>KPL</w:t>
      </w:r>
      <w:r>
        <w:rPr>
          <w:rFonts w:ascii="MS PGothic" w:cs="MS PGothic" w:eastAsia="MS PGothic" w:hAnsi="MS PGothic"/>
          <w:sz w:val="17"/>
          <w:szCs w:val="17"/>
          <w:color w:val="auto"/>
        </w:rPr>
        <w:t>‑</w:t>
      </w:r>
      <w:r>
        <w:rPr>
          <w:rFonts w:ascii="Arial" w:cs="Arial" w:eastAsia="Arial" w:hAnsi="Arial"/>
          <w:sz w:val="17"/>
          <w:szCs w:val="17"/>
          <w:color w:val="auto"/>
        </w:rPr>
        <w:t>404 is a humanized monoclonal antibody that is designed to inhibit the CD40</w:t>
      </w:r>
      <w:r>
        <w:rPr>
          <w:rFonts w:ascii="MS PGothic" w:cs="MS PGothic" w:eastAsia="MS PGothic" w:hAnsi="MS PGothic"/>
          <w:sz w:val="17"/>
          <w:szCs w:val="17"/>
          <w:color w:val="auto"/>
        </w:rPr>
        <w:t>‑</w:t>
      </w:r>
      <w:r>
        <w:rPr>
          <w:rFonts w:ascii="Arial" w:cs="Arial" w:eastAsia="Arial" w:hAnsi="Arial"/>
          <w:sz w:val="17"/>
          <w:szCs w:val="17"/>
          <w:color w:val="auto"/>
        </w:rPr>
        <w:t>CD40 ligand interaction (CD40L), a key T</w:t>
      </w:r>
      <w:r>
        <w:rPr>
          <w:rFonts w:ascii="MS PGothic" w:cs="MS PGothic" w:eastAsia="MS PGothic" w:hAnsi="MS PGothic"/>
          <w:sz w:val="17"/>
          <w:szCs w:val="17"/>
          <w:color w:val="auto"/>
        </w:rPr>
        <w:t>‑</w:t>
      </w:r>
      <w:r>
        <w:rPr>
          <w:rFonts w:ascii="Arial" w:cs="Arial" w:eastAsia="Arial" w:hAnsi="Arial"/>
          <w:sz w:val="17"/>
          <w:szCs w:val="17"/>
          <w:color w:val="auto"/>
        </w:rPr>
        <w:t>cell co</w:t>
      </w:r>
      <w:r>
        <w:rPr>
          <w:rFonts w:ascii="MS PGothic" w:cs="MS PGothic" w:eastAsia="MS PGothic" w:hAnsi="MS PGothic"/>
          <w:sz w:val="17"/>
          <w:szCs w:val="17"/>
          <w:color w:val="auto"/>
        </w:rPr>
        <w:t>‑</w:t>
      </w:r>
      <w:r>
        <w:rPr>
          <w:rFonts w:ascii="Arial" w:cs="Arial" w:eastAsia="Arial" w:hAnsi="Arial"/>
          <w:sz w:val="17"/>
          <w:szCs w:val="17"/>
          <w:color w:val="auto"/>
        </w:rPr>
        <w:t>stimulatory signal critical for B</w:t>
      </w:r>
      <w:r>
        <w:rPr>
          <w:rFonts w:ascii="MS PGothic" w:cs="MS PGothic" w:eastAsia="MS PGothic" w:hAnsi="MS PGothic"/>
          <w:sz w:val="17"/>
          <w:szCs w:val="17"/>
          <w:color w:val="auto"/>
        </w:rPr>
        <w:t>‑</w:t>
      </w:r>
      <w:r>
        <w:rPr>
          <w:rFonts w:ascii="Arial" w:cs="Arial" w:eastAsia="Arial" w:hAnsi="Arial"/>
          <w:sz w:val="17"/>
          <w:szCs w:val="17"/>
          <w:color w:val="auto"/>
        </w:rPr>
        <w:t>cell maturation and immunoglobulin class switching. Since September 2017, we have had a license to conduct research and development on KPL</w:t>
      </w:r>
      <w:r>
        <w:rPr>
          <w:rFonts w:ascii="MS PGothic" w:cs="MS PGothic" w:eastAsia="MS PGothic" w:hAnsi="MS PGothic"/>
          <w:sz w:val="17"/>
          <w:szCs w:val="17"/>
          <w:color w:val="auto"/>
        </w:rPr>
        <w:t>‑</w:t>
      </w:r>
      <w:r>
        <w:rPr>
          <w:rFonts w:ascii="Arial" w:cs="Arial" w:eastAsia="Arial" w:hAnsi="Arial"/>
          <w:sz w:val="17"/>
          <w:szCs w:val="17"/>
          <w:color w:val="auto"/>
        </w:rPr>
        <w:t>404 from Primatope, the company that owned or controlled the intellectual property related to KPL</w:t>
      </w:r>
      <w:r>
        <w:rPr>
          <w:rFonts w:ascii="MS PGothic" w:cs="MS PGothic" w:eastAsia="MS PGothic" w:hAnsi="MS PGothic"/>
          <w:sz w:val="17"/>
          <w:szCs w:val="17"/>
          <w:color w:val="auto"/>
        </w:rPr>
        <w:t>‑</w:t>
      </w:r>
      <w:r>
        <w:rPr>
          <w:rFonts w:ascii="Arial" w:cs="Arial" w:eastAsia="Arial" w:hAnsi="Arial"/>
          <w:sz w:val="17"/>
          <w:szCs w:val="17"/>
          <w:color w:val="auto"/>
        </w:rPr>
        <w:t>404 and, in March 2019, we acquired the company. In connection with our acquisition of Primatope, we acquired an exclusive world-wide license with Beth Israel Deaconess Medical Center for certain patent applications and patents related to KPL-404.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Mechanism of Action and External Clinical Proof of Concept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KPL-404 is designed to block the CD40/CD40L interaction by binding to and inhibiting signaling through CD40 receptor. CD40 is a member of the Tumor Necrosis Factor Receptor superfamily which is constitutively or inducibly expressed on the surface of a variety of immune and non-immune cell types including B cells, macrophages, dendritic cells, microglia, endothelial cells, epithelial cells, and keratinocytes and can also be upregulated on other cell types in the context of autoimmune disease. Interactions between B cell-expressed CD40 and its binding partner, CD40L, mainly expressed on activated CD4+ T cells, play a critical role in promoting germinal center formation and the production of class-switched antibodies. The role of CD40 in B cells has been extensively characterized and has been shown to be essential for productive primary and secondary humoral immune responses to T dependent antigens. External clinical data point to the broad potential power of the mechanism has been established in rheumatoid arthritis, systemic lupus erythematosus, primary Sjogren’s syndrome, Graves’ disease and prevention of kidney transplant rejection. Ongoing Phase 2 trials from competitors implicate additional indications for potential development, including type 1 diabetes, inflammatory bowel disease, prevention of liver transplant rejection, hidradenitis suppurativa, lupus nephritis and multiple sclerosis.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KPL-404 inhibits the signaling of CD40 and CD40L with low-single digit nanomolar affinity </w:t>
      </w:r>
      <w:r>
        <w:rPr>
          <w:rFonts w:ascii="Arial" w:cs="Arial" w:eastAsia="Arial" w:hAnsi="Arial"/>
          <w:sz w:val="18"/>
          <w:szCs w:val="18"/>
          <w:i w:val="1"/>
          <w:iCs w:val="1"/>
          <w:color w:val="auto"/>
        </w:rPr>
        <w:t>in vitro</w:t>
      </w:r>
      <w:r>
        <w:rPr>
          <w:rFonts w:ascii="Arial" w:cs="Arial" w:eastAsia="Arial" w:hAnsi="Arial"/>
          <w:sz w:val="18"/>
          <w:szCs w:val="18"/>
          <w:color w:val="auto"/>
        </w:rPr>
        <w:t>. The presentation of KPL-404 is as a high-concentration, liquid formulation potentially suitable for subcutaneous administration at doses of up to 5mg/kg, which we believe may, allow for a higher delivered dose in one SC injection than all other competitors who are mainly limited to high dose IV formulations or SC formulations. We believe high-dose IV and SC formulations do not fully antagonize signaling as evidenced by the generation of anti-drug antibodies ever at maximum delivered dose levels.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Development</w:t>
      </w:r>
    </w:p>
    <w:p>
      <w:pPr>
        <w:spacing w:after="0" w:line="225"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In preclinical development, KPL</w:t>
      </w:r>
      <w:r>
        <w:rPr>
          <w:rFonts w:ascii="MS PGothic" w:cs="MS PGothic" w:eastAsia="MS PGothic" w:hAnsi="MS PGothic"/>
          <w:sz w:val="17"/>
          <w:szCs w:val="17"/>
          <w:color w:val="auto"/>
        </w:rPr>
        <w:t>‑</w:t>
      </w:r>
      <w:r>
        <w:rPr>
          <w:rFonts w:ascii="Arial" w:cs="Arial" w:eastAsia="Arial" w:hAnsi="Arial"/>
          <w:sz w:val="17"/>
          <w:szCs w:val="17"/>
          <w:color w:val="auto"/>
        </w:rPr>
        <w:t>404 has been observed to have a favorable pharmacokinetic and toxicology profile and has shown activity in multiple non</w:t>
      </w:r>
      <w:r>
        <w:rPr>
          <w:rFonts w:ascii="MS PGothic" w:cs="MS PGothic" w:eastAsia="MS PGothic" w:hAnsi="MS PGothic"/>
          <w:sz w:val="17"/>
          <w:szCs w:val="17"/>
          <w:color w:val="auto"/>
        </w:rPr>
        <w:t>‑</w:t>
      </w:r>
      <w:r>
        <w:rPr>
          <w:rFonts w:ascii="Arial" w:cs="Arial" w:eastAsia="Arial" w:hAnsi="Arial"/>
          <w:sz w:val="17"/>
          <w:szCs w:val="17"/>
          <w:color w:val="auto"/>
        </w:rPr>
        <w:t>human primate models of organ transplant rejection, as well as in multiple TDAR models. The data in the graphs below show in a non-human primate TDAR model that KPL-404 had linear pharmacokinetics with low variability which translated into complete suppression of antibody responses to a novel antigen (keyhole limpet hemocyanin, or KLH) at drug levels achieving 100% receptor occupancy.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139065</wp:posOffset>
            </wp:positionV>
            <wp:extent cx="5351145" cy="1706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51145"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Program</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2019, we began enrollment and dosing of subjects in a single-ascending-dose Phase 1 clinical trial of KPL-404 in healthy volunteers. The first-in-human trial is designed to provide safety and pharmacokinetics data as well as receptor occupancy and TDAR data from a KLH challenge for single rising intravenous and subcutaneous dose levels of KPL-404. We expect to report top-line data from this trial in the second half of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Activities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conduct internal discovery activities directed toward wholly owned molecules for the treatment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debilitating disease targets where we believe there to be a strong mechanistic rationale and potential for clear differentiation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existing approved agents or those in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and Acquisition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Regeneron</w:t>
      </w:r>
    </w:p>
    <w:p>
      <w:pPr>
        <w:spacing w:after="0" w:line="225"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In September 2017, we entered into a license agreement with Regeneron, or the Regeneron Agreement. Pursuant to the Regeneron Agreement, Regeneron granted us an exclusive license under certain intellectual property rights controlled by Regeneron to develop and commercialize rilonacept worldwide, aside from Israel, Egypt, Turkey and select countries in the Middle East and northern Africa, which we refer to collectively as the Excluded Territory. In the United States and Japan, our license is initially for all indications other than those involving local administration to the eye or ear, oncology, deficiency of the interleukin</w:t>
      </w:r>
      <w:r>
        <w:rPr>
          <w:rFonts w:ascii="MS PGothic" w:cs="MS PGothic" w:eastAsia="MS PGothic" w:hAnsi="MS PGothic"/>
          <w:sz w:val="17"/>
          <w:szCs w:val="17"/>
          <w:color w:val="auto"/>
        </w:rPr>
        <w:t>‑</w:t>
      </w:r>
      <w:r>
        <w:rPr>
          <w:rFonts w:ascii="Arial" w:cs="Arial" w:eastAsia="Arial" w:hAnsi="Arial"/>
          <w:sz w:val="17"/>
          <w:szCs w:val="17"/>
          <w:color w:val="auto"/>
        </w:rPr>
        <w:t>1 receptor antagonist, or DIRA, and CAPS. If we are successful in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receiving marketing approval for rilonacept in the United States for a new indication, the scope of the license granted to us will automatically expand to include DIRA and CAPS in the United States and Japan, and we will assume the sales and distribution of rilonacept in these additional indications. Outside the United States and Japan, our license is for all indications other than local application to the eye or ear, oncology, CAPS, DIRA and certain periodic fever syndromes set forth in the Regeneron Agreement, collectively the Excluded Indications. Under the Regeneron Agreement, we are obligated to use commercially reasonable efforts to develop and commercialize rilonacept outside of the Excluded Indications in our territory. Upon receiving positive data in a Phase 3 clinical trial, Regeneron will transfer the biologics license application, or BLA, for rilonacept to us.</w:t>
      </w:r>
    </w:p>
    <w:p>
      <w:pPr>
        <w:spacing w:after="0" w:line="19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made an upfront payment of $5.0 million to Regeneron and are obligated to make regulatory milestone payments of up to $27.5 million in the aggregate. Thereafter, we have agreed to evenly split profits on our sales of rilonacept with Regeneron after deducting certain commercialization expenses subject to specified limits.</w:t>
      </w:r>
    </w:p>
    <w:p>
      <w:pPr>
        <w:spacing w:after="0" w:line="166" w:lineRule="exact"/>
        <w:rPr>
          <w:sz w:val="20"/>
          <w:szCs w:val="20"/>
          <w:color w:val="auto"/>
        </w:rPr>
      </w:pPr>
    </w:p>
    <w:p>
      <w:pPr>
        <w:ind w:right="100" w:firstLine="648"/>
        <w:spacing w:after="0" w:line="220" w:lineRule="exact"/>
        <w:rPr>
          <w:sz w:val="20"/>
          <w:szCs w:val="20"/>
          <w:color w:val="auto"/>
        </w:rPr>
      </w:pPr>
      <w:r>
        <w:rPr>
          <w:rFonts w:ascii="Arial" w:cs="Arial" w:eastAsia="Arial" w:hAnsi="Arial"/>
          <w:sz w:val="18"/>
          <w:szCs w:val="18"/>
          <w:color w:val="auto"/>
        </w:rPr>
        <w:t>Regeneron has a right of first negotiation over our engagement of third parties to support our promotional activities in excess of a specified level and over the assignment or sale of our rights to any product we develop under the Regeneron Agreement to a third</w:t>
      </w:r>
      <w:r>
        <w:rPr>
          <w:rFonts w:ascii="MS PGothic" w:cs="MS PGothic" w:eastAsia="MS PGothic" w:hAnsi="MS PGothic"/>
          <w:sz w:val="18"/>
          <w:szCs w:val="18"/>
          <w:color w:val="auto"/>
        </w:rPr>
        <w:t>‑</w:t>
      </w:r>
      <w:r>
        <w:rPr>
          <w:rFonts w:ascii="Arial" w:cs="Arial" w:eastAsia="Arial" w:hAnsi="Arial"/>
          <w:sz w:val="18"/>
          <w:szCs w:val="18"/>
          <w:color w:val="auto"/>
        </w:rPr>
        <w:t>party. Furthermore, under certain circumstances, we will need Regeneron’s prior consent to assign our rights under the Regeneron Agreement.</w:t>
      </w:r>
    </w:p>
    <w:p>
      <w:pPr>
        <w:spacing w:after="0" w:line="204"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The Regeneron Agreement will expire on the date on which we, our affiliates or sublicensees are no longer developing or commercializing any product containing rilonacept. We may terminate the agreement for convenience at any time after the date that is 18 months after the effective date of the agreement with 180 days’ written notice or one year’s written notice if we terminate the agreement following U.S. marketing approval of a rilonacept product developed by us. We may also terminate with three months’ written notice if we reasonably determine that rilonacept is unsafe in the indications we are pursuing. Regeneron may terminate the agreement if there is a consecutive twelve (12) month period during which we do not conduct any material development or commercialization activities or we do not grant a sublicense to a third</w:t>
      </w:r>
      <w:r>
        <w:rPr>
          <w:rFonts w:ascii="MS PGothic" w:cs="MS PGothic" w:eastAsia="MS PGothic" w:hAnsi="MS PGothic"/>
          <w:sz w:val="17"/>
          <w:szCs w:val="17"/>
          <w:color w:val="auto"/>
        </w:rPr>
        <w:t>‑</w:t>
      </w:r>
      <w:r>
        <w:rPr>
          <w:rFonts w:ascii="Arial" w:cs="Arial" w:eastAsia="Arial" w:hAnsi="Arial"/>
          <w:sz w:val="17"/>
          <w:szCs w:val="17"/>
          <w:color w:val="auto"/>
        </w:rPr>
        <w:t>party to do so, or if we challenge Regeneron’s patent rights in any country in our territory. Either party may terminate the agreement in the event of a material breach by the other party that remains uncured for 90 days (or 30 days for payment</w:t>
      </w:r>
      <w:r>
        <w:rPr>
          <w:rFonts w:ascii="MS PGothic" w:cs="MS PGothic" w:eastAsia="MS PGothic" w:hAnsi="MS PGothic"/>
          <w:sz w:val="17"/>
          <w:szCs w:val="17"/>
          <w:color w:val="auto"/>
        </w:rPr>
        <w:t>‑</w:t>
      </w:r>
      <w:r>
        <w:rPr>
          <w:rFonts w:ascii="Arial" w:cs="Arial" w:eastAsia="Arial" w:hAnsi="Arial"/>
          <w:sz w:val="17"/>
          <w:szCs w:val="17"/>
          <w:color w:val="auto"/>
        </w:rPr>
        <w:t>related breaches), or by either party due to the insolvency or bankruptcy of the other party.</w:t>
      </w:r>
    </w:p>
    <w:p>
      <w:pPr>
        <w:spacing w:after="0" w:line="20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have also entered into a clinical supply agreement with Regeneron, or the Supply Agreement. Pursuant to the Supply Agreement, Regeneron has the exclusive right to manufacture and supply all of our requirements of rilonacept for clinical development. If Regeneron determines to discontinue the supply of rilonacept to us, it must use its reasonable efforts to transfer all relevant documentation, materials and technology necessary for the manufacture of rilonacept to us or our designee. The Supply Agreement terminates upon the termination of the Regeneron Agreement or the transfer of technology related to the bulk manufacture of rilonacept.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MedImmune</w:t>
      </w:r>
    </w:p>
    <w:p>
      <w:pPr>
        <w:spacing w:after="0" w:line="225"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In December 2017, we entered into a license agreement with MedImmune, or the MedImmune Agreement. Pursuant to the MedImmune Agreement, MedImmune granted us an exclusive, worldwide license under certain intellectual property rights controlled by MedImmune to make, use, develop and commercialize mavrilimumab and any other product containing an antibody to the GM</w:t>
      </w:r>
      <w:r>
        <w:rPr>
          <w:rFonts w:ascii="MS PGothic" w:cs="MS PGothic" w:eastAsia="MS PGothic" w:hAnsi="MS PGothic"/>
          <w:sz w:val="16"/>
          <w:szCs w:val="16"/>
          <w:color w:val="auto"/>
        </w:rPr>
        <w:t>‑</w:t>
      </w:r>
      <w:r>
        <w:rPr>
          <w:rFonts w:ascii="Arial" w:cs="Arial" w:eastAsia="Arial" w:hAnsi="Arial"/>
          <w:sz w:val="16"/>
          <w:szCs w:val="16"/>
          <w:color w:val="auto"/>
        </w:rPr>
        <w:t>CSF receptor alpha that is covered by certain MedImmune patent rights for all indications. We also acquired non</w:t>
      </w:r>
      <w:r>
        <w:rPr>
          <w:rFonts w:ascii="MS PGothic" w:cs="MS PGothic" w:eastAsia="MS PGothic" w:hAnsi="MS PGothic"/>
          <w:sz w:val="16"/>
          <w:szCs w:val="16"/>
          <w:color w:val="auto"/>
        </w:rPr>
        <w:t>‑</w:t>
      </w:r>
      <w:r>
        <w:rPr>
          <w:rFonts w:ascii="Arial" w:cs="Arial" w:eastAsia="Arial" w:hAnsi="Arial"/>
          <w:sz w:val="16"/>
          <w:szCs w:val="16"/>
          <w:color w:val="auto"/>
        </w:rPr>
        <w:t>exclusive licenses to other MedImmune technology for use in exploiting licensed products. We may sublicense these rights subject to consent of MedImmune and any applicable licensors of rights under which we are licensed. We also acquired reference rights to relevant manufacturing and regulatory documents, and existing inventory of mavrilimumab drug substance. We must use commercially reasonable efforts to develop and commercialize the licensed products.</w:t>
      </w:r>
    </w:p>
    <w:p>
      <w:pPr>
        <w:spacing w:after="0" w:line="20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made an upfront payment of $8.0 million to MedImmune and are obligated to make future clinical, regulatory and initial sales milestone payments of up to $72.5 million in the aggregate for the first two indications, including a milestone payment of $10.0 million which we paid upon the occurrence of a specified regulatory milestone, and clinical and regulatory milestone payments of up to $15.0 million in the aggregate for each subsequent indication. We are also obligated to make milestone payments to MedImmune of up to $85.0 million upon the achievement of annual net sales thresholds up to, but excluding, $1.0 billion in annual net sales as well as additional milestone payments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19" w:lineRule="exact"/>
        <w:rPr>
          <w:sz w:val="20"/>
          <w:szCs w:val="20"/>
          <w:color w:val="auto"/>
        </w:rPr>
      </w:pPr>
      <w:r>
        <w:rPr>
          <w:rFonts w:ascii="Arial" w:cs="Arial" w:eastAsia="Arial" w:hAnsi="Arial"/>
          <w:sz w:val="18"/>
          <w:szCs w:val="18"/>
          <w:color w:val="auto"/>
        </w:rPr>
        <w:t>aggregating up to $1.1 billion upon the achievement of additional annual net sales thresholds starting at $1.0 billion and higher. Commencing on the first commercial sale of licensed products, we are obligated to pay tiered royalties on escalating tiers of annual net sales of licensed products starting in the low double</w:t>
      </w:r>
      <w:r>
        <w:rPr>
          <w:rFonts w:ascii="MS PGothic" w:cs="MS PGothic" w:eastAsia="MS PGothic" w:hAnsi="MS PGothic"/>
          <w:sz w:val="18"/>
          <w:szCs w:val="18"/>
          <w:color w:val="auto"/>
        </w:rPr>
        <w:t>‑</w:t>
      </w:r>
      <w:r>
        <w:rPr>
          <w:rFonts w:ascii="Arial" w:cs="Arial" w:eastAsia="Arial" w:hAnsi="Arial"/>
          <w:sz w:val="18"/>
          <w:szCs w:val="18"/>
          <w:color w:val="auto"/>
        </w:rPr>
        <w:t>digit percentages and ending at twenty percent. We must pay such royalties on a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 and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until the latest to occur of the expiration of licensed patents, the expiration of regulatory exclusivity or the tenth anniversary of first commercial sale of such product in such country.</w:t>
      </w:r>
    </w:p>
    <w:p>
      <w:pPr>
        <w:spacing w:after="0" w:line="203"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In countries where licensed patents have issued, the statutory expiration date is 2027, not including any patent term extensions or adjustments. While the current expected patent expiration dates are known in countries where licensed patents have issued, these expiration dates are subject to significant uncertainty. For example, the patents may be challenged, and accordingly, the relevant expiration dates could be shortened. In addition, as we continue to file and prosecute new patent applications related to mavrilimumab, the granting of such pending applications or future patent applications could extend the relevant statutory expiration dates beyond 2027. The expiration date of regulatory exclusivity is determined on a country</w:t>
      </w:r>
      <w:r>
        <w:rPr>
          <w:rFonts w:ascii="MS PGothic" w:cs="MS PGothic" w:eastAsia="MS PGothic" w:hAnsi="MS PGothic"/>
          <w:sz w:val="16"/>
          <w:szCs w:val="16"/>
          <w:color w:val="auto"/>
        </w:rPr>
        <w:t>‑</w:t>
      </w:r>
      <w:r>
        <w:rPr>
          <w:rFonts w:ascii="Arial" w:cs="Arial" w:eastAsia="Arial" w:hAnsi="Arial"/>
          <w:sz w:val="16"/>
          <w:szCs w:val="16"/>
          <w:color w:val="auto"/>
        </w:rPr>
        <w:t>by country</w:t>
      </w:r>
      <w:r>
        <w:rPr>
          <w:rFonts w:ascii="MS PGothic" w:cs="MS PGothic" w:eastAsia="MS PGothic" w:hAnsi="MS PGothic"/>
          <w:sz w:val="16"/>
          <w:szCs w:val="16"/>
          <w:color w:val="auto"/>
        </w:rPr>
        <w:t>‑</w:t>
      </w:r>
      <w:r>
        <w:rPr>
          <w:rFonts w:ascii="Arial" w:cs="Arial" w:eastAsia="Arial" w:hAnsi="Arial"/>
          <w:sz w:val="16"/>
          <w:szCs w:val="16"/>
          <w:color w:val="auto"/>
        </w:rPr>
        <w:t>basis if the applicable product is approved in such country and if any applicable regulatory exclusivity applies and is granted. The actual expiration date of any such regulatory exclusivity, however, is subject to significant uncertainty. For instance, the applicable regulatory exclusivity period is often triggered by the date a product candidate obtains regulatory approval, and we cannot predict with any certainty whether and if so, when, the applicable product would receive regulatory approval in any given jurisdiction. Furthermore, the type, scope and duration of such exclusivities will vary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depending on the jurisdictions in which a product candidate is approved and the particular regulatory exclusivity for which the product is eligible as of the time of approval. For example, in the United States, a reference biological product is granted 12 years of data exclusivity from the time of first licensure of the product, which means that the FDA cannot make effective the approval of a biosimilar product that references the biologic product until</w:t>
      </w:r>
    </w:p>
    <w:p>
      <w:pPr>
        <w:spacing w:after="0" w:line="1" w:lineRule="exact"/>
        <w:rPr>
          <w:sz w:val="20"/>
          <w:szCs w:val="20"/>
          <w:color w:val="auto"/>
        </w:rPr>
      </w:pPr>
    </w:p>
    <w:p>
      <w:pPr>
        <w:spacing w:after="0" w:line="216" w:lineRule="exact"/>
        <w:rPr>
          <w:sz w:val="20"/>
          <w:szCs w:val="20"/>
          <w:color w:val="auto"/>
        </w:rPr>
      </w:pPr>
      <w:r>
        <w:rPr>
          <w:rFonts w:ascii="Arial" w:cs="Arial" w:eastAsia="Arial" w:hAnsi="Arial"/>
          <w:sz w:val="16"/>
          <w:szCs w:val="16"/>
          <w:color w:val="auto"/>
        </w:rPr>
        <w:t>12 years from the date on which the reference product was first licensed. In the European Union, new products authorized for marketing may qualify for eight years of data exclusivity and an additional two years of market exclusivity upon marketing authorization. The two</w:t>
      </w:r>
      <w:r>
        <w:rPr>
          <w:rFonts w:ascii="MS PGothic" w:cs="MS PGothic" w:eastAsia="MS PGothic" w:hAnsi="MS PGothic"/>
          <w:sz w:val="16"/>
          <w:szCs w:val="16"/>
          <w:color w:val="auto"/>
        </w:rPr>
        <w:t>‑</w:t>
      </w:r>
      <w:r>
        <w:rPr>
          <w:rFonts w:ascii="Arial" w:cs="Arial" w:eastAsia="Arial" w:hAnsi="Arial"/>
          <w:sz w:val="16"/>
          <w:szCs w:val="16"/>
          <w:color w:val="auto"/>
        </w:rPr>
        <w:t>year period may be extended to three years if during the first eight years a new therapeutic indication with significant clinical benefit over existing therapies is approved. Furthermore, if a product candidate that has received orphan designation is subsequently approved for the disease or condition for which it has such designation, the product may be entitled to orphan drug exclusivity, which generally grants seven years of market exclusivity in the United States and up to 10 years of market exclusivity in the European Union, and such period may run contemporaneously with the other exclusivities that may apply. In the European Union, an orphan product can also obtain an additional two years of market exclusivity for pediatric studies. In the United States, an additional six</w:t>
      </w:r>
      <w:r>
        <w:rPr>
          <w:rFonts w:ascii="MS PGothic" w:cs="MS PGothic" w:eastAsia="MS PGothic" w:hAnsi="MS PGothic"/>
          <w:sz w:val="16"/>
          <w:szCs w:val="16"/>
          <w:color w:val="auto"/>
        </w:rPr>
        <w:t>‑</w:t>
      </w:r>
      <w:r>
        <w:rPr>
          <w:rFonts w:ascii="Arial" w:cs="Arial" w:eastAsia="Arial" w:hAnsi="Arial"/>
          <w:sz w:val="16"/>
          <w:szCs w:val="16"/>
          <w:color w:val="auto"/>
        </w:rPr>
        <w:t>month period of pediatric exclusivity may be available as an extension to any existing non</w:t>
      </w:r>
      <w:r>
        <w:rPr>
          <w:rFonts w:ascii="MS PGothic" w:cs="MS PGothic" w:eastAsia="MS PGothic" w:hAnsi="MS PGothic"/>
          <w:sz w:val="16"/>
          <w:szCs w:val="16"/>
          <w:color w:val="auto"/>
        </w:rPr>
        <w:t>‑</w:t>
      </w:r>
      <w:r>
        <w:rPr>
          <w:rFonts w:ascii="Arial" w:cs="Arial" w:eastAsia="Arial" w:hAnsi="Arial"/>
          <w:sz w:val="16"/>
          <w:szCs w:val="16"/>
          <w:color w:val="auto"/>
        </w:rPr>
        <w:t>patent regulatory exclusivity period if the sponsor has conducted and submitted pediatric studies in response to a written request from the FDA. Additionally, our eligibility for regulatory exclusivity may depend in part on the indications for which we seek regulatory approval of our product candidates, which may depend on the data we receive from our clinical studies, and accordingly, may change over time, and the laws and regulations governing regulatory exclusivity may change in various jurisdictions as the political focus on drug exclusivity increases. For risk related to regulatory exclusivity matters, see “Risk Factors—Risks related to product development and regulatory approval.”</w:t>
      </w:r>
    </w:p>
    <w:p>
      <w:pPr>
        <w:spacing w:after="0" w:line="212"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MedImmune Agreement will remain in effect until the expiration of the royalty term in all countries for all licensed products. The MedImmune Agreement may be terminated earlier at any time by us with at least 90 days’ prior notice, by either party in the event of material breach by the other party that remains uncured for 90 days, by either party for insolvency or bankruptcy of the other party, or immediately by MedImmune if we challenge the licensed patents.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Biogen Asset Purchase Agreement</w:t>
      </w:r>
    </w:p>
    <w:p>
      <w:pPr>
        <w:spacing w:after="0" w:line="225"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7"/>
          <w:szCs w:val="17"/>
          <w:color w:val="auto"/>
        </w:rPr>
        <w:t>In September 2016, we completed the acquisition of certain assets of Biogen pursuant to an asset purchase agreement, or the Biogen Agreement. Pursuant to the Biogen Agreement, we acquired all of Biogen’s right, title and interest in and to certain assets used in or relating to KPL</w:t>
      </w:r>
      <w:r>
        <w:rPr>
          <w:rFonts w:ascii="MS PGothic" w:cs="MS PGothic" w:eastAsia="MS PGothic" w:hAnsi="MS PGothic"/>
          <w:sz w:val="17"/>
          <w:szCs w:val="17"/>
          <w:color w:val="auto"/>
        </w:rPr>
        <w:t>‑</w:t>
      </w:r>
      <w:r>
        <w:rPr>
          <w:rFonts w:ascii="Arial" w:cs="Arial" w:eastAsia="Arial" w:hAnsi="Arial"/>
          <w:sz w:val="17"/>
          <w:szCs w:val="17"/>
          <w:color w:val="auto"/>
        </w:rPr>
        <w:t>716 and other antibodies covered by certain patent rights, together the Acquired Assets, including patents and other intellectual property rights, clinical data, certain contracts, know</w:t>
      </w:r>
      <w:r>
        <w:rPr>
          <w:rFonts w:ascii="MS PGothic" w:cs="MS PGothic" w:eastAsia="MS PGothic" w:hAnsi="MS PGothic"/>
          <w:sz w:val="17"/>
          <w:szCs w:val="17"/>
          <w:color w:val="auto"/>
        </w:rPr>
        <w:t>‑</w:t>
      </w:r>
      <w:r>
        <w:rPr>
          <w:rFonts w:ascii="Arial" w:cs="Arial" w:eastAsia="Arial" w:hAnsi="Arial"/>
          <w:sz w:val="17"/>
          <w:szCs w:val="17"/>
          <w:color w:val="auto"/>
        </w:rPr>
        <w:t>how and inventory. In addition, Biogen granted us a non</w:t>
      </w:r>
      <w:r>
        <w:rPr>
          <w:rFonts w:ascii="MS PGothic" w:cs="MS PGothic" w:eastAsia="MS PGothic" w:hAnsi="MS PGothic"/>
          <w:sz w:val="17"/>
          <w:szCs w:val="17"/>
          <w:color w:val="auto"/>
        </w:rPr>
        <w:t>‑</w:t>
      </w:r>
      <w:r>
        <w:rPr>
          <w:rFonts w:ascii="Arial" w:cs="Arial" w:eastAsia="Arial" w:hAnsi="Arial"/>
          <w:sz w:val="17"/>
          <w:szCs w:val="17"/>
          <w:color w:val="auto"/>
        </w:rPr>
        <w:t>exclusive, sublicensable, worldwide license to certain background patent rights related the KPL</w:t>
      </w:r>
      <w:r>
        <w:rPr>
          <w:rFonts w:ascii="MS PGothic" w:cs="MS PGothic" w:eastAsia="MS PGothic" w:hAnsi="MS PGothic"/>
          <w:sz w:val="17"/>
          <w:szCs w:val="17"/>
          <w:color w:val="auto"/>
        </w:rPr>
        <w:t>‑</w:t>
      </w:r>
      <w:r>
        <w:rPr>
          <w:rFonts w:ascii="Arial" w:cs="Arial" w:eastAsia="Arial" w:hAnsi="Arial"/>
          <w:sz w:val="17"/>
          <w:szCs w:val="17"/>
          <w:color w:val="auto"/>
        </w:rPr>
        <w:t>716 program. Under the Biogen Agreement, we are obligated to use commercially reasonable efforts to develop and commercialize the Acquired Assets.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Under the Biogen Agreement, we made an upfront payment of $11.5 million and a technology transfer payment of $0.5 million to Biogen. In addition, we made a milestone payment of $4.0 million during the year ended December 31, 2017, associated with the achievement of a specified clinical milestone event. We made milestone payments of $10.3 million during the year ended December 31, 2019, primarily associated with the achievement of a specified clinical milestone event. We are also obligated to make future milestone payments for each antibody product that includes the Acquired Assets, or an Antibody Product, of up to $315.0 million in the aggregate upon the achievement of specified milestones. These milestone payments relate to multiple indications for an Antibody Product, and are comprised of up to $165.0 million in the aggregate upon achievement of specified clinical and regulatory milestone events and $150.0 million in the aggregate upon the achievement of specified annual net sales thresholds. Commencing on the first commercial sale of an Antibody Product, we are obligated to pay tiered royalties on escalating tiers of annual net sales of licensed products starting in the high single</w:t>
      </w:r>
      <w:r>
        <w:rPr>
          <w:rFonts w:ascii="MS PGothic" w:cs="MS PGothic" w:eastAsia="MS PGothic" w:hAnsi="MS PGothic"/>
          <w:sz w:val="16"/>
          <w:szCs w:val="16"/>
          <w:color w:val="auto"/>
        </w:rPr>
        <w:t>‑</w:t>
      </w:r>
      <w:r>
        <w:rPr>
          <w:rFonts w:ascii="Arial" w:cs="Arial" w:eastAsia="Arial" w:hAnsi="Arial"/>
          <w:sz w:val="16"/>
          <w:szCs w:val="16"/>
          <w:color w:val="auto"/>
        </w:rPr>
        <w:t>digit percentages and ending below the teens. We must pay such royalties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latest to occur of the expiration of patents that cover an Antibody Product, the expiration of regulatory exclusivity or the tenth anniversary of first commercial sale of such product in such country. We have also agreed to pay certain obligations under third</w:t>
      </w:r>
      <w:r>
        <w:rPr>
          <w:rFonts w:ascii="MS PGothic" w:cs="MS PGothic" w:eastAsia="MS PGothic" w:hAnsi="MS PGothic"/>
          <w:sz w:val="16"/>
          <w:szCs w:val="16"/>
          <w:color w:val="auto"/>
        </w:rPr>
        <w:t>‑</w:t>
      </w:r>
      <w:r>
        <w:rPr>
          <w:rFonts w:ascii="Arial" w:cs="Arial" w:eastAsia="Arial" w:hAnsi="Arial"/>
          <w:sz w:val="16"/>
          <w:szCs w:val="16"/>
          <w:color w:val="auto"/>
        </w:rPr>
        <w:t>party contracts retained by Biogen that relate to KPL</w:t>
      </w:r>
      <w:r>
        <w:rPr>
          <w:rFonts w:ascii="MS PGothic" w:cs="MS PGothic" w:eastAsia="MS PGothic" w:hAnsi="MS PGothic"/>
          <w:sz w:val="16"/>
          <w:szCs w:val="16"/>
          <w:color w:val="auto"/>
        </w:rPr>
        <w:t>‑</w:t>
      </w:r>
      <w:r>
        <w:rPr>
          <w:rFonts w:ascii="Arial" w:cs="Arial" w:eastAsia="Arial" w:hAnsi="Arial"/>
          <w:sz w:val="16"/>
          <w:szCs w:val="16"/>
          <w:color w:val="auto"/>
        </w:rPr>
        <w:t>716.</w:t>
      </w:r>
    </w:p>
    <w:p>
      <w:pPr>
        <w:spacing w:after="0" w:line="163"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In countries where patents covering Antibody Products have issued, the statutory expiration date is 2034, not including any patent term extensions or adjustments. While the current expected patent expiration dates are known in countries where licensed patents have issued, these expiration dates are subject to significant uncertainty. For example, the patents may be challenged, and accordingly, the relevant expiration dates could be shortened. In addition, as we continue to file and prosecute new patent applications related to Antibody Products, the granting of such pending applications or future patent applications could extend the relevant statutory expiration dates beyond 2034. The expiration date of regulatory exclusivity is determined on a country</w:t>
      </w:r>
      <w:r>
        <w:rPr>
          <w:rFonts w:ascii="MS PGothic" w:cs="MS PGothic" w:eastAsia="MS PGothic" w:hAnsi="MS PGothic"/>
          <w:sz w:val="16"/>
          <w:szCs w:val="16"/>
          <w:color w:val="auto"/>
        </w:rPr>
        <w:t>‑</w:t>
      </w:r>
      <w:r>
        <w:rPr>
          <w:rFonts w:ascii="Arial" w:cs="Arial" w:eastAsia="Arial" w:hAnsi="Arial"/>
          <w:sz w:val="16"/>
          <w:szCs w:val="16"/>
          <w:color w:val="auto"/>
        </w:rPr>
        <w:t>by country</w:t>
      </w:r>
      <w:r>
        <w:rPr>
          <w:rFonts w:ascii="MS PGothic" w:cs="MS PGothic" w:eastAsia="MS PGothic" w:hAnsi="MS PGothic"/>
          <w:sz w:val="16"/>
          <w:szCs w:val="16"/>
          <w:color w:val="auto"/>
        </w:rPr>
        <w:t>‑</w:t>
      </w:r>
      <w:r>
        <w:rPr>
          <w:rFonts w:ascii="Arial" w:cs="Arial" w:eastAsia="Arial" w:hAnsi="Arial"/>
          <w:sz w:val="16"/>
          <w:szCs w:val="16"/>
          <w:color w:val="auto"/>
        </w:rPr>
        <w:t>basis if the applicable product is approved in such country and if any applicable regulatory exclusivity applies and is granted. The actual expiration date of any such regulatory exclusivity, however, is subject to significant uncertainty. For instance, the applicable regulatory exclusivity period is often triggered by the date a product candidate obtains regulatory approval, and we cannot predict with any certainty whether and if so, when, the applicable product would receive regulatory approval in any given jurisdiction. Furthermore, the type, scope and duration of such exclusivities will vary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depending on the jurisdictions in which a product candidate is approved and the particular regulatory exclusivity for which the product is eligible as of the time of approval. For example, in the United States, a reference biological product is granted 12 years of data exclusivity from the time of first licensure of the product, which means that the FDA cannot make effective the approval of a biosimilar product that references the biologic product until 12 years from the date on which the reference product was first licensed. In the European Union, new products authorized for marketing may qualify for eight years of data exclusivity and an additional two years of market exclusivity upon marketing authorization. The two</w:t>
      </w:r>
      <w:r>
        <w:rPr>
          <w:rFonts w:ascii="MS PGothic" w:cs="MS PGothic" w:eastAsia="MS PGothic" w:hAnsi="MS PGothic"/>
          <w:sz w:val="16"/>
          <w:szCs w:val="16"/>
          <w:color w:val="auto"/>
        </w:rPr>
        <w:t>‑</w:t>
      </w:r>
      <w:r>
        <w:rPr>
          <w:rFonts w:ascii="Arial" w:cs="Arial" w:eastAsia="Arial" w:hAnsi="Arial"/>
          <w:sz w:val="16"/>
          <w:szCs w:val="16"/>
          <w:color w:val="auto"/>
        </w:rPr>
        <w:t>year period may be extended to three years if during the first eight years a new therapeutic indication with significant clinical benefit over existing therapies is approved. Furthermore, if a product candidate that has received orphan designation is subsequently approved for the disease or condition for which it has such designation, the product may be entitled to orphan drug exclusivity, which generally grants seven years of market exclusivity in the United States and up to 10 years of market exclusivity in the European Union, and such period may run contemporaneously with the other exclusivities that may apply. In the European Union, an orphan product can also obtain an additional two years of market exclusivity for pediatric studies. In the United States, an additional six</w:t>
      </w:r>
      <w:r>
        <w:rPr>
          <w:rFonts w:ascii="MS PGothic" w:cs="MS PGothic" w:eastAsia="MS PGothic" w:hAnsi="MS PGothic"/>
          <w:sz w:val="16"/>
          <w:szCs w:val="16"/>
          <w:color w:val="auto"/>
        </w:rPr>
        <w:t>‑</w:t>
      </w:r>
      <w:r>
        <w:rPr>
          <w:rFonts w:ascii="Arial" w:cs="Arial" w:eastAsia="Arial" w:hAnsi="Arial"/>
          <w:sz w:val="16"/>
          <w:szCs w:val="16"/>
          <w:color w:val="auto"/>
        </w:rPr>
        <w:t>month period of pediatric exclusivity may be available as an extension to any existing non</w:t>
      </w:r>
      <w:r>
        <w:rPr>
          <w:rFonts w:ascii="MS PGothic" w:cs="MS PGothic" w:eastAsia="MS PGothic" w:hAnsi="MS PGothic"/>
          <w:sz w:val="16"/>
          <w:szCs w:val="16"/>
          <w:color w:val="auto"/>
        </w:rPr>
        <w:t>‑</w:t>
      </w:r>
      <w:r>
        <w:rPr>
          <w:rFonts w:ascii="Arial" w:cs="Arial" w:eastAsia="Arial" w:hAnsi="Arial"/>
          <w:sz w:val="16"/>
          <w:szCs w:val="16"/>
          <w:color w:val="auto"/>
        </w:rPr>
        <w:t>patent regulatory exclusivity period if the sponsor has conducted and submitted pediatric studies in response to a written request from the FDA. Additionally, our eligibility for regulatory exclusivity may depend in part on the indications for which we seek regulatory approval of our product candidates, which may depend on the data we receive from our clinical studies, and accordingly, may change over time, and the laws and regulations governing regulatory exclusivity may change in various jurisdictions as the political focus on drug exclusivity increases. For risk related to regulatory exclusivity matters, see “Risk Factors—Risks related to product development and regulatory approval.”</w:t>
      </w:r>
    </w:p>
    <w:p>
      <w:pPr>
        <w:spacing w:after="0" w:line="379" w:lineRule="exact"/>
        <w:rPr>
          <w:sz w:val="20"/>
          <w:szCs w:val="20"/>
          <w:color w:val="auto"/>
        </w:rPr>
      </w:pPr>
    </w:p>
    <w:p>
      <w:pPr>
        <w:jc w:val="both"/>
        <w:ind w:right="40" w:firstLine="648"/>
        <w:spacing w:after="0" w:line="221" w:lineRule="exact"/>
        <w:rPr>
          <w:sz w:val="20"/>
          <w:szCs w:val="20"/>
          <w:color w:val="auto"/>
        </w:rPr>
      </w:pPr>
      <w:r>
        <w:rPr>
          <w:rFonts w:ascii="Arial" w:cs="Arial" w:eastAsia="Arial" w:hAnsi="Arial"/>
          <w:sz w:val="17"/>
          <w:szCs w:val="17"/>
          <w:color w:val="auto"/>
        </w:rPr>
        <w:t>Under the Biogen Agreement, Biogen has a time</w:t>
      </w:r>
      <w:r>
        <w:rPr>
          <w:rFonts w:ascii="MS PGothic" w:cs="MS PGothic" w:eastAsia="MS PGothic" w:hAnsi="MS PGothic"/>
          <w:sz w:val="17"/>
          <w:szCs w:val="17"/>
          <w:color w:val="auto"/>
        </w:rPr>
        <w:t>‑</w:t>
      </w:r>
      <w:r>
        <w:rPr>
          <w:rFonts w:ascii="Arial" w:cs="Arial" w:eastAsia="Arial" w:hAnsi="Arial"/>
          <w:sz w:val="17"/>
          <w:szCs w:val="17"/>
          <w:color w:val="auto"/>
        </w:rPr>
        <w:t>limited right of first negotiation to purchase the assets we acquired from Biogen or obtain a license to exploit Antibody Products, in each case, in the event we decide to sell the acquired assets, including through the sale of our company, or out</w:t>
      </w:r>
      <w:r>
        <w:rPr>
          <w:rFonts w:ascii="MS PGothic" w:cs="MS PGothic" w:eastAsia="MS PGothic" w:hAnsi="MS PGothic"/>
          <w:sz w:val="17"/>
          <w:szCs w:val="17"/>
          <w:color w:val="auto"/>
        </w:rPr>
        <w:t>‑</w:t>
      </w:r>
      <w:r>
        <w:rPr>
          <w:rFonts w:ascii="Arial" w:cs="Arial" w:eastAsia="Arial" w:hAnsi="Arial"/>
          <w:sz w:val="17"/>
          <w:szCs w:val="17"/>
          <w:color w:val="auto"/>
        </w:rPr>
        <w:t>license the rights to the Antibody Products.</w:t>
      </w:r>
    </w:p>
    <w:p>
      <w:pPr>
        <w:spacing w:after="0" w:line="162" w:lineRule="exact"/>
        <w:rPr>
          <w:sz w:val="20"/>
          <w:szCs w:val="20"/>
          <w:color w:val="auto"/>
        </w:rPr>
      </w:pPr>
    </w:p>
    <w:p>
      <w:pPr>
        <w:jc w:val="both"/>
        <w:ind w:right="40" w:firstLine="648"/>
        <w:spacing w:after="0" w:line="308" w:lineRule="auto"/>
        <w:rPr>
          <w:sz w:val="20"/>
          <w:szCs w:val="20"/>
          <w:color w:val="auto"/>
        </w:rPr>
      </w:pPr>
      <w:r>
        <w:rPr>
          <w:rFonts w:ascii="Arial" w:cs="Arial" w:eastAsia="Arial" w:hAnsi="Arial"/>
          <w:sz w:val="17"/>
          <w:szCs w:val="17"/>
          <w:color w:val="auto"/>
        </w:rPr>
        <w:t>The Biogen Agreement will remain in effect until expiration of all payment obligations in all countries related to the last antibody product subject to the Biogen Agreement. The Biogen Agreement may be terminated by us with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19" w:lineRule="exact"/>
        <w:rPr>
          <w:sz w:val="20"/>
          <w:szCs w:val="20"/>
          <w:color w:val="auto"/>
        </w:rPr>
      </w:pPr>
      <w:r>
        <w:rPr>
          <w:rFonts w:ascii="Arial" w:cs="Arial" w:eastAsia="Arial" w:hAnsi="Arial"/>
          <w:sz w:val="17"/>
          <w:szCs w:val="17"/>
          <w:color w:val="auto"/>
        </w:rPr>
        <w:t>90 days’ prior notice, by either party in the event of a material breach by the other party that remains uncured for 90 days (or 30 days for payment</w:t>
      </w:r>
      <w:r>
        <w:rPr>
          <w:rFonts w:ascii="MS PGothic" w:cs="MS PGothic" w:eastAsia="MS PGothic" w:hAnsi="MS PGothic"/>
          <w:sz w:val="17"/>
          <w:szCs w:val="17"/>
          <w:color w:val="auto"/>
        </w:rPr>
        <w:t>‑</w:t>
      </w:r>
      <w:r>
        <w:rPr>
          <w:rFonts w:ascii="Arial" w:cs="Arial" w:eastAsia="Arial" w:hAnsi="Arial"/>
          <w:sz w:val="17"/>
          <w:szCs w:val="17"/>
          <w:color w:val="auto"/>
        </w:rPr>
        <w:t>related breaches) or by both parties upon mutual consent. In the event of a termination, the Acquired Assets, including certain licenses and rights related thereto, will revert to Biogen, and, upon written request by Biogen, we are required to grant to Biogen an exclusive, worldwide, sub</w:t>
      </w:r>
      <w:r>
        <w:rPr>
          <w:rFonts w:ascii="MS PGothic" w:cs="MS PGothic" w:eastAsia="MS PGothic" w:hAnsi="MS PGothic"/>
          <w:sz w:val="17"/>
          <w:szCs w:val="17"/>
          <w:color w:val="auto"/>
        </w:rPr>
        <w:t>‑</w:t>
      </w:r>
      <w:r>
        <w:rPr>
          <w:rFonts w:ascii="Arial" w:cs="Arial" w:eastAsia="Arial" w:hAnsi="Arial"/>
          <w:sz w:val="17"/>
          <w:szCs w:val="17"/>
          <w:color w:val="auto"/>
        </w:rPr>
        <w:t>licensable license to certain of our intellectual property related to the Acquired Assets, including know</w:t>
      </w:r>
      <w:r>
        <w:rPr>
          <w:rFonts w:ascii="MS PGothic" w:cs="MS PGothic" w:eastAsia="MS PGothic" w:hAnsi="MS PGothic"/>
          <w:sz w:val="17"/>
          <w:szCs w:val="17"/>
          <w:color w:val="auto"/>
        </w:rPr>
        <w:t>‑</w:t>
      </w:r>
      <w:r>
        <w:rPr>
          <w:rFonts w:ascii="Arial" w:cs="Arial" w:eastAsia="Arial" w:hAnsi="Arial"/>
          <w:sz w:val="17"/>
          <w:szCs w:val="17"/>
          <w:color w:val="auto"/>
        </w:rPr>
        <w:t>how and patent rights.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do not currently own or operate any late stage manufacturing facilities. Although we built early stage manufacturing facilities to produce drug substance to support certain of our preclinical and early clinical studies, we rely on third parties to manufacture all of our drug product candidates. We have entered into a clinical supply agreement with Regeneron to manufacture and supply rilonacept for our clinical trials. Regeneron has also agreed to provide commercial drug material until at least the earlier of four years after U.S. marketing approval or seven years after the effective date of the agreement.</w:t>
      </w:r>
    </w:p>
    <w:p>
      <w:pPr>
        <w:spacing w:after="0" w:line="19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believe that we have sufficient quantities of drug substance to supply our Phase 2 clinical trial of mavrilimumab for the treatment of GCA. We also acquired a certain amount of finished mavrilimumab drug product that we plan to use in this clinical trial, and have entered into a fill/finish supply agreement with a contract manufacturing organization, or CMO, to produce additional finished mavrilimumab drug product from our current inventory of drug substance. There are certain components, for example, media and feed, used to produce our current mavrilimumab inventory that the CMO is not able to use in our future manufacturing process. We and this CMO or any other CMO that we enter into agreement with to manufacture mavrilimumab will need to find alternative components to replace the media and feed that had been used by MedImmune to date in the manufacture of mavrilimumab.</w:t>
      </w:r>
    </w:p>
    <w:p>
      <w:pPr>
        <w:spacing w:after="0" w:line="179" w:lineRule="exact"/>
        <w:rPr>
          <w:sz w:val="20"/>
          <w:szCs w:val="20"/>
          <w:color w:val="auto"/>
        </w:rPr>
      </w:pPr>
    </w:p>
    <w:p>
      <w:pPr>
        <w:ind w:right="320" w:firstLine="648"/>
        <w:spacing w:after="0" w:line="220" w:lineRule="exact"/>
        <w:rPr>
          <w:sz w:val="20"/>
          <w:szCs w:val="20"/>
          <w:color w:val="auto"/>
        </w:rPr>
      </w:pPr>
      <w:r>
        <w:rPr>
          <w:rFonts w:ascii="Arial" w:cs="Arial" w:eastAsia="Arial" w:hAnsi="Arial"/>
          <w:sz w:val="17"/>
          <w:szCs w:val="17"/>
          <w:color w:val="auto"/>
        </w:rPr>
        <w:t>We acquired a certain amount of KPL</w:t>
      </w:r>
      <w:r>
        <w:rPr>
          <w:rFonts w:ascii="MS PGothic" w:cs="MS PGothic" w:eastAsia="MS PGothic" w:hAnsi="MS PGothic"/>
          <w:sz w:val="17"/>
          <w:szCs w:val="17"/>
          <w:color w:val="auto"/>
        </w:rPr>
        <w:t>‑</w:t>
      </w:r>
      <w:r>
        <w:rPr>
          <w:rFonts w:ascii="Arial" w:cs="Arial" w:eastAsia="Arial" w:hAnsi="Arial"/>
          <w:sz w:val="17"/>
          <w:szCs w:val="17"/>
          <w:color w:val="auto"/>
        </w:rPr>
        <w:t>716 drug substance from Biogen from which we produced KPL</w:t>
      </w:r>
      <w:r>
        <w:rPr>
          <w:rFonts w:ascii="MS PGothic" w:cs="MS PGothic" w:eastAsia="MS PGothic" w:hAnsi="MS PGothic"/>
          <w:sz w:val="17"/>
          <w:szCs w:val="17"/>
          <w:color w:val="auto"/>
        </w:rPr>
        <w:t>‑</w:t>
      </w:r>
      <w:r>
        <w:rPr>
          <w:rFonts w:ascii="Arial" w:cs="Arial" w:eastAsia="Arial" w:hAnsi="Arial"/>
          <w:sz w:val="17"/>
          <w:szCs w:val="17"/>
          <w:color w:val="auto"/>
        </w:rPr>
        <w:t>716 drug product using a CMO. In addition, we have engaged CMOs to manufacture KPL</w:t>
      </w:r>
      <w:r>
        <w:rPr>
          <w:rFonts w:ascii="MS PGothic" w:cs="MS PGothic" w:eastAsia="MS PGothic" w:hAnsi="MS PGothic"/>
          <w:sz w:val="17"/>
          <w:szCs w:val="17"/>
          <w:color w:val="auto"/>
        </w:rPr>
        <w:t>‑</w:t>
      </w:r>
      <w:r>
        <w:rPr>
          <w:rFonts w:ascii="Arial" w:cs="Arial" w:eastAsia="Arial" w:hAnsi="Arial"/>
          <w:sz w:val="17"/>
          <w:szCs w:val="17"/>
          <w:color w:val="auto"/>
        </w:rPr>
        <w:t>716 drug substance and drug product currently in use in our on-going clinical trials. We intend to use CMOs for development and scale</w:t>
      </w:r>
      <w:r>
        <w:rPr>
          <w:rFonts w:ascii="MS PGothic" w:cs="MS PGothic" w:eastAsia="MS PGothic" w:hAnsi="MS PGothic"/>
          <w:sz w:val="17"/>
          <w:szCs w:val="17"/>
          <w:color w:val="auto"/>
        </w:rPr>
        <w:t>‑</w:t>
      </w:r>
      <w:r>
        <w:rPr>
          <w:rFonts w:ascii="Arial" w:cs="Arial" w:eastAsia="Arial" w:hAnsi="Arial"/>
          <w:sz w:val="17"/>
          <w:szCs w:val="17"/>
          <w:color w:val="auto"/>
        </w:rPr>
        <w:t>up work for any future clinical trials and eventual commercialization of KPL</w:t>
      </w:r>
      <w:r>
        <w:rPr>
          <w:rFonts w:ascii="MS PGothic" w:cs="MS PGothic" w:eastAsia="MS PGothic" w:hAnsi="MS PGothic"/>
          <w:sz w:val="17"/>
          <w:szCs w:val="17"/>
          <w:color w:val="auto"/>
        </w:rPr>
        <w:t>‑</w:t>
      </w:r>
      <w:r>
        <w:rPr>
          <w:rFonts w:ascii="Arial" w:cs="Arial" w:eastAsia="Arial" w:hAnsi="Arial"/>
          <w:sz w:val="17"/>
          <w:szCs w:val="17"/>
          <w:color w:val="auto"/>
        </w:rPr>
        <w:t>716, if approved.</w:t>
      </w:r>
    </w:p>
    <w:p>
      <w:pPr>
        <w:spacing w:after="0" w:line="204" w:lineRule="exact"/>
        <w:rPr>
          <w:sz w:val="20"/>
          <w:szCs w:val="20"/>
          <w:color w:val="auto"/>
        </w:rPr>
      </w:pPr>
    </w:p>
    <w:p>
      <w:pPr>
        <w:ind w:right="20" w:firstLine="648"/>
        <w:spacing w:after="0" w:line="220" w:lineRule="exact"/>
        <w:rPr>
          <w:sz w:val="20"/>
          <w:szCs w:val="20"/>
          <w:color w:val="auto"/>
        </w:rPr>
      </w:pPr>
      <w:r>
        <w:rPr>
          <w:rFonts w:ascii="Arial" w:cs="Arial" w:eastAsia="Arial" w:hAnsi="Arial"/>
          <w:sz w:val="16"/>
          <w:szCs w:val="16"/>
          <w:color w:val="auto"/>
        </w:rPr>
        <w:t>We engaged CMOs to produce our clinical drug substance for certain preclinical studies, but we intend to produce our preclinical product candidates for Phase 1 and Phase 2 studies in our own early stage manufacturing facilities. We plan to continue to use CMOs to produce the corresponding drug product clinical material. Longer</w:t>
      </w:r>
      <w:r>
        <w:rPr>
          <w:rFonts w:ascii="MS PGothic" w:cs="MS PGothic" w:eastAsia="MS PGothic" w:hAnsi="MS PGothic"/>
          <w:sz w:val="16"/>
          <w:szCs w:val="16"/>
          <w:color w:val="auto"/>
        </w:rPr>
        <w:t>‑</w:t>
      </w:r>
      <w:r>
        <w:rPr>
          <w:rFonts w:ascii="Arial" w:cs="Arial" w:eastAsia="Arial" w:hAnsi="Arial"/>
          <w:sz w:val="16"/>
          <w:szCs w:val="16"/>
          <w:color w:val="auto"/>
        </w:rPr>
        <w:t>term, we expect to use CMOs to produce these product candidates for later</w:t>
      </w:r>
      <w:r>
        <w:rPr>
          <w:rFonts w:ascii="MS PGothic" w:cs="MS PGothic" w:eastAsia="MS PGothic" w:hAnsi="MS PGothic"/>
          <w:sz w:val="16"/>
          <w:szCs w:val="16"/>
          <w:color w:val="auto"/>
        </w:rPr>
        <w:t>‑</w:t>
      </w:r>
      <w:r>
        <w:rPr>
          <w:rFonts w:ascii="Arial" w:cs="Arial" w:eastAsia="Arial" w:hAnsi="Arial"/>
          <w:sz w:val="16"/>
          <w:szCs w:val="16"/>
          <w:color w:val="auto"/>
        </w:rPr>
        <w:t>phase clinical studies and eventual commercialization, if approved.</w:t>
      </w:r>
    </w:p>
    <w:p>
      <w:pPr>
        <w:spacing w:after="0" w:line="203"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We require our CMOs to conduct manufacturing activities in compliance with current good manufacturing practice, or cGMP, requirements. We have assembled a team of experienced employees and consultants to provide the necessary technical, quality and regulatory oversight of our CMOs. We currently perform process development internally but are reliant on CMOs for late stage clinical manufacturing, process qualification and validation and commercial supply. We anticipate that these CMOs will have the capacity to support both clinical supply and commercial</w:t>
      </w:r>
      <w:r>
        <w:rPr>
          <w:rFonts w:ascii="MS PGothic" w:cs="MS PGothic" w:eastAsia="MS PGothic" w:hAnsi="MS PGothic"/>
          <w:sz w:val="16"/>
          <w:szCs w:val="16"/>
          <w:color w:val="auto"/>
        </w:rPr>
        <w:t>‑</w:t>
      </w:r>
      <w:r>
        <w:rPr>
          <w:rFonts w:ascii="Arial" w:cs="Arial" w:eastAsia="Arial" w:hAnsi="Arial"/>
          <w:sz w:val="16"/>
          <w:szCs w:val="16"/>
          <w:color w:val="auto"/>
        </w:rPr>
        <w:t>scale production, but we do not have any formal agreements at this time with any of these CMOs to cover commercial production. We also may elect to pursue additional CMOs for manufacturing supplies of drug substance and finished drug product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Operations</w:t>
      </w:r>
    </w:p>
    <w:p>
      <w:pPr>
        <w:spacing w:after="0" w:line="229"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7"/>
          <w:szCs w:val="17"/>
          <w:color w:val="auto"/>
        </w:rPr>
        <w:t>Our team is experienced in commercial leadership and we intend to expand our capabilities in parallel with the development path of our product candidates. If the FDA approves rilonacept for recurrent pericarditis, we intend to market and commercialize rilonacept in the United States by developing our own sales, marketing and medical affairs organizations targeting a subset of cardiologists and rheumatologists currently treating pericarditis. For our other product candidates, we intend to establish commercialization strategies for each as we approach potential marketing approval and, due to the specialization among physicians treating the indications we are targeting, we expect to be able leverage our then</w:t>
      </w:r>
      <w:r>
        <w:rPr>
          <w:rFonts w:ascii="MS PGothic" w:cs="MS PGothic" w:eastAsia="MS PGothic" w:hAnsi="MS PGothic"/>
          <w:sz w:val="17"/>
          <w:szCs w:val="17"/>
          <w:color w:val="auto"/>
        </w:rPr>
        <w:t>‑</w:t>
      </w:r>
      <w:r>
        <w:rPr>
          <w:rFonts w:ascii="Arial" w:cs="Arial" w:eastAsia="Arial" w:hAnsi="Arial"/>
          <w:sz w:val="17"/>
          <w:szCs w:val="17"/>
          <w:color w:val="auto"/>
        </w:rPr>
        <w:t>existing sales, marketing and medical affairs organizations.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80" w:firstLine="648"/>
        <w:spacing w:after="0" w:line="219" w:lineRule="exact"/>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We face potential competition from many different sources, including pharmaceutical and biotechnology companies, academic institutions and governmental agencies and public and private research institutions. Any product candidates that we successfully develop and commercialize, including rilonacept, mavrilimumab and KPL</w:t>
      </w:r>
      <w:r>
        <w:rPr>
          <w:rFonts w:ascii="MS PGothic" w:cs="MS PGothic" w:eastAsia="MS PGothic" w:hAnsi="MS PGothic"/>
          <w:sz w:val="17"/>
          <w:szCs w:val="17"/>
          <w:color w:val="auto"/>
        </w:rPr>
        <w:t>‑</w:t>
      </w:r>
      <w:r>
        <w:rPr>
          <w:rFonts w:ascii="Arial" w:cs="Arial" w:eastAsia="Arial" w:hAnsi="Arial"/>
          <w:sz w:val="17"/>
          <w:szCs w:val="17"/>
          <w:color w:val="auto"/>
        </w:rPr>
        <w:t>716, and any other product candidates that we may develop, may compete with existing products and new products that may become available in the future.</w:t>
      </w:r>
    </w:p>
    <w:p>
      <w:pPr>
        <w:spacing w:after="0" w:line="203" w:lineRule="exact"/>
        <w:rPr>
          <w:sz w:val="20"/>
          <w:szCs w:val="20"/>
          <w:color w:val="auto"/>
        </w:rPr>
      </w:pPr>
    </w:p>
    <w:p>
      <w:pPr>
        <w:ind w:right="60" w:firstLine="648"/>
        <w:spacing w:after="0" w:line="218" w:lineRule="exact"/>
        <w:rPr>
          <w:sz w:val="20"/>
          <w:szCs w:val="20"/>
          <w:color w:val="auto"/>
        </w:rPr>
      </w:pPr>
      <w:r>
        <w:rPr>
          <w:rFonts w:ascii="Arial" w:cs="Arial" w:eastAsia="Arial" w:hAnsi="Arial"/>
          <w:sz w:val="18"/>
          <w:szCs w:val="18"/>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w:t>
      </w:r>
      <w:r>
        <w:rPr>
          <w:rFonts w:ascii="MS PGothic" w:cs="MS PGothic" w:eastAsia="MS PGothic" w:hAnsi="MS PGothic"/>
          <w:sz w:val="18"/>
          <w:szCs w:val="18"/>
          <w:color w:val="auto"/>
        </w:rPr>
        <w:t>‑</w:t>
      </w:r>
      <w:r>
        <w:rPr>
          <w:rFonts w:ascii="Arial" w:cs="Arial" w:eastAsia="Arial" w:hAnsi="Arial"/>
          <w:sz w:val="18"/>
          <w:szCs w:val="18"/>
          <w:color w:val="auto"/>
        </w:rPr>
        <w:t>stage companies may also prove to be significant competitors, particularly through collaborative arrangements with large and established companies.</w:t>
      </w:r>
    </w:p>
    <w:p>
      <w:pPr>
        <w:spacing w:after="0" w:line="207" w:lineRule="exact"/>
        <w:rPr>
          <w:sz w:val="20"/>
          <w:szCs w:val="20"/>
          <w:color w:val="auto"/>
        </w:rPr>
      </w:pPr>
    </w:p>
    <w:p>
      <w:pPr>
        <w:jc w:val="both"/>
        <w:ind w:right="60" w:firstLine="648"/>
        <w:spacing w:after="0" w:line="221" w:lineRule="exact"/>
        <w:rPr>
          <w:sz w:val="20"/>
          <w:szCs w:val="20"/>
          <w:color w:val="auto"/>
        </w:rPr>
      </w:pPr>
      <w:r>
        <w:rPr>
          <w:rFonts w:ascii="Arial" w:cs="Arial" w:eastAsia="Arial" w:hAnsi="Arial"/>
          <w:sz w:val="16"/>
          <w:szCs w:val="16"/>
          <w:color w:val="auto"/>
        </w:rPr>
        <w:t>The key competitive factors affecting the success of rilonacept, mavrilimumab and KPL</w:t>
      </w:r>
      <w:r>
        <w:rPr>
          <w:rFonts w:ascii="MS PGothic" w:cs="MS PGothic" w:eastAsia="MS PGothic" w:hAnsi="MS PGothic"/>
          <w:sz w:val="16"/>
          <w:szCs w:val="16"/>
          <w:color w:val="auto"/>
        </w:rPr>
        <w:t>‑</w:t>
      </w:r>
      <w:r>
        <w:rPr>
          <w:rFonts w:ascii="Arial" w:cs="Arial" w:eastAsia="Arial" w:hAnsi="Arial"/>
          <w:sz w:val="16"/>
          <w:szCs w:val="16"/>
          <w:color w:val="auto"/>
        </w:rPr>
        <w:t>716, and any other product candidates that we develop, if approved, are likely to be our product candidates, including their efficacy, safety, convenience, price, the level of generic competition and the availability of reimbursement from government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ind w:right="40"/>
        <w:spacing w:after="0" w:line="216" w:lineRule="exact"/>
        <w:rPr>
          <w:sz w:val="20"/>
          <w:szCs w:val="20"/>
          <w:color w:val="auto"/>
        </w:rPr>
      </w:pPr>
      <w:r>
        <w:rPr>
          <w:rFonts w:ascii="Arial" w:cs="Arial" w:eastAsia="Arial" w:hAnsi="Arial"/>
          <w:sz w:val="17"/>
          <w:szCs w:val="17"/>
          <w:color w:val="auto"/>
        </w:rPr>
        <w:t>Our commercial opportunity for any of our product candidates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payors seeking to encourage the use of generic products.</w:t>
      </w:r>
    </w:p>
    <w:p>
      <w:pPr>
        <w:spacing w:after="0" w:line="20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are aware of the following products currently marketed or in clinical development for the treatment of the diseases that we are initially targeting: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Rilonacept</w:t>
      </w:r>
    </w:p>
    <w:p>
      <w:pPr>
        <w:spacing w:after="0" w:line="225"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We are not aware of any therapies currently approved by the FDA for the treatment of recurrent pericarditis, our lead indication for rilonacept. Anakinra (KINERET), produced by Sobi, is an FDA</w:t>
      </w:r>
      <w:r>
        <w:rPr>
          <w:rFonts w:ascii="MS PGothic" w:cs="MS PGothic" w:eastAsia="MS PGothic" w:hAnsi="MS PGothic"/>
          <w:sz w:val="17"/>
          <w:szCs w:val="17"/>
          <w:color w:val="auto"/>
        </w:rPr>
        <w:t>‑</w:t>
      </w:r>
      <w:r>
        <w:rPr>
          <w:rFonts w:ascii="Arial" w:cs="Arial" w:eastAsia="Arial" w:hAnsi="Arial"/>
          <w:sz w:val="17"/>
          <w:szCs w:val="17"/>
          <w:color w:val="auto"/>
        </w:rPr>
        <w:t>approved agent that inhibits IL</w:t>
      </w:r>
      <w:r>
        <w:rPr>
          <w:rFonts w:ascii="MS PGothic" w:cs="MS PGothic" w:eastAsia="MS PGothic" w:hAnsi="MS PGothic"/>
          <w:sz w:val="17"/>
          <w:szCs w:val="17"/>
          <w:color w:val="auto"/>
        </w:rPr>
        <w:t>‑</w:t>
      </w:r>
      <w:r>
        <w:rPr>
          <w:rFonts w:ascii="Arial" w:cs="Arial" w:eastAsia="Arial" w:hAnsi="Arial"/>
          <w:sz w:val="17"/>
          <w:szCs w:val="17"/>
          <w:color w:val="auto"/>
        </w:rPr>
        <w:t>1α and IL</w:t>
      </w:r>
      <w:r>
        <w:rPr>
          <w:rFonts w:ascii="MS PGothic" w:cs="MS PGothic" w:eastAsia="MS PGothic" w:hAnsi="MS PGothic"/>
          <w:sz w:val="17"/>
          <w:szCs w:val="17"/>
          <w:color w:val="auto"/>
        </w:rPr>
        <w:t>‑</w:t>
      </w:r>
      <w:r>
        <w:rPr>
          <w:rFonts w:ascii="Arial" w:cs="Arial" w:eastAsia="Arial" w:hAnsi="Arial"/>
          <w:sz w:val="17"/>
          <w:szCs w:val="17"/>
          <w:color w:val="auto"/>
        </w:rPr>
        <w:t>1β signaling and is approved for RA and CAPS. Canakinumab (ILARIS), produced by Novartis, is a monoclonal antibody which inhibits IL</w:t>
      </w:r>
      <w:r>
        <w:rPr>
          <w:rFonts w:ascii="MS PGothic" w:cs="MS PGothic" w:eastAsia="MS PGothic" w:hAnsi="MS PGothic"/>
          <w:sz w:val="17"/>
          <w:szCs w:val="17"/>
          <w:color w:val="auto"/>
        </w:rPr>
        <w:t>‑</w:t>
      </w:r>
      <w:r>
        <w:rPr>
          <w:rFonts w:ascii="Arial" w:cs="Arial" w:eastAsia="Arial" w:hAnsi="Arial"/>
          <w:sz w:val="17"/>
          <w:szCs w:val="17"/>
          <w:color w:val="auto"/>
        </w:rPr>
        <w:t>1β signaling and is approved for use in CAPS, tumor necrosis factor receptor associated period syndrome, hyperimmunoglobulin D syndrome, familiar Mediterranean fever and active systemic juvenile idiopathic arthritis. There are also other therapies modulating IL</w:t>
      </w:r>
      <w:r>
        <w:rPr>
          <w:rFonts w:ascii="MS PGothic" w:cs="MS PGothic" w:eastAsia="MS PGothic" w:hAnsi="MS PGothic"/>
          <w:sz w:val="17"/>
          <w:szCs w:val="17"/>
          <w:color w:val="auto"/>
        </w:rPr>
        <w:t>‑</w:t>
      </w:r>
      <w:r>
        <w:rPr>
          <w:rFonts w:ascii="Arial" w:cs="Arial" w:eastAsia="Arial" w:hAnsi="Arial"/>
          <w:sz w:val="17"/>
          <w:szCs w:val="17"/>
          <w:color w:val="auto"/>
        </w:rPr>
        <w:t>1α or IL</w:t>
      </w:r>
      <w:r>
        <w:rPr>
          <w:rFonts w:ascii="MS PGothic" w:cs="MS PGothic" w:eastAsia="MS PGothic" w:hAnsi="MS PGothic"/>
          <w:sz w:val="17"/>
          <w:szCs w:val="17"/>
          <w:color w:val="auto"/>
        </w:rPr>
        <w:t>‑</w:t>
      </w:r>
      <w:r>
        <w:rPr>
          <w:rFonts w:ascii="Arial" w:cs="Arial" w:eastAsia="Arial" w:hAnsi="Arial"/>
          <w:sz w:val="17"/>
          <w:szCs w:val="17"/>
          <w:color w:val="auto"/>
        </w:rPr>
        <w:t>1β which are in various stages of clinical development for diseases other than recurrent pericarditis from AbbVie, Inc., or AbbVie, Janssen, and Handok Inc.</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Mavrilimumab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GCA: Tocilizumab (ACTEMRA), produced by Hoffmann—La Roche AG, or Roche, and Chugai</w:t>
      </w:r>
    </w:p>
    <w:p>
      <w:pPr>
        <w:spacing w:after="0" w:line="2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Pharmaceutical Co., Ltd., is an IL</w:t>
      </w:r>
      <w:r>
        <w:rPr>
          <w:rFonts w:ascii="MS PGothic" w:cs="MS PGothic" w:eastAsia="MS PGothic" w:hAnsi="MS PGothic"/>
          <w:sz w:val="16"/>
          <w:szCs w:val="16"/>
          <w:color w:val="auto"/>
        </w:rPr>
        <w:t>‑</w:t>
      </w:r>
      <w:r>
        <w:rPr>
          <w:rFonts w:ascii="Arial" w:cs="Arial" w:eastAsia="Arial" w:hAnsi="Arial"/>
          <w:sz w:val="16"/>
          <w:szCs w:val="16"/>
          <w:color w:val="auto"/>
        </w:rPr>
        <w:t>6 inhibitor that is approved by the FDA for the treatment of GCA on top of a concomitant</w:t>
      </w:r>
    </w:p>
    <w:p>
      <w:pPr>
        <w:spacing w:after="0" w:line="32" w:lineRule="exact"/>
        <w:rPr>
          <w:sz w:val="20"/>
          <w:szCs w:val="20"/>
          <w:color w:val="auto"/>
        </w:rPr>
      </w:pPr>
    </w:p>
    <w:p>
      <w:pPr>
        <w:ind w:right="260"/>
        <w:spacing w:after="0" w:line="216" w:lineRule="exact"/>
        <w:rPr>
          <w:sz w:val="20"/>
          <w:szCs w:val="20"/>
          <w:color w:val="auto"/>
        </w:rPr>
      </w:pPr>
      <w:r>
        <w:rPr>
          <w:rFonts w:ascii="Arial" w:cs="Arial" w:eastAsia="Arial" w:hAnsi="Arial"/>
          <w:sz w:val="18"/>
          <w:szCs w:val="18"/>
          <w:color w:val="auto"/>
        </w:rPr>
        <w:t>corticosteroid taper. In addition, Eli Lilly and AbbVie are conducting clinical trials for oral janus kinase inhibitors. Sanofi S.A. is recruiting a Phase 3 clinical trial with their anti</w:t>
      </w:r>
      <w:r>
        <w:rPr>
          <w:rFonts w:ascii="MS PGothic" w:cs="MS PGothic" w:eastAsia="MS PGothic" w:hAnsi="MS PGothic"/>
          <w:sz w:val="18"/>
          <w:szCs w:val="18"/>
          <w:color w:val="auto"/>
        </w:rPr>
        <w:t>‑</w:t>
      </w:r>
      <w:r>
        <w:rPr>
          <w:rFonts w:ascii="Arial" w:cs="Arial" w:eastAsia="Arial" w:hAnsi="Arial"/>
          <w:sz w:val="18"/>
          <w:szCs w:val="18"/>
          <w:color w:val="auto"/>
        </w:rPr>
        <w:t>IL</w:t>
      </w:r>
      <w:r>
        <w:rPr>
          <w:rFonts w:ascii="MS PGothic" w:cs="MS PGothic" w:eastAsia="MS PGothic" w:hAnsi="MS PGothic"/>
          <w:sz w:val="18"/>
          <w:szCs w:val="18"/>
          <w:color w:val="auto"/>
        </w:rPr>
        <w:t>‑</w:t>
      </w:r>
      <w:r>
        <w:rPr>
          <w:rFonts w:ascii="Arial" w:cs="Arial" w:eastAsia="Arial" w:hAnsi="Arial"/>
          <w:sz w:val="18"/>
          <w:szCs w:val="18"/>
          <w:color w:val="auto"/>
        </w:rPr>
        <w:t>6 program and Novartis International AG, is recruiting a trial with their IL-17 antagonist secukinumab (Cosentyx).</w:t>
      </w:r>
    </w:p>
    <w:p>
      <w:pPr>
        <w:spacing w:after="0" w:line="203" w:lineRule="exact"/>
        <w:rPr>
          <w:sz w:val="20"/>
          <w:szCs w:val="20"/>
          <w:color w:val="auto"/>
        </w:rPr>
      </w:pPr>
    </w:p>
    <w:p>
      <w:pPr>
        <w:ind w:right="640" w:firstLine="648"/>
        <w:spacing w:after="0" w:line="221" w:lineRule="exact"/>
        <w:rPr>
          <w:sz w:val="20"/>
          <w:szCs w:val="20"/>
          <w:color w:val="auto"/>
        </w:rPr>
      </w:pPr>
      <w:r>
        <w:rPr>
          <w:rFonts w:ascii="Arial" w:cs="Arial" w:eastAsia="Arial" w:hAnsi="Arial"/>
          <w:sz w:val="18"/>
          <w:szCs w:val="18"/>
          <w:color w:val="auto"/>
        </w:rPr>
        <w:t>GM-CSF antagonists: There are also four other programs in clinical development in various indications that modulate GM</w:t>
      </w:r>
      <w:r>
        <w:rPr>
          <w:rFonts w:ascii="MS PGothic" w:cs="MS PGothic" w:eastAsia="MS PGothic" w:hAnsi="MS PGothic"/>
          <w:sz w:val="18"/>
          <w:szCs w:val="18"/>
          <w:color w:val="auto"/>
        </w:rPr>
        <w:t>‑</w:t>
      </w:r>
      <w:r>
        <w:rPr>
          <w:rFonts w:ascii="Arial" w:cs="Arial" w:eastAsia="Arial" w:hAnsi="Arial"/>
          <w:sz w:val="18"/>
          <w:szCs w:val="18"/>
          <w:color w:val="auto"/>
        </w:rPr>
        <w:t>CSF signaling from GlaxoSmithKline plc, or GSK, Izana Bioscience Ltd., I-MAB Biopharma and Humanigen, Inc.</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KPL</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716</w:t>
      </w:r>
    </w:p>
    <w:p>
      <w:pPr>
        <w:spacing w:after="0" w:line="225" w:lineRule="exact"/>
        <w:rPr>
          <w:sz w:val="20"/>
          <w:szCs w:val="20"/>
          <w:color w:val="auto"/>
        </w:rPr>
      </w:pPr>
    </w:p>
    <w:p>
      <w:pPr>
        <w:ind w:right="139" w:firstLine="648"/>
        <w:spacing w:after="0" w:line="264" w:lineRule="auto"/>
        <w:rPr>
          <w:sz w:val="20"/>
          <w:szCs w:val="20"/>
          <w:color w:val="auto"/>
        </w:rPr>
      </w:pPr>
      <w:r>
        <w:rPr>
          <w:rFonts w:ascii="Arial" w:cs="Arial" w:eastAsia="Arial" w:hAnsi="Arial"/>
          <w:sz w:val="18"/>
          <w:szCs w:val="18"/>
          <w:color w:val="auto"/>
        </w:rPr>
        <w:t>We are not aware of any therapies currently approved by the FDA for the treatment of prurigo nodularis. Menlo Therapeutics Inc., Trevi Therapeutics, Inc., Regeneron, and Galderma SA, or Galderma, have programs in various stages of clinical development for the treatment of prurigo nodularis.</w:t>
      </w:r>
    </w:p>
    <w:p>
      <w:pPr>
        <w:spacing w:after="0" w:line="18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KPL</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404</w:t>
      </w:r>
    </w:p>
    <w:p>
      <w:pPr>
        <w:spacing w:after="0" w:line="225" w:lineRule="exact"/>
        <w:rPr>
          <w:sz w:val="20"/>
          <w:szCs w:val="20"/>
          <w:color w:val="auto"/>
        </w:rPr>
      </w:pPr>
    </w:p>
    <w:p>
      <w:pPr>
        <w:ind w:right="219" w:firstLine="648"/>
        <w:spacing w:after="0" w:line="264" w:lineRule="auto"/>
        <w:rPr>
          <w:sz w:val="20"/>
          <w:szCs w:val="20"/>
          <w:color w:val="auto"/>
        </w:rPr>
      </w:pPr>
      <w:r>
        <w:rPr>
          <w:rFonts w:ascii="Arial" w:cs="Arial" w:eastAsia="Arial" w:hAnsi="Arial"/>
          <w:sz w:val="18"/>
          <w:szCs w:val="18"/>
          <w:color w:val="auto"/>
        </w:rPr>
        <w:t>Novartis AG, Abbvie and Boehringer Ingelheim International GmbH, Biogen Inc. / UCB, Viela Bio, Astellas, Sanofi S.A. /ImmuNext Inc. and Anelixis Therapeutics all have active development programs with either CD40 or CD40L antagonists.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79" w:firstLine="648"/>
        <w:spacing w:after="0" w:line="217" w:lineRule="exact"/>
        <w:rPr>
          <w:sz w:val="20"/>
          <w:szCs w:val="20"/>
          <w:color w:val="auto"/>
        </w:rPr>
      </w:pPr>
      <w:r>
        <w:rPr>
          <w:rFonts w:ascii="Arial" w:cs="Arial" w:eastAsia="Arial" w:hAnsi="Arial"/>
          <w:sz w:val="16"/>
          <w:szCs w:val="16"/>
          <w:color w:val="auto"/>
        </w:rPr>
        <w:t>Our success depends in part on our ability to obtain and maintain proprietary protection for our drug candidates, manufacturing and process discoveries, and other know</w:t>
      </w:r>
      <w:r>
        <w:rPr>
          <w:rFonts w:ascii="MS PGothic" w:cs="MS PGothic" w:eastAsia="MS PGothic" w:hAnsi="MS PGothic"/>
          <w:sz w:val="16"/>
          <w:szCs w:val="16"/>
          <w:color w:val="auto"/>
        </w:rPr>
        <w:t>‑</w:t>
      </w:r>
      <w:r>
        <w:rPr>
          <w:rFonts w:ascii="Arial" w:cs="Arial" w:eastAsia="Arial" w:hAnsi="Arial"/>
          <w:sz w:val="16"/>
          <w:szCs w:val="16"/>
          <w:color w:val="auto"/>
        </w:rPr>
        <w:t>how, to operate without infringing the proprietary rights of others, and to prevent others from infringing our proprietary rights. We plan to protect our proprietary position using a variety of methods, which include pursuing U.S. and foreign patent applications related to our proprietary technology, inventions and improvements, including compositions of matter, drug product formulations, methods</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use and methods of manufacture, that are important to the development and implementation of our business. For example, we or our licensors have or are pursuing patents covering the composition of matter for each of our product candidates and we generally pursue patent protection covering methods</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use for each clinical program. We also rely on trade secrets, know</w:t>
      </w:r>
      <w:r>
        <w:rPr>
          <w:rFonts w:ascii="MS PGothic" w:cs="MS PGothic" w:eastAsia="MS PGothic" w:hAnsi="MS PGothic"/>
          <w:sz w:val="16"/>
          <w:szCs w:val="16"/>
          <w:color w:val="auto"/>
        </w:rPr>
        <w:t>‑</w:t>
      </w:r>
      <w:r>
        <w:rPr>
          <w:rFonts w:ascii="Arial" w:cs="Arial" w:eastAsia="Arial" w:hAnsi="Arial"/>
          <w:sz w:val="16"/>
          <w:szCs w:val="16"/>
          <w:color w:val="auto"/>
        </w:rPr>
        <w:t>how, continuing technological innovation and potential in</w:t>
      </w:r>
      <w:r>
        <w:rPr>
          <w:rFonts w:ascii="MS PGothic" w:cs="MS PGothic" w:eastAsia="MS PGothic" w:hAnsi="MS PGothic"/>
          <w:sz w:val="16"/>
          <w:szCs w:val="16"/>
          <w:color w:val="auto"/>
        </w:rPr>
        <w:t>‑</w:t>
      </w:r>
      <w:r>
        <w:rPr>
          <w:rFonts w:ascii="Arial" w:cs="Arial" w:eastAsia="Arial" w:hAnsi="Arial"/>
          <w:sz w:val="16"/>
          <w:szCs w:val="16"/>
          <w:color w:val="auto"/>
        </w:rPr>
        <w:t>licensing opportunities to develop and maintain our proprietary position.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Rilonacept</w:t>
      </w:r>
    </w:p>
    <w:p>
      <w:pPr>
        <w:spacing w:after="0" w:line="225" w:lineRule="exact"/>
        <w:rPr>
          <w:sz w:val="20"/>
          <w:szCs w:val="20"/>
          <w:color w:val="auto"/>
        </w:rPr>
      </w:pPr>
    </w:p>
    <w:p>
      <w:pPr>
        <w:ind w:right="19" w:firstLine="648"/>
        <w:spacing w:after="0" w:line="217" w:lineRule="exact"/>
        <w:rPr>
          <w:sz w:val="20"/>
          <w:szCs w:val="20"/>
          <w:color w:val="auto"/>
        </w:rPr>
      </w:pPr>
      <w:r>
        <w:rPr>
          <w:rFonts w:ascii="Arial" w:cs="Arial" w:eastAsia="Arial" w:hAnsi="Arial"/>
          <w:sz w:val="17"/>
          <w:szCs w:val="17"/>
          <w:color w:val="auto"/>
        </w:rPr>
        <w:t>We have a field</w:t>
      </w:r>
      <w:r>
        <w:rPr>
          <w:rFonts w:ascii="MS PGothic" w:cs="MS PGothic" w:eastAsia="MS PGothic" w:hAnsi="MS PGothic"/>
          <w:sz w:val="17"/>
          <w:szCs w:val="17"/>
          <w:color w:val="auto"/>
        </w:rPr>
        <w:t>‑</w:t>
      </w:r>
      <w:r>
        <w:rPr>
          <w:rFonts w:ascii="Arial" w:cs="Arial" w:eastAsia="Arial" w:hAnsi="Arial"/>
          <w:sz w:val="17"/>
          <w:szCs w:val="17"/>
          <w:color w:val="auto"/>
        </w:rPr>
        <w:t>specific exclusive license under the Regeneron Agreement to granted patents and pending applications in the United States and numerous other jurisdictions relating to rilonacept. As of December 31, 2019, the patent rights in</w:t>
      </w:r>
      <w:r>
        <w:rPr>
          <w:rFonts w:ascii="MS PGothic" w:cs="MS PGothic" w:eastAsia="MS PGothic" w:hAnsi="MS PGothic"/>
          <w:sz w:val="17"/>
          <w:szCs w:val="17"/>
          <w:color w:val="auto"/>
        </w:rPr>
        <w:t>‑</w:t>
      </w:r>
      <w:r>
        <w:rPr>
          <w:rFonts w:ascii="Arial" w:cs="Arial" w:eastAsia="Arial" w:hAnsi="Arial"/>
          <w:sz w:val="17"/>
          <w:szCs w:val="17"/>
          <w:color w:val="auto"/>
        </w:rPr>
        <w:t>licensed under the Regeneron Agreement relating to our program include one granted patent in the United States and 47 patents granted in other jurisdictions, including Canada, Australia, Brazil and selected countries in Europe and Asia. In addition, the patent rights in</w:t>
      </w:r>
      <w:r>
        <w:rPr>
          <w:rFonts w:ascii="MS PGothic" w:cs="MS PGothic" w:eastAsia="MS PGothic" w:hAnsi="MS PGothic"/>
          <w:sz w:val="17"/>
          <w:szCs w:val="17"/>
          <w:color w:val="auto"/>
        </w:rPr>
        <w:t>‑</w:t>
      </w:r>
      <w:r>
        <w:rPr>
          <w:rFonts w:ascii="Arial" w:cs="Arial" w:eastAsia="Arial" w:hAnsi="Arial"/>
          <w:sz w:val="17"/>
          <w:szCs w:val="17"/>
          <w:color w:val="auto"/>
        </w:rPr>
        <w:t>licensed under the Regeneron Agreement relating to our program include patent applications that are pending in the United States. A U.S. patent covering rilonacept as a composition of matter has a statutory expiration date in 2019, not including patent term adjustment, and relevant counterparts outside of the United States are expected to expire between 2019 and 2023, in each case, not including any patent term extensions. If we are successful in obtaining regulatory approval of rilonacept for the treatment of recurrent pericarditis and receive orphan designation, we would rely on orphan exclusivity, which generally grants seven years of marketing exclusivity in the United States and 10 years of marketing exclusivity in Europe. See “—License agreement with Regeneron” above for additional information on our rights under the Regeneron Agreement.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Mavrilimumab</w:t>
      </w:r>
    </w:p>
    <w:p>
      <w:pPr>
        <w:spacing w:after="0" w:line="225" w:lineRule="exact"/>
        <w:rPr>
          <w:sz w:val="20"/>
          <w:szCs w:val="20"/>
          <w:color w:val="auto"/>
        </w:rPr>
      </w:pPr>
    </w:p>
    <w:p>
      <w:pPr>
        <w:ind w:right="19" w:firstLine="648"/>
        <w:spacing w:after="0" w:line="217" w:lineRule="exact"/>
        <w:rPr>
          <w:sz w:val="20"/>
          <w:szCs w:val="20"/>
          <w:color w:val="auto"/>
        </w:rPr>
      </w:pPr>
      <w:r>
        <w:rPr>
          <w:rFonts w:ascii="Arial" w:cs="Arial" w:eastAsia="Arial" w:hAnsi="Arial"/>
          <w:sz w:val="17"/>
          <w:szCs w:val="17"/>
          <w:color w:val="auto"/>
        </w:rPr>
        <w:t>We have an exclusive license under the MedImmune Agreement to granted patents and pending patent applications in the United States and numerous other jurisdictions relating to mavrilimumab. These patents and patent applications cover mavrilimumab as a composition of matter and its use. As of December 31, 2019, the patent rights in</w:t>
      </w:r>
      <w:r>
        <w:rPr>
          <w:rFonts w:ascii="MS PGothic" w:cs="MS PGothic" w:eastAsia="MS PGothic" w:hAnsi="MS PGothic"/>
          <w:sz w:val="17"/>
          <w:szCs w:val="17"/>
          <w:color w:val="auto"/>
        </w:rPr>
        <w:t>‑</w:t>
      </w:r>
      <w:r>
        <w:rPr>
          <w:rFonts w:ascii="Arial" w:cs="Arial" w:eastAsia="Arial" w:hAnsi="Arial"/>
          <w:sz w:val="17"/>
          <w:szCs w:val="17"/>
          <w:color w:val="auto"/>
        </w:rPr>
        <w:t>licensed under the MedImmune Agreement relating to our program include three granted patents in the United States and 106 patents granted in other jurisdictions, including Canada, Australia and selected countries in Europe and Asia. In addition, the patent rights in</w:t>
      </w:r>
      <w:r>
        <w:rPr>
          <w:rFonts w:ascii="MS PGothic" w:cs="MS PGothic" w:eastAsia="MS PGothic" w:hAnsi="MS PGothic"/>
          <w:sz w:val="17"/>
          <w:szCs w:val="17"/>
          <w:color w:val="auto"/>
        </w:rPr>
        <w:t>‑</w:t>
      </w:r>
      <w:r>
        <w:rPr>
          <w:rFonts w:ascii="Arial" w:cs="Arial" w:eastAsia="Arial" w:hAnsi="Arial"/>
          <w:sz w:val="17"/>
          <w:szCs w:val="17"/>
          <w:color w:val="auto"/>
        </w:rPr>
        <w:t>licensed under the MedImmune Agreement relating to our program include patent applications that are pending in the United States and selected countries in Asia and Latin America. The composition of matter patents for mavrilimumab generally have statutory expiration dates in 2027, although the term of some U.S. patents may be longer due to patent term adjustment to compensate for delays during the patent prosecution process. Patent term extension could extend the expiration date of one patent in the United States and patents in certain other jurisdictions, each in accordance with applicable law. There can be no assurances that patents will issue from any</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pending patent applications. See “—License agreement with MedImmune” above for additional information on our rights under the MedImmune Agreement.”</w:t>
      </w:r>
    </w:p>
    <w:p>
      <w:pPr>
        <w:spacing w:after="0" w:line="170"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KPL</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716</w:t>
      </w:r>
    </w:p>
    <w:p>
      <w:pPr>
        <w:spacing w:after="0" w:line="225"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We own, via our acquisition of certain assets from Biogen, granted patents and pending patent applications in the United States and numerous other jurisdictions relating to KPL</w:t>
      </w:r>
      <w:r>
        <w:rPr>
          <w:rFonts w:ascii="MS PGothic" w:cs="MS PGothic" w:eastAsia="MS PGothic" w:hAnsi="MS PGothic"/>
          <w:sz w:val="17"/>
          <w:szCs w:val="17"/>
          <w:color w:val="auto"/>
        </w:rPr>
        <w:t>‑</w:t>
      </w:r>
      <w:r>
        <w:rPr>
          <w:rFonts w:ascii="Arial" w:cs="Arial" w:eastAsia="Arial" w:hAnsi="Arial"/>
          <w:sz w:val="17"/>
          <w:szCs w:val="17"/>
          <w:color w:val="auto"/>
        </w:rPr>
        <w:t>716. These patents and patent applications cover KPL</w:t>
      </w:r>
      <w:r>
        <w:rPr>
          <w:rFonts w:ascii="MS PGothic" w:cs="MS PGothic" w:eastAsia="MS PGothic" w:hAnsi="MS PGothic"/>
          <w:sz w:val="17"/>
          <w:szCs w:val="17"/>
          <w:color w:val="auto"/>
        </w:rPr>
        <w:t>‑</w:t>
      </w:r>
      <w:r>
        <w:rPr>
          <w:rFonts w:ascii="Arial" w:cs="Arial" w:eastAsia="Arial" w:hAnsi="Arial"/>
          <w:sz w:val="17"/>
          <w:szCs w:val="17"/>
          <w:color w:val="auto"/>
        </w:rPr>
        <w:t>716 as a composition of matter and its use. As of December 31, 2019, the patent rights acquired from Biogen include four patents granted in the United States and 32 patents granted in other jurisdictions, including Australia, Mexico and selected countries in Europe and Asia. In addition, the patent rights acquired from Biogen include patent applications pending in the United States, Europe, Canada, and selected countries in Asia. The issued composition of matter patents for KPL</w:t>
      </w:r>
      <w:r>
        <w:rPr>
          <w:rFonts w:ascii="MS PGothic" w:cs="MS PGothic" w:eastAsia="MS PGothic" w:hAnsi="MS PGothic"/>
          <w:sz w:val="17"/>
          <w:szCs w:val="17"/>
          <w:color w:val="auto"/>
        </w:rPr>
        <w:t>‑</w:t>
      </w:r>
      <w:r>
        <w:rPr>
          <w:rFonts w:ascii="Arial" w:cs="Arial" w:eastAsia="Arial" w:hAnsi="Arial"/>
          <w:sz w:val="17"/>
          <w:szCs w:val="17"/>
          <w:color w:val="auto"/>
        </w:rPr>
        <w:t>716 have statutory expiration dates in 2034. Patent term extension could extend the expiration date of one patent in the United States and patents in certain other jurisdictions, each in accordance with applicable law. There can be no assurance that patents will issue from any of our pending patent applications. See “—Biogen asset purchase agreement” above for additional information on our rights under the Biogen Agreement.</w:t>
      </w:r>
    </w:p>
    <w:p>
      <w:pPr>
        <w:spacing w:after="0" w:line="202"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The term of individual patents depends upon the legal term for patents in the countries in which they are obtained. In most countries, including the United States, the patent term is 20 years from the earliest filing date of a non</w:t>
      </w:r>
      <w:r>
        <w:rPr>
          <w:rFonts w:ascii="MS PGothic" w:cs="MS PGothic" w:eastAsia="MS PGothic" w:hAnsi="MS PGothic"/>
          <w:sz w:val="17"/>
          <w:szCs w:val="17"/>
          <w:color w:val="auto"/>
        </w:rPr>
        <w:t>‑</w:t>
      </w:r>
      <w:r>
        <w:rPr>
          <w:rFonts w:ascii="Arial" w:cs="Arial" w:eastAsia="Arial" w:hAnsi="Arial"/>
          <w:sz w:val="17"/>
          <w:szCs w:val="17"/>
          <w:color w:val="auto"/>
        </w:rPr>
        <w:t>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expiring patent. In certain countries, the term of a patent that covers a drug product may also be eligible for patent term extension when regulatory approval is granted, provided the legal requirements are met. In the future, if and when our drug candidates receive approval by the FDA or comparable regulatory authorities in other jurisdictions, provided the legal requirements are met, we expect to apply for patent term extensions on issued patents covering those drugs, depending upon the length of the clinical trials for each drug and other factors. There can be no assurance that any of our pending patent applications will issue or that we will benefit from any patent term extension or favorable adjustment to the term of any of our patents.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KPL-404</w:t>
      </w:r>
    </w:p>
    <w:p>
      <w:pPr>
        <w:spacing w:after="0" w:line="225" w:lineRule="exact"/>
        <w:rPr>
          <w:sz w:val="20"/>
          <w:szCs w:val="20"/>
          <w:color w:val="auto"/>
        </w:rPr>
      </w:pPr>
    </w:p>
    <w:p>
      <w:pPr>
        <w:ind w:right="120" w:firstLine="648"/>
        <w:spacing w:after="0" w:line="217" w:lineRule="exact"/>
        <w:rPr>
          <w:sz w:val="20"/>
          <w:szCs w:val="20"/>
          <w:color w:val="auto"/>
        </w:rPr>
      </w:pPr>
      <w:r>
        <w:rPr>
          <w:rFonts w:ascii="Arial" w:cs="Arial" w:eastAsia="Arial" w:hAnsi="Arial"/>
          <w:sz w:val="17"/>
          <w:szCs w:val="17"/>
          <w:color w:val="auto"/>
        </w:rPr>
        <w:t>We own, via our acquisition of Primatope, granted patents and pending patent applications in the United States and numerous other jurisdictions relating to KPL</w:t>
      </w:r>
      <w:r>
        <w:rPr>
          <w:rFonts w:ascii="MS PGothic" w:cs="MS PGothic" w:eastAsia="MS PGothic" w:hAnsi="MS PGothic"/>
          <w:sz w:val="17"/>
          <w:szCs w:val="17"/>
          <w:color w:val="auto"/>
        </w:rPr>
        <w:t>‑</w:t>
      </w:r>
      <w:r>
        <w:rPr>
          <w:rFonts w:ascii="Arial" w:cs="Arial" w:eastAsia="Arial" w:hAnsi="Arial"/>
          <w:sz w:val="17"/>
          <w:szCs w:val="17"/>
          <w:color w:val="auto"/>
        </w:rPr>
        <w:t>404. We also have an exclusive license with Beth Israel Deaconess Medical Center to granted patents and pending patent applications in the United States and numerous other jurisdictions relating to KPL-404. These patents and patent applications cover KPL</w:t>
      </w:r>
      <w:r>
        <w:rPr>
          <w:rFonts w:ascii="MS PGothic" w:cs="MS PGothic" w:eastAsia="MS PGothic" w:hAnsi="MS PGothic"/>
          <w:sz w:val="17"/>
          <w:szCs w:val="17"/>
          <w:color w:val="auto"/>
        </w:rPr>
        <w:t>‑</w:t>
      </w:r>
      <w:r>
        <w:rPr>
          <w:rFonts w:ascii="Arial" w:cs="Arial" w:eastAsia="Arial" w:hAnsi="Arial"/>
          <w:sz w:val="17"/>
          <w:szCs w:val="17"/>
          <w:color w:val="auto"/>
        </w:rPr>
        <w:t>404 as a composition of matter and its use. As of December 31, 2019, the patent rights acquired from Primatope include two patents granted in the United States. In addition, the patent rights acquired from Primatope include patent applications pending in the United States, Europe, Canada, and selected countries in Asia. The issued composition of matter patents have statutory expiration dates in 2036. As of December 31, 2019, the patent rights licensed from Beth Israel Deaconess Medical Center include two patents granted in the United States and 30 patents granted in other jurisdictions, including Australia and selected countries in Europe and Asia. In addition, the patent rights licensed from Beth Israel Deaconess Medical Center include patent applications pending in the United States, Europe, Canada, and selected countries in Asia. The issued composition of matter patents licensed from Beth Israel Deaconess Medical Center have statutory expiration dates in 2032, not including any patent term extensions or adjustments. Patent term extension could extend the expiration date of one patent in the United States and patents in certain other jurisdictions, each in accordance with applicable law. There can be no assurance that patents will issue from any of our pending patent applications.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300" w:firstLine="648"/>
        <w:spacing w:after="0" w:line="219" w:lineRule="exact"/>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labeling, packaging, storage, record</w:t>
      </w:r>
      <w:r>
        <w:rPr>
          <w:rFonts w:ascii="MS PGothic" w:cs="MS PGothic" w:eastAsia="MS PGothic" w:hAnsi="MS PGothic"/>
          <w:sz w:val="16"/>
          <w:szCs w:val="16"/>
          <w:color w:val="auto"/>
        </w:rPr>
        <w:t>‑</w:t>
      </w:r>
      <w:r>
        <w:rPr>
          <w:rFonts w:ascii="Arial" w:cs="Arial" w:eastAsia="Arial" w:hAnsi="Arial"/>
          <w:sz w:val="16"/>
          <w:szCs w:val="16"/>
          <w:color w:val="auto"/>
        </w:rPr>
        <w:t>keeping, promotion, advertising, distribution, post</w:t>
      </w:r>
      <w:r>
        <w:rPr>
          <w:rFonts w:ascii="MS PGothic" w:cs="MS PGothic" w:eastAsia="MS PGothic" w:hAnsi="MS PGothic"/>
          <w:sz w:val="16"/>
          <w:szCs w:val="16"/>
          <w:color w:val="auto"/>
        </w:rPr>
        <w:t>‑</w:t>
      </w:r>
      <w:r>
        <w:rPr>
          <w:rFonts w:ascii="Arial" w:cs="Arial" w:eastAsia="Arial" w:hAnsi="Arial"/>
          <w:sz w:val="16"/>
          <w:szCs w:val="16"/>
          <w:color w:val="auto"/>
        </w:rPr>
        <w:t>approval monitoring and reporting, marketing and export and import of drug products, such as rilonacept, mavrilimumab and our other product candidates. Generally, before a new drug can be marketed, considerable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9"/>
        <w:spacing w:after="0" w:line="277" w:lineRule="auto"/>
        <w:rPr>
          <w:sz w:val="20"/>
          <w:szCs w:val="20"/>
          <w:color w:val="auto"/>
        </w:rPr>
      </w:pPr>
      <w:r>
        <w:rPr>
          <w:rFonts w:ascii="Arial" w:cs="Arial" w:eastAsia="Arial" w:hAnsi="Arial"/>
          <w:sz w:val="18"/>
          <w:szCs w:val="18"/>
          <w:color w:val="auto"/>
        </w:rPr>
        <w:t>data demonstrating its quality, safety and efficacy must be obtained, organized into a format specific for each regulatory authority, submitted for review and approved by the regulatory authority.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 of Biological Products</w:t>
      </w:r>
    </w:p>
    <w:p>
      <w:pPr>
        <w:spacing w:after="0" w:line="225" w:lineRule="exact"/>
        <w:rPr>
          <w:sz w:val="20"/>
          <w:szCs w:val="20"/>
          <w:color w:val="auto"/>
        </w:rPr>
      </w:pPr>
    </w:p>
    <w:p>
      <w:pPr>
        <w:ind w:right="59" w:firstLine="648"/>
        <w:spacing w:after="0" w:line="289" w:lineRule="auto"/>
        <w:rPr>
          <w:sz w:val="20"/>
          <w:szCs w:val="20"/>
          <w:color w:val="auto"/>
        </w:rPr>
      </w:pPr>
      <w:r>
        <w:rPr>
          <w:rFonts w:ascii="Arial" w:cs="Arial" w:eastAsia="Arial" w:hAnsi="Arial"/>
          <w:sz w:val="16"/>
          <w:szCs w:val="16"/>
          <w:color w:val="auto"/>
        </w:rPr>
        <w:t>In the United States, the FDA regulates biologics under the Federal Food, Drug, and Cosmetic Act, or FDCA, and the Public Health Service Act, or PHSA, and their implementing regulations. Products are also subject to other federal, state and local statutes and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biologic license applications, or BLAs, withdrawal of an approval, imposition of a clinical hold, issuance of warning letters, product recalls, product seizures, total or partial suspension of production or distribution, injunctions, fines, refusals of government contracts, restitution, disgorgement of profits or civil or criminal penalties.</w:t>
      </w:r>
    </w:p>
    <w:p>
      <w:pPr>
        <w:spacing w:after="0" w:line="167" w:lineRule="exact"/>
        <w:rPr>
          <w:sz w:val="20"/>
          <w:szCs w:val="20"/>
          <w:color w:val="auto"/>
        </w:rPr>
      </w:pPr>
    </w:p>
    <w:p>
      <w:pPr>
        <w:ind w:right="339" w:firstLine="648"/>
        <w:spacing w:after="0" w:line="277" w:lineRule="auto"/>
        <w:rPr>
          <w:sz w:val="20"/>
          <w:szCs w:val="20"/>
          <w:color w:val="auto"/>
        </w:rPr>
      </w:pPr>
      <w:r>
        <w:rPr>
          <w:rFonts w:ascii="Arial" w:cs="Arial" w:eastAsia="Arial" w:hAnsi="Arial"/>
          <w:sz w:val="18"/>
          <w:szCs w:val="18"/>
          <w:color w:val="auto"/>
        </w:rPr>
        <w:t>The process required by the FDA before a biologic may be marketed in the United States generally involves the following:</w:t>
      </w:r>
    </w:p>
    <w:p>
      <w:pPr>
        <w:spacing w:after="0" w:line="170" w:lineRule="exact"/>
        <w:rPr>
          <w:sz w:val="20"/>
          <w:szCs w:val="20"/>
          <w:color w:val="auto"/>
        </w:rPr>
      </w:pPr>
    </w:p>
    <w:p>
      <w:pPr>
        <w:jc w:val="both"/>
        <w:ind w:left="980" w:right="19" w:hanging="329"/>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Completion of extensive preclinical studies and tests in accordance with applicable regulations, including Good Laboratory Practice, or GLP, regulations and applicable requirements for the humane use of laboratory animals or other applicable regulations;</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Submission to FDA of an IND which must become effective before human clinical trials may begin;</w:t>
      </w:r>
    </w:p>
    <w:p>
      <w:pPr>
        <w:spacing w:after="0" w:line="225" w:lineRule="exact"/>
        <w:rPr>
          <w:rFonts w:ascii="Arial" w:cs="Arial" w:eastAsia="Arial" w:hAnsi="Arial"/>
          <w:sz w:val="18"/>
          <w:szCs w:val="18"/>
          <w:color w:val="auto"/>
        </w:rPr>
      </w:pPr>
    </w:p>
    <w:p>
      <w:pPr>
        <w:ind w:left="980" w:right="279" w:hanging="329"/>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trial site before each trial may be initiated;</w:t>
      </w:r>
    </w:p>
    <w:p>
      <w:pPr>
        <w:spacing w:after="0" w:line="170" w:lineRule="exact"/>
        <w:rPr>
          <w:rFonts w:ascii="Arial" w:cs="Arial" w:eastAsia="Arial" w:hAnsi="Arial"/>
          <w:sz w:val="18"/>
          <w:szCs w:val="18"/>
          <w:color w:val="auto"/>
        </w:rPr>
      </w:pPr>
    </w:p>
    <w:p>
      <w:pPr>
        <w:ind w:left="980" w:right="219" w:hanging="329"/>
        <w:spacing w:after="0" w:line="221" w:lineRule="exact"/>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of 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 human clinical trials in accordance with applicable IND regulations, good clinical practices, or GCPs, and other clinical</w:t>
      </w:r>
      <w:r>
        <w:rPr>
          <w:rFonts w:ascii="MS PGothic" w:cs="MS PGothic" w:eastAsia="MS PGothic" w:hAnsi="MS PGothic"/>
          <w:sz w:val="18"/>
          <w:szCs w:val="18"/>
          <w:color w:val="auto"/>
        </w:rPr>
        <w:t>‑</w:t>
      </w:r>
      <w:r>
        <w:rPr>
          <w:rFonts w:ascii="Arial" w:cs="Arial" w:eastAsia="Arial" w:hAnsi="Arial"/>
          <w:sz w:val="18"/>
          <w:szCs w:val="18"/>
          <w:color w:val="auto"/>
        </w:rPr>
        <w:t>trial related regulations to evaluate the safety and efficacy of the investigational product for each proposed indication;</w:t>
      </w:r>
    </w:p>
    <w:p>
      <w:pPr>
        <w:spacing w:after="0" w:line="201" w:lineRule="exact"/>
        <w:rPr>
          <w:rFonts w:ascii="Arial" w:cs="Arial" w:eastAsia="Arial" w:hAnsi="Arial"/>
          <w:sz w:val="18"/>
          <w:szCs w:val="18"/>
          <w:color w:val="auto"/>
        </w:rPr>
      </w:pPr>
    </w:p>
    <w:p>
      <w:pPr>
        <w:ind w:left="980" w:right="179" w:hanging="329"/>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Submission to FDA of a BLA for marketing approval that includes substantive evidence of safety, purity, and potency from results of preclinical testing and clinical trials;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determination by FDA within 60 days of its receipt of a BLA to accept the filing for review;</w:t>
      </w:r>
    </w:p>
    <w:p>
      <w:pPr>
        <w:spacing w:after="0" w:line="225" w:lineRule="exact"/>
        <w:rPr>
          <w:rFonts w:ascii="Arial" w:cs="Arial" w:eastAsia="Arial" w:hAnsi="Arial"/>
          <w:sz w:val="18"/>
          <w:szCs w:val="18"/>
          <w:color w:val="auto"/>
        </w:rPr>
      </w:pPr>
    </w:p>
    <w:p>
      <w:pPr>
        <w:ind w:left="980" w:right="39" w:hanging="329"/>
        <w:spacing w:after="0" w:line="220" w:lineRule="exact"/>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Satisfactory completion of one or more FDA pre</w:t>
      </w:r>
      <w:r>
        <w:rPr>
          <w:rFonts w:ascii="MS PGothic" w:cs="MS PGothic" w:eastAsia="MS PGothic" w:hAnsi="MS PGothic"/>
          <w:sz w:val="18"/>
          <w:szCs w:val="18"/>
          <w:color w:val="auto"/>
        </w:rPr>
        <w:t>‑</w:t>
      </w:r>
      <w:r>
        <w:rPr>
          <w:rFonts w:ascii="Arial" w:cs="Arial" w:eastAsia="Arial" w:hAnsi="Arial"/>
          <w:sz w:val="18"/>
          <w:szCs w:val="18"/>
          <w:color w:val="auto"/>
        </w:rPr>
        <w:t>approval inspections of the manufacturing facility or facilities where the biologic will be produced to assess compliance with cGMPs to assure that the facilities, methods and controls used in product manufacture are adequate to preserve the biologic’s identity, strength, quality and purity;</w:t>
      </w:r>
    </w:p>
    <w:p>
      <w:pPr>
        <w:spacing w:after="0" w:line="204"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Potential FDA audit of the preclinical or clinical trial sites that generated the data in support of the BLA;</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 of user fees for FDA review of the BLA; and</w:t>
      </w:r>
    </w:p>
    <w:p>
      <w:pPr>
        <w:spacing w:after="0" w:line="225" w:lineRule="exact"/>
        <w:rPr>
          <w:rFonts w:ascii="Arial" w:cs="Arial" w:eastAsia="Arial" w:hAnsi="Arial"/>
          <w:sz w:val="18"/>
          <w:szCs w:val="18"/>
          <w:color w:val="auto"/>
        </w:rPr>
      </w:pPr>
    </w:p>
    <w:p>
      <w:pPr>
        <w:ind w:left="980" w:right="539" w:hanging="329"/>
        <w:spacing w:after="0" w:line="342"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FDA review and approval of the BLA, including satisfactory completion of an FDA advisory committee review, if applicable, prior to any commercial marketing or sale of the product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 and CMC Evaluations</w:t>
      </w:r>
    </w:p>
    <w:p>
      <w:pPr>
        <w:spacing w:after="0" w:line="225" w:lineRule="exact"/>
        <w:rPr>
          <w:sz w:val="20"/>
          <w:szCs w:val="20"/>
          <w:color w:val="auto"/>
        </w:rPr>
      </w:pPr>
    </w:p>
    <w:p>
      <w:pPr>
        <w:ind w:right="39" w:firstLine="648"/>
        <w:spacing w:after="0" w:line="308" w:lineRule="auto"/>
        <w:rPr>
          <w:sz w:val="20"/>
          <w:szCs w:val="20"/>
          <w:color w:val="auto"/>
        </w:rPr>
      </w:pPr>
      <w:r>
        <w:rPr>
          <w:rFonts w:ascii="Arial" w:cs="Arial" w:eastAsia="Arial" w:hAnsi="Arial"/>
          <w:sz w:val="17"/>
          <w:szCs w:val="17"/>
          <w:color w:val="auto"/>
        </w:rPr>
        <w:t>Before testing any biological product candidate, including our product candidates, in humans, the product candidate must undergo rigorous preclinical testing. The preclinical development stage generally involves laboratory</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evaluations of the chemistry, formulation and stability of the product candidate, as well as trials to evaluate toxicity in animals, which support subsequent clinical testing. The conduct of the preclinical tests must comply with federal regulations and requirements, including GLP regulations. The sponsor must submit the results of the preclinical studies, together with chemistry manufacturing and controls, or CMC,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 Some preclinical testing may continue even after the IND is submitted. An IND automatically becomes effective 30 days after receipt by the FDA, unless before that time the FDA raises concerns or questions related to CMC issues, preclinical issues, or one or more issues in the proposed clinical trials and places the clinical trial on a clinical hold. In such a case, the IND sponsor and the FDA must resolve any outstanding concerns before the clinical trial can begin. As a result, submission of an IND may not necessarily result in the FDA allowing clinical trials to commence. The FDA also may place the IND on partial clinical hold, and a proposed study may only be partially executable, including due to FDA restrictions.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The clinical stage of development involves the administration of the investigational product to healthy volunteers or patients under the supervision of qualified investigators, generally physicians not employed by, or under control of, the trial sponsor,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inclusion/exclusion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Information about most clinical trials in must be submitted within specific timeframes for publication on the </w:t>
      </w:r>
      <w:r>
        <w:rPr>
          <w:rFonts w:ascii="Arial" w:cs="Arial" w:eastAsia="Arial" w:hAnsi="Arial"/>
          <w:sz w:val="16"/>
          <w:szCs w:val="16"/>
          <w:i w:val="1"/>
          <w:iCs w:val="1"/>
          <w:color w:val="auto"/>
        </w:rPr>
        <w:t>www.clinicaltrials.gov</w:t>
      </w:r>
      <w:r>
        <w:rPr>
          <w:rFonts w:ascii="Arial" w:cs="Arial" w:eastAsia="Arial" w:hAnsi="Arial"/>
          <w:sz w:val="16"/>
          <w:szCs w:val="16"/>
          <w:color w:val="auto"/>
        </w:rPr>
        <w:t xml:space="preserve"> website. Information related to the product, patient population, phase of investigation, study sites and investigators and other aspects of the clinical trial is made public as part of the registration of the clinical trial. Sponsors are also obligated to disclose the results of certain qualifying clinical trials after completion. Disclosure of the results of these trials can be delayed in some cases for up to two years after the date of completion of the trial. Competitors may use this publicly available information to gain knowledge regarding the progress of product candidates.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Human clinical trials are typically conducted in three sequential phases, which may overlap or be combined:</w:t>
      </w:r>
    </w:p>
    <w:p>
      <w:pPr>
        <w:spacing w:after="0" w:line="237" w:lineRule="exact"/>
        <w:rPr>
          <w:sz w:val="20"/>
          <w:szCs w:val="20"/>
          <w:color w:val="auto"/>
        </w:rPr>
      </w:pPr>
    </w:p>
    <w:p>
      <w:pPr>
        <w:ind w:left="980" w:right="120" w:hanging="329"/>
        <w:spacing w:after="0" w:line="220" w:lineRule="exact"/>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or disease</w:t>
      </w:r>
      <w:r>
        <w:rPr>
          <w:rFonts w:ascii="MS PGothic" w:cs="MS PGothic" w:eastAsia="MS PGothic" w:hAnsi="MS PGothic"/>
          <w:sz w:val="18"/>
          <w:szCs w:val="18"/>
          <w:color w:val="auto"/>
        </w:rPr>
        <w:t>‑</w:t>
      </w:r>
      <w:r>
        <w:rPr>
          <w:rFonts w:ascii="Arial" w:cs="Arial" w:eastAsia="Arial" w:hAnsi="Arial"/>
          <w:sz w:val="18"/>
          <w:szCs w:val="18"/>
          <w:color w:val="auto"/>
        </w:rPr>
        <w:t>affected patients who are initially exposed to a single dose and then multiple doses of the product candidate. The primary purpose of these clinical trials is to assess the metabolism, pharmacologic action, side effect tolerability and safety of the drug.</w:t>
      </w:r>
    </w:p>
    <w:p>
      <w:pPr>
        <w:spacing w:after="0" w:line="204" w:lineRule="exact"/>
        <w:rPr>
          <w:rFonts w:ascii="Arial" w:cs="Arial" w:eastAsia="Arial" w:hAnsi="Arial"/>
          <w:sz w:val="18"/>
          <w:szCs w:val="18"/>
          <w:color w:val="auto"/>
        </w:rPr>
      </w:pPr>
    </w:p>
    <w:p>
      <w:pPr>
        <w:ind w:left="980" w:right="100" w:hanging="329"/>
        <w:spacing w:after="0" w:line="220" w:lineRule="exact"/>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Phase 2 clinical trials involve studies in disease</w:t>
      </w:r>
      <w:r>
        <w:rPr>
          <w:rFonts w:ascii="MS PGothic" w:cs="MS PGothic" w:eastAsia="MS PGothic" w:hAnsi="MS PGothic"/>
          <w:sz w:val="18"/>
          <w:szCs w:val="18"/>
          <w:color w:val="auto"/>
        </w:rPr>
        <w:t>‑</w:t>
      </w:r>
      <w:r>
        <w:rPr>
          <w:rFonts w:ascii="Arial" w:cs="Arial" w:eastAsia="Arial" w:hAnsi="Arial"/>
          <w:sz w:val="18"/>
          <w:szCs w:val="18"/>
          <w:color w:val="auto"/>
        </w:rPr>
        <w:t>affected patients to determine the optimal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204" w:lineRule="exact"/>
        <w:rPr>
          <w:rFonts w:ascii="Arial" w:cs="Arial" w:eastAsia="Arial" w:hAnsi="Arial"/>
          <w:sz w:val="18"/>
          <w:szCs w:val="18"/>
          <w:color w:val="auto"/>
        </w:rPr>
      </w:pPr>
    </w:p>
    <w:p>
      <w:pPr>
        <w:ind w:left="980" w:right="40" w:hanging="329"/>
        <w:spacing w:after="0" w:line="297"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Phase 3 clinical trials generally involve a larger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labeling and approval. These trials may include comparisons with placebo or other comparator treatments. The duration of treatment is often extended to mimic the actual use of a product during marketing.</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560" w:firstLine="648"/>
        <w:spacing w:after="0" w:line="220" w:lineRule="exact"/>
        <w:rPr>
          <w:sz w:val="20"/>
          <w:szCs w:val="20"/>
          <w:color w:val="auto"/>
        </w:rPr>
      </w:pPr>
      <w:r>
        <w:rPr>
          <w:rFonts w:ascii="Arial" w:cs="Arial" w:eastAsia="Arial" w:hAnsi="Arial"/>
          <w:sz w:val="18"/>
          <w:szCs w:val="18"/>
          <w:color w:val="auto"/>
        </w:rPr>
        <w:t>Post</w:t>
      </w:r>
      <w:r>
        <w:rPr>
          <w:rFonts w:ascii="MS PGothic" w:cs="MS PGothic" w:eastAsia="MS PGothic" w:hAnsi="MS PGothic"/>
          <w:sz w:val="18"/>
          <w:szCs w:val="18"/>
          <w:color w:val="auto"/>
        </w:rPr>
        <w:t>‑</w:t>
      </w:r>
      <w:r>
        <w:rPr>
          <w:rFonts w:ascii="Arial" w:cs="Arial" w:eastAsia="Arial" w:hAnsi="Arial"/>
          <w:sz w:val="18"/>
          <w:szCs w:val="18"/>
          <w:color w:val="auto"/>
        </w:rPr>
        <w:t>approval trials, sometimes referred to as Phase 4 clinical trials, may be conducted after initial marketing approval. These trials are used to gain additional experience from the treatment of patients in the intended therapeutic indication, particularly for long</w:t>
      </w:r>
      <w:r>
        <w:rPr>
          <w:rFonts w:ascii="MS PGothic" w:cs="MS PGothic" w:eastAsia="MS PGothic" w:hAnsi="MS PGothic"/>
          <w:sz w:val="18"/>
          <w:szCs w:val="18"/>
          <w:color w:val="auto"/>
        </w:rPr>
        <w:t>‑</w:t>
      </w:r>
      <w:r>
        <w:rPr>
          <w:rFonts w:ascii="Arial" w:cs="Arial" w:eastAsia="Arial" w:hAnsi="Arial"/>
          <w:sz w:val="18"/>
          <w:szCs w:val="18"/>
          <w:color w:val="auto"/>
        </w:rPr>
        <w:t>term safety follow up. In certain instances, the FDA may mandate the performance of Phase 4 clinical trials as a condition of approval of a BLA.</w:t>
      </w:r>
    </w:p>
    <w:p>
      <w:pPr>
        <w:spacing w:after="0" w:line="20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Progress reports detailing the results of the clinical trials must be submitted at least annually to the FDA and more frequently if serious adverse events occur. The FDA or the sponsor may suspend or terminate a clinical trial at any time or the FDA may impose a clinical hold on other sanctions on various grounds, including a finding that the research patients are being exposed to an unacceptable health risk. Similarly, an IRB can refuse, suspend or terminate approval of a clinical trial at its institution if the clinical trial is not being conducted in accordance with the IRBs requirements or if the drug has been associated with unexpected serious harm to patients.</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Concurrently with clinical trials, companies usually complete additional preclinical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Review and Approval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Assuming successful completion of the required clinical testing, the results of the preclinical studies and clinical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trials, together with detailed information relating to the product’s chemistry, manufacture, controls and proposed labeling,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among other things, are submitted to the FDA as part of a BLA requesting approval to market the product for one or more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indications. The BLA must contain proof of safety, purity, potency and efficacy and may include both negative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ambiguous results of preclinical studies and clinical trials as well as positive findings. Data may come from</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company</w:t>
      </w:r>
      <w:r>
        <w:rPr>
          <w:rFonts w:ascii="MS PGothic" w:cs="MS PGothic" w:eastAsia="MS PGothic" w:hAnsi="MS PGothic"/>
          <w:sz w:val="16"/>
          <w:szCs w:val="16"/>
          <w:color w:val="auto"/>
        </w:rPr>
        <w:t>‑</w:t>
      </w:r>
      <w:r>
        <w:rPr>
          <w:rFonts w:ascii="Arial" w:cs="Arial" w:eastAsia="Arial" w:hAnsi="Arial"/>
          <w:sz w:val="16"/>
          <w:szCs w:val="16"/>
          <w:color w:val="auto"/>
        </w:rPr>
        <w:t>sponsored clinical trials intended to test the safety and efficacy of a product’s use or from a number of alternative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sources, including studies initiated by investigators. To support marketing approval, the data submitted must be sufficient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quality and quantity to establish the safety and efficacy of the investigational product to the satisfaction of the FDA. FDA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approval of a BLA must be obtained before a biologic may be marketed in the United States.</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most cases, the submission of a BLA is subject to a substantial application user fee. 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60-day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w:t>
      </w:r>
    </w:p>
    <w:p>
      <w:pPr>
        <w:spacing w:after="0" w:line="189" w:lineRule="exact"/>
        <w:rPr>
          <w:sz w:val="20"/>
          <w:szCs w:val="20"/>
          <w:color w:val="auto"/>
        </w:rPr>
      </w:pPr>
    </w:p>
    <w:p>
      <w:pPr>
        <w:ind w:right="100" w:firstLine="648"/>
        <w:spacing w:after="0" w:line="219" w:lineRule="exact"/>
        <w:rPr>
          <w:sz w:val="20"/>
          <w:szCs w:val="20"/>
          <w:color w:val="auto"/>
        </w:rPr>
      </w:pPr>
      <w:r>
        <w:rPr>
          <w:rFonts w:ascii="Arial" w:cs="Arial" w:eastAsia="Arial" w:hAnsi="Arial"/>
          <w:sz w:val="18"/>
          <w:szCs w:val="18"/>
          <w:color w:val="auto"/>
        </w:rPr>
        <w:t>Before approving a BLA, the FDA will typically conduct a pre</w:t>
      </w:r>
      <w:r>
        <w:rPr>
          <w:rFonts w:ascii="MS PGothic" w:cs="MS PGothic" w:eastAsia="MS PGothic" w:hAnsi="MS PGothic"/>
          <w:sz w:val="18"/>
          <w:szCs w:val="18"/>
          <w:color w:val="auto"/>
        </w:rPr>
        <w:t>‑</w:t>
      </w:r>
      <w:r>
        <w:rPr>
          <w:rFonts w:ascii="Arial" w:cs="Arial" w:eastAsia="Arial" w:hAnsi="Arial"/>
          <w:sz w:val="18"/>
          <w:szCs w:val="18"/>
          <w:color w:val="auto"/>
        </w:rPr>
        <w:t>approval inspection of the manufacturing facilities for the new product to determine whether the manufacturing processes and facilities comply with cGMPs. The FDA will not approve the product unless it determines that the manufacturing processes and facilities are in compliance with cGMP requirements and adequate to assure consistent production of the product within required specifications. The FDA also may inspect the sponsor and one or more clinical trial sites to assure compliance with GCP requirements and the integrity of the clinical data submitted to the FDA.</w:t>
      </w:r>
    </w:p>
    <w:p>
      <w:pPr>
        <w:spacing w:after="0" w:line="203" w:lineRule="exact"/>
        <w:rPr>
          <w:sz w:val="20"/>
          <w:szCs w:val="20"/>
          <w:color w:val="auto"/>
        </w:rPr>
      </w:pPr>
    </w:p>
    <w:p>
      <w:pPr>
        <w:ind w:right="420" w:firstLine="648"/>
        <w:spacing w:after="0" w:line="219" w:lineRule="exact"/>
        <w:rPr>
          <w:sz w:val="20"/>
          <w:szCs w:val="20"/>
          <w:color w:val="auto"/>
        </w:rPr>
      </w:pPr>
      <w:r>
        <w:rPr>
          <w:rFonts w:ascii="Arial" w:cs="Arial" w:eastAsia="Arial" w:hAnsi="Arial"/>
          <w:sz w:val="16"/>
          <w:szCs w:val="16"/>
          <w:color w:val="auto"/>
        </w:rPr>
        <w:t>Additionally, the FDA may refer applications for novel biologic candidates which present challenges in interpretation of the safety or efficacy data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w:t>
      </w:r>
      <w:r>
        <w:rPr>
          <w:rFonts w:ascii="MS PGothic" w:cs="MS PGothic" w:eastAsia="MS PGothic" w:hAnsi="MS PGothic"/>
          <w:sz w:val="16"/>
          <w:szCs w:val="16"/>
          <w:color w:val="auto"/>
        </w:rPr>
        <w:t>‑</w:t>
      </w:r>
      <w:r>
        <w:rPr>
          <w:rFonts w:ascii="Arial" w:cs="Arial" w:eastAsia="Arial" w:hAnsi="Arial"/>
          <w:sz w:val="16"/>
          <w:szCs w:val="16"/>
          <w:color w:val="auto"/>
        </w:rPr>
        <w:t>analyze the clinical trial data, which</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
        <w:spacing w:after="0" w:line="218" w:lineRule="exact"/>
        <w:rPr>
          <w:sz w:val="20"/>
          <w:szCs w:val="20"/>
          <w:color w:val="auto"/>
        </w:rPr>
      </w:pPr>
      <w:r>
        <w:rPr>
          <w:rFonts w:ascii="Arial" w:cs="Arial" w:eastAsia="Arial" w:hAnsi="Arial"/>
          <w:sz w:val="16"/>
          <w:szCs w:val="16"/>
          <w:color w:val="auto"/>
        </w:rPr>
        <w:t>could result in extensive discussions between the FDA and the applicant during the review process. The FDA also may require submission of a Risk Evaluation and Mitigation Strategy, or REMS, plan if it determines that a REMS is necessary to ensure that the benefits of the drug outweigh its risks and to assure the safe use of the biological product. The REMS plan could include medication guides, physician communication plans, assessment plans or elements to assure safe use, such as restricted distribution methods, patient registries or other risk minimization tools. The FDA determines the requirement for a REMS, as well as the specific REMS provisions, on a case</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case basis. If the FDA concludes a REMS is needed, the sponsor of the BLA must submit a proposed REMS. The FDA will not approve a BLA without a REMS, if required.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the Pediatric Research Equity Act, or PREA, a BLA or supplement to a BLA must contain data that are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adequate to assess the safety and efficacy of the product candidate for the claimed indications in all relevant pediatric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populations and to support dosing and administration for each pediatric population for which the product is safe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effective. The FDA may grant deferrals for submission of pediatric data or full or partial waivers. The Food and Drug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Administration Safety and Innovation Act, or FDASIA, amended the FDCA to require that a sponsor who is planning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submit a marketing application for a product that includes a new active ingredient, new indication, new dosage form, new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dosing regimen or new route of administration submit an initial Pediatric Study Plan, or iPSP, within sixty days of an</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end</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Phase 2 meeting or, if there is no such meeting, as early as practicable before the initiation of the Phase 3 or Phase 2/3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clinical trial. The initial iPSP must include an outline of the pediatric study or studies that the sponsor plans to conduct,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trial objectives and design, age groups, relevant endpoints and statistical approach, or a justification for not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including such detailed information, and any request for a deferral of pediatric assessments or a full or partial waiver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 to provide data from pediatric studies along with supporting information. The FDA and the sponsor must reach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agreement on the iPSP. A sponsor can submit amendments to an agreed upon initial iPSP at any time if changes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pediatric plan need to be considered based on data collected from preclinical studies, early phase clinical trials or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clinical development programs.</w:t>
      </w:r>
    </w:p>
    <w:p>
      <w:pPr>
        <w:spacing w:after="0" w:line="211" w:lineRule="exact"/>
        <w:rPr>
          <w:sz w:val="20"/>
          <w:szCs w:val="20"/>
          <w:color w:val="auto"/>
        </w:rPr>
      </w:pPr>
    </w:p>
    <w:p>
      <w:pPr>
        <w:ind w:right="99" w:firstLine="648"/>
        <w:spacing w:after="0" w:line="218" w:lineRule="exact"/>
        <w:rPr>
          <w:sz w:val="20"/>
          <w:szCs w:val="20"/>
          <w:color w:val="auto"/>
        </w:rPr>
      </w:pPr>
      <w:r>
        <w:rPr>
          <w:rFonts w:ascii="Arial" w:cs="Arial" w:eastAsia="Arial" w:hAnsi="Arial"/>
          <w:sz w:val="17"/>
          <w:szCs w:val="17"/>
          <w:color w:val="auto"/>
        </w:rPr>
        <w:t>After the FDA evaluates a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BLA identified by the FDA. The Complete Response Letter may require additional clinical or other data, additional pivotal Phase 3 clinical trial(s) or other significant and time</w:t>
      </w:r>
      <w:r>
        <w:rPr>
          <w:rFonts w:ascii="MS PGothic" w:cs="MS PGothic" w:eastAsia="MS PGothic" w:hAnsi="MS PGothic"/>
          <w:sz w:val="17"/>
          <w:szCs w:val="17"/>
          <w:color w:val="auto"/>
        </w:rPr>
        <w:t>‑</w:t>
      </w:r>
      <w:r>
        <w:rPr>
          <w:rFonts w:ascii="Arial" w:cs="Arial" w:eastAsia="Arial" w:hAnsi="Arial"/>
          <w:sz w:val="17"/>
          <w:szCs w:val="17"/>
          <w:color w:val="auto"/>
        </w:rPr>
        <w:t>consuming requirements related to clinical trials, preclinical studies or manufacturing. If a Complete Response Letter is issued, the applicant may either resubmit the BLA, addressing all of the deficiencies identified in the letter, or withdraw the application. Even if such data and information are submitted, the FDA may decide that the re</w:t>
      </w:r>
      <w:r>
        <w:rPr>
          <w:rFonts w:ascii="MS PGothic" w:cs="MS PGothic" w:eastAsia="MS PGothic" w:hAnsi="MS PGothic"/>
          <w:sz w:val="17"/>
          <w:szCs w:val="17"/>
          <w:color w:val="auto"/>
        </w:rPr>
        <w:t>‑</w:t>
      </w:r>
      <w:r>
        <w:rPr>
          <w:rFonts w:ascii="Arial" w:cs="Arial" w:eastAsia="Arial" w:hAnsi="Arial"/>
          <w:sz w:val="17"/>
          <w:szCs w:val="17"/>
          <w:color w:val="auto"/>
        </w:rPr>
        <w:t>submitted BLA does not satisfy the criteria for approval.</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 product receives regulatory approval, the approval is limited to the conditions of use (e.g., patient population,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indication) described in the label. Further, depending on the specific risk(s) to be addressed, the FDA may require that</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contraindications, warnings or precautions be included in the product labeling, require that post</w:t>
      </w:r>
      <w:r>
        <w:rPr>
          <w:rFonts w:ascii="MS PGothic" w:cs="MS PGothic" w:eastAsia="MS PGothic" w:hAnsi="MS PGothic"/>
          <w:sz w:val="17"/>
          <w:szCs w:val="17"/>
          <w:color w:val="auto"/>
        </w:rPr>
        <w:t>‑</w:t>
      </w:r>
      <w:r>
        <w:rPr>
          <w:rFonts w:ascii="Arial" w:cs="Arial" w:eastAsia="Arial" w:hAnsi="Arial"/>
          <w:sz w:val="17"/>
          <w:szCs w:val="17"/>
          <w:color w:val="auto"/>
        </w:rPr>
        <w:t>approval trials, including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Phase 4 clinical trials, be conducted to further assess a product’s safety after approval, require testing and surveillance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programs to monitor the product after commercialization, or impose other conditions, including distribution and use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restrictions or other risk management mechanisms under a REMS, which can materially affect the potential market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profitability of the product. The FDA may prevent or limit further marketing of a product based on the results of</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marketing trials or surveillance programs, or new safety findings after market introduction. After approval, some types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changes to the approved product, such as adding new indications, manufacturing changes and additional labeling claims,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subject to further testing requirements and FDA review and approval.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ind w:right="19" w:firstLine="648"/>
        <w:spacing w:after="0" w:line="293" w:lineRule="auto"/>
        <w:rPr>
          <w:sz w:val="20"/>
          <w:szCs w:val="20"/>
          <w:color w:val="auto"/>
        </w:rPr>
      </w:pPr>
      <w:r>
        <w:rPr>
          <w:rFonts w:ascii="Arial" w:cs="Arial" w:eastAsia="Arial" w:hAnsi="Arial"/>
          <w:sz w:val="16"/>
          <w:szCs w:val="16"/>
          <w:color w:val="auto"/>
        </w:rPr>
        <w:t>Under the Orphan Drug Act, the FDA may grant orphan designation to a drug or biologic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 Orphan drug designation must be requested before submitting a BLA. After the FDA grants orphan drug designation, the identity of the therapeutic agent and its potential orphan use are disclosed</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publicly by the FDA. Orphan drug designation does not convey any advantage in, or shorten the duration of, the regulatory review and approval process. Orphan drug designation entitles a party to financial incentives such as opportunities for grant funding towards clinical trial costs, tax advantages and user</w:t>
      </w:r>
      <w:r>
        <w:rPr>
          <w:rFonts w:ascii="MS PGothic" w:cs="MS PGothic" w:eastAsia="MS PGothic" w:hAnsi="MS PGothic"/>
          <w:sz w:val="16"/>
          <w:szCs w:val="16"/>
          <w:color w:val="auto"/>
        </w:rPr>
        <w:t>‑</w:t>
      </w:r>
      <w:r>
        <w:rPr>
          <w:rFonts w:ascii="Arial" w:cs="Arial" w:eastAsia="Arial" w:hAnsi="Arial"/>
          <w:sz w:val="16"/>
          <w:szCs w:val="16"/>
          <w:color w:val="auto"/>
        </w:rPr>
        <w:t>fee waivers.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by providing a major contribution to patient care or in instances of drug supply issues. Orphan drug exclusivity also could block the approval of one of our products for seven years if a competitor obtains approval before we do of the same product, as defined by the FDA, for the same indication we are seeking, or if our product candidate is determined to be contained within the scope of the competitor’s product for the same indication or disease. If one of our products designated as an orphan drug receives marketing approval for an indication broader than that which is designated, it may not be entitled to orphan drug exclusivity. Orphan drug status in the European Union has similar, but not identical, requirements and benefits.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Review and Approval</w:t>
      </w:r>
    </w:p>
    <w:p>
      <w:pPr>
        <w:spacing w:after="0" w:line="225"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The FDA has various programs, including Fast Track designation, Breakthrough Therapy designation, accelerated approval and priority review, which are intended to expedite or simplify the process for the development and FDA review of drugs and biologics that are intended for the treatment of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diseases or conditions and demonstrate the potential to address unmet medical needs. The purpose of these programs is to provide important new drugs and biologics to patients earlier than under standard FDA review procedures.</w:t>
      </w:r>
    </w:p>
    <w:p>
      <w:pPr>
        <w:spacing w:after="0" w:line="205"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To be eligible for a Fast Track designation, the FDA must determine, based on the request of a sponsor, that a product is intended to treat a serious or life</w:t>
      </w:r>
      <w:r>
        <w:rPr>
          <w:rFonts w:ascii="MS PGothic" w:cs="MS PGothic" w:eastAsia="MS PGothic" w:hAnsi="MS PGothic"/>
          <w:sz w:val="18"/>
          <w:szCs w:val="18"/>
          <w:color w:val="auto"/>
        </w:rPr>
        <w:t>‑</w:t>
      </w:r>
      <w:r>
        <w:rPr>
          <w:rFonts w:ascii="Arial" w:cs="Arial" w:eastAsia="Arial" w:hAnsi="Arial"/>
          <w:sz w:val="18"/>
          <w:szCs w:val="18"/>
          <w:color w:val="auto"/>
        </w:rPr>
        <w:t>threatening disease or condition and demonstrates the potential to address an unmet medical need. Fast Track designation provides opportunities for more frequent interactions with the FDA review team to expedite development and review of the product. The FDA may also review sections of the BLA for a Fast Track product on a rolling basis before the complete application is submitted, if the sponsor and the FDA agree on a schedule for the submission of the application sections, and the sponsor pays any required user fees upon submission of the first section of the BLA.</w:t>
      </w:r>
    </w:p>
    <w:p>
      <w:pPr>
        <w:spacing w:after="0" w:line="20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is designed to treat a serious condition, and if approved, would provide a significant improvement in safety or effectiveness compared to marketed products. The FDA will attempt to direct additional resources to the evaluation of an application for a biologic designated for priority review in an effort to facilitate the review. The FDA endeavors to review original BLAs with priority review designations within six months of the filing date as compared to ten months under its standard review goals.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a product may be eligible for accelerated approval. Drug and biologics intended to treat serious or</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life</w:t>
      </w:r>
      <w:r>
        <w:rPr>
          <w:rFonts w:ascii="MS PGothic" w:cs="MS PGothic" w:eastAsia="MS PGothic" w:hAnsi="MS PGothic"/>
          <w:sz w:val="16"/>
          <w:szCs w:val="16"/>
          <w:color w:val="auto"/>
        </w:rPr>
        <w:t>‑</w:t>
      </w:r>
      <w:r>
        <w:rPr>
          <w:rFonts w:ascii="Arial" w:cs="Arial" w:eastAsia="Arial" w:hAnsi="Arial"/>
          <w:sz w:val="16"/>
          <w:szCs w:val="16"/>
          <w:color w:val="auto"/>
        </w:rPr>
        <w:t>threatening diseases or conditions may be eligible for accelerated approval upon a determination that the product has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effect on a surrogate endpoint that is reasonably likely to predict clinical benefit, or on a clinical endpoint that can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measured earlier than irreversible morbidity or mortality, that is reasonably likely to predict an effect on irreversible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morbidity or mortality or other clinical benefit, taking into account the severity, rarity, or prevalence of the condition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availability or lack of alternative treatments. As a condition of approval, the FDA may require that a sponsor of a drug</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receiving accelerated approval perform adequate and well</w:t>
      </w:r>
      <w:r>
        <w:rPr>
          <w:rFonts w:ascii="MS PGothic" w:cs="MS PGothic" w:eastAsia="MS PGothic" w:hAnsi="MS PGothic"/>
          <w:sz w:val="17"/>
          <w:szCs w:val="17"/>
          <w:color w:val="auto"/>
        </w:rPr>
        <w:t>‑</w:t>
      </w:r>
      <w:r>
        <w:rPr>
          <w:rFonts w:ascii="Arial" w:cs="Arial" w:eastAsia="Arial" w:hAnsi="Arial"/>
          <w:sz w:val="17"/>
          <w:szCs w:val="17"/>
          <w:color w:val="auto"/>
        </w:rPr>
        <w:t>controlled post</w:t>
      </w:r>
      <w:r>
        <w:rPr>
          <w:rFonts w:ascii="MS PGothic" w:cs="MS PGothic" w:eastAsia="MS PGothic" w:hAnsi="MS PGothic"/>
          <w:sz w:val="17"/>
          <w:szCs w:val="17"/>
          <w:color w:val="auto"/>
        </w:rPr>
        <w:t>‑</w:t>
      </w:r>
      <w:r>
        <w:rPr>
          <w:rFonts w:ascii="Arial" w:cs="Arial" w:eastAsia="Arial" w:hAnsi="Arial"/>
          <w:sz w:val="17"/>
          <w:szCs w:val="17"/>
          <w:color w:val="auto"/>
        </w:rPr>
        <w:t>marketing clinical trials to verify the predicted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clinical benefit. A product that receives accelerated approval may be subject to expedited withdrawal procedures if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sponsor fails conduct the required post-marketing trials or if such trials fail to verify the predicted clinical benefit. In</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addition, the FDA currently requires as a condition for accelerated approval pre</w:t>
      </w:r>
      <w:r>
        <w:rPr>
          <w:rFonts w:ascii="MS PGothic" w:cs="MS PGothic" w:eastAsia="MS PGothic" w:hAnsi="MS PGothic"/>
          <w:sz w:val="17"/>
          <w:szCs w:val="17"/>
          <w:color w:val="auto"/>
        </w:rPr>
        <w:t>‑</w:t>
      </w:r>
      <w:r>
        <w:rPr>
          <w:rFonts w:ascii="Arial" w:cs="Arial" w:eastAsia="Arial" w:hAnsi="Arial"/>
          <w:sz w:val="17"/>
          <w:szCs w:val="17"/>
          <w:color w:val="auto"/>
        </w:rPr>
        <w:t>approval of promotional materials, which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could adversely impact the timing of the commercial launch of the product.</w:t>
      </w:r>
    </w:p>
    <w:p>
      <w:pPr>
        <w:spacing w:after="0" w:line="211" w:lineRule="exact"/>
        <w:rPr>
          <w:sz w:val="20"/>
          <w:szCs w:val="20"/>
          <w:color w:val="auto"/>
        </w:rPr>
      </w:pPr>
    </w:p>
    <w:p>
      <w:pPr>
        <w:jc w:val="both"/>
        <w:ind w:right="40" w:firstLine="648"/>
        <w:spacing w:after="0" w:line="221" w:lineRule="exact"/>
        <w:rPr>
          <w:sz w:val="20"/>
          <w:szCs w:val="20"/>
          <w:color w:val="auto"/>
        </w:rPr>
      </w:pPr>
      <w:r>
        <w:rPr>
          <w:rFonts w:ascii="Arial" w:cs="Arial" w:eastAsia="Arial" w:hAnsi="Arial"/>
          <w:sz w:val="17"/>
          <w:szCs w:val="17"/>
          <w:color w:val="auto"/>
        </w:rPr>
        <w:t>In addition, a sponsor can request designation of a product candidate as a “Breakthrough Therapy.” A Breakthrough Therapy is defined as a drug or biologic that is intended, alone or in combination with one or more other drugs or biologics, to treat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 or condition, and preliminary clinical evidence indicates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that the drug or biologic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expedite the development and review of such drug. All requests for Breakthrough Therapy designation will be reviewed within 60 days of receipt, and the FDA will either grant or deny the request.</w:t>
      </w:r>
    </w:p>
    <w:p>
      <w:pPr>
        <w:spacing w:after="0" w:line="17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Breakthrough Therapy designation, accelerated approval and priority review do not change the standards for approval and may not ultimately expedite the development or approval process.</w:t>
      </w:r>
    </w:p>
    <w:p>
      <w:pPr>
        <w:spacing w:after="0" w:line="15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Post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approval Requirements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Following approval of a new product, the manufacturer and the approved product are subject to pervasive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continuing regulation by the FDA, including, among other things, monitoring and recordkeeping activities, reporting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adverse experiences with the product, product sampling and distribution restrictions, complying with promotion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advertising requirements, which include restrictions on promoting drugs for unapproved uses or patient populations</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(i.e., “off</w:t>
      </w:r>
      <w:r>
        <w:rPr>
          <w:rFonts w:ascii="MS PGothic" w:cs="MS PGothic" w:eastAsia="MS PGothic" w:hAnsi="MS PGothic"/>
          <w:sz w:val="17"/>
          <w:szCs w:val="17"/>
          <w:color w:val="auto"/>
        </w:rPr>
        <w:t>‑</w:t>
      </w:r>
      <w:r>
        <w:rPr>
          <w:rFonts w:ascii="Arial" w:cs="Arial" w:eastAsia="Arial" w:hAnsi="Arial"/>
          <w:sz w:val="17"/>
          <w:szCs w:val="17"/>
          <w:color w:val="auto"/>
        </w:rPr>
        <w:t>label use”) and limitations on industry</w:t>
      </w:r>
      <w:r>
        <w:rPr>
          <w:rFonts w:ascii="MS PGothic" w:cs="MS PGothic" w:eastAsia="MS PGothic" w:hAnsi="MS PGothic"/>
          <w:sz w:val="17"/>
          <w:szCs w:val="17"/>
          <w:color w:val="auto"/>
        </w:rPr>
        <w:t>‑</w:t>
      </w:r>
      <w:r>
        <w:rPr>
          <w:rFonts w:ascii="Arial" w:cs="Arial" w:eastAsia="Arial" w:hAnsi="Arial"/>
          <w:sz w:val="17"/>
          <w:szCs w:val="17"/>
          <w:color w:val="auto"/>
        </w:rPr>
        <w:t>sponsored scientific and educational activities. Although physicians may</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prescribe legally available products for off</w:t>
      </w:r>
      <w:r>
        <w:rPr>
          <w:rFonts w:ascii="MS PGothic" w:cs="MS PGothic" w:eastAsia="MS PGothic" w:hAnsi="MS PGothic"/>
          <w:sz w:val="16"/>
          <w:szCs w:val="16"/>
          <w:color w:val="auto"/>
        </w:rPr>
        <w:t>‑</w:t>
      </w:r>
      <w:r>
        <w:rPr>
          <w:rFonts w:ascii="Arial" w:cs="Arial" w:eastAsia="Arial" w:hAnsi="Arial"/>
          <w:sz w:val="16"/>
          <w:szCs w:val="16"/>
          <w:color w:val="auto"/>
        </w:rPr>
        <w:t>label uses, manufacturers may not market or promote such uses. The FDA and</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other agencies actively enforce the laws and regulations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found to have improperly promoted off</w:t>
      </w:r>
      <w:r>
        <w:rPr>
          <w:rFonts w:ascii="MS PGothic" w:cs="MS PGothic" w:eastAsia="MS PGothic" w:hAnsi="MS PGothic"/>
          <w:sz w:val="16"/>
          <w:szCs w:val="16"/>
          <w:color w:val="auto"/>
        </w:rPr>
        <w:t>‑</w:t>
      </w:r>
      <w:r>
        <w:rPr>
          <w:rFonts w:ascii="Arial" w:cs="Arial" w:eastAsia="Arial" w:hAnsi="Arial"/>
          <w:sz w:val="16"/>
          <w:szCs w:val="16"/>
          <w:color w:val="auto"/>
        </w:rPr>
        <w:t>label uses may be subject to significant liability. If there are any modifications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including changes in indications, labeling or manufacturing processes or facilities, the applicant may be required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submit and obtain FDA approval of a new BLA or BLA supplement, which may require the applicant to develop additional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data or conduct additional preclinical studies and clinical trials. The FDA may also place other conditions on approvals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the requirement for a REMS to assure the safe use of the product. A REMS could include medication guides,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physician communication plans or elements to assure safe use, such as restricted distribution methods, patient registries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risk minimization tools. Any of these limitations on approval or marketing could restrict the commercial promotion,</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distribution, prescription or dispensing of products. Product approvals may be withdrawn for non</w:t>
      </w:r>
      <w:r>
        <w:rPr>
          <w:rFonts w:ascii="MS PGothic" w:cs="MS PGothic" w:eastAsia="MS PGothic" w:hAnsi="MS PGothic"/>
          <w:sz w:val="16"/>
          <w:szCs w:val="16"/>
          <w:color w:val="auto"/>
        </w:rPr>
        <w:t>‑</w:t>
      </w:r>
      <w:r>
        <w:rPr>
          <w:rFonts w:ascii="Arial" w:cs="Arial" w:eastAsia="Arial" w:hAnsi="Arial"/>
          <w:sz w:val="16"/>
          <w:szCs w:val="16"/>
          <w:color w:val="auto"/>
        </w:rPr>
        <w:t>compliance with regulatory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standards or if problems occur following initial marketing.</w:t>
      </w:r>
    </w:p>
    <w:p>
      <w:pPr>
        <w:spacing w:after="0" w:line="211"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FDA regulations require that products be manufactured in specific approved facilities and in accordance with cGMPs.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 discovery of conditions that violate these rules, including failure to conform to cGMPs, could result in enforcement actions, and the discovery of problems with a product after approval may result in restrictions on a product, manufacturer or holder of an approved BLA, including voluntary recall.</w:t>
      </w:r>
    </w:p>
    <w:p>
      <w:pPr>
        <w:spacing w:after="0" w:line="173" w:lineRule="exact"/>
        <w:rPr>
          <w:sz w:val="20"/>
          <w:szCs w:val="20"/>
          <w:color w:val="auto"/>
        </w:rPr>
      </w:pPr>
    </w:p>
    <w:p>
      <w:pPr>
        <w:ind w:right="60" w:firstLine="648"/>
        <w:spacing w:after="0" w:line="219" w:lineRule="exact"/>
        <w:rPr>
          <w:sz w:val="20"/>
          <w:szCs w:val="20"/>
          <w:color w:val="auto"/>
        </w:rPr>
      </w:pPr>
      <w:r>
        <w:rPr>
          <w:rFonts w:ascii="Arial" w:cs="Arial" w:eastAsia="Arial" w:hAnsi="Arial"/>
          <w:sz w:val="17"/>
          <w:szCs w:val="17"/>
          <w:color w:val="auto"/>
        </w:rPr>
        <w:t>Once an approval or clearance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w:t>
      </w:r>
      <w:r>
        <w:rPr>
          <w:rFonts w:ascii="MS PGothic" w:cs="MS PGothic" w:eastAsia="MS PGothic" w:hAnsi="MS PGothic"/>
          <w:sz w:val="17"/>
          <w:szCs w:val="17"/>
          <w:color w:val="auto"/>
        </w:rPr>
        <w:t>‑</w:t>
      </w:r>
      <w:r>
        <w:rPr>
          <w:rFonts w:ascii="Arial" w:cs="Arial" w:eastAsia="Arial" w:hAnsi="Arial"/>
          <w:sz w:val="17"/>
          <w:szCs w:val="17"/>
          <w:color w:val="auto"/>
        </w:rPr>
        <w:t>market or clinical trials to assess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new safety risks; or imposition of distribution or other restrictions under a REMS program. Other potential consequences include, among other things:</w:t>
      </w:r>
    </w:p>
    <w:p>
      <w:pPr>
        <w:spacing w:after="0" w:line="170" w:lineRule="exact"/>
        <w:rPr>
          <w:sz w:val="20"/>
          <w:szCs w:val="20"/>
          <w:color w:val="auto"/>
        </w:rPr>
      </w:pPr>
    </w:p>
    <w:p>
      <w:pPr>
        <w:ind w:left="980" w:right="360" w:hanging="329"/>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70"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fines, warning letters or other enforcement</w:t>
      </w:r>
      <w:r>
        <w:rPr>
          <w:rFonts w:ascii="MS PGothic" w:cs="MS PGothic" w:eastAsia="MS PGothic" w:hAnsi="MS PGothic"/>
          <w:sz w:val="17"/>
          <w:szCs w:val="17"/>
          <w:color w:val="auto"/>
        </w:rPr>
        <w:t>‑</w:t>
      </w:r>
      <w:r>
        <w:rPr>
          <w:rFonts w:ascii="Arial" w:cs="Arial" w:eastAsia="Arial" w:hAnsi="Arial"/>
          <w:sz w:val="17"/>
          <w:szCs w:val="17"/>
          <w:color w:val="auto"/>
        </w:rPr>
        <w:t>related letters or clinical holds on post</w:t>
      </w:r>
      <w:r>
        <w:rPr>
          <w:rFonts w:ascii="MS PGothic" w:cs="MS PGothic" w:eastAsia="MS PGothic" w:hAnsi="MS PGothic"/>
          <w:sz w:val="17"/>
          <w:szCs w:val="17"/>
          <w:color w:val="auto"/>
        </w:rPr>
        <w:t>‑</w:t>
      </w:r>
      <w:r>
        <w:rPr>
          <w:rFonts w:ascii="Arial" w:cs="Arial" w:eastAsia="Arial" w:hAnsi="Arial"/>
          <w:sz w:val="17"/>
          <w:szCs w:val="17"/>
          <w:color w:val="auto"/>
        </w:rPr>
        <w:t>approval clinical trials;</w:t>
      </w:r>
    </w:p>
    <w:p>
      <w:pPr>
        <w:spacing w:after="0" w:line="236" w:lineRule="exact"/>
        <w:rPr>
          <w:rFonts w:ascii="Arial" w:cs="Arial" w:eastAsia="Arial" w:hAnsi="Arial"/>
          <w:sz w:val="17"/>
          <w:szCs w:val="17"/>
          <w:color w:val="auto"/>
        </w:rPr>
      </w:pPr>
    </w:p>
    <w:p>
      <w:pPr>
        <w:ind w:left="980" w:right="40" w:hanging="329"/>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of the FDA to approve pending BLAs or supplements to approved BLAs, or suspension or revocation of product approvals;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25" w:lineRule="exact"/>
        <w:rPr>
          <w:rFonts w:ascii="Arial" w:cs="Arial" w:eastAsia="Arial" w:hAnsi="Arial"/>
          <w:sz w:val="18"/>
          <w:szCs w:val="18"/>
          <w:color w:val="auto"/>
        </w:rPr>
      </w:pPr>
    </w:p>
    <w:p>
      <w:pPr>
        <w:ind w:left="980" w:right="140" w:hanging="329"/>
        <w:spacing w:after="0" w:line="342"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consent decrees, corporate integrity agreements, debarment, or exclusion from federal healthcare programs; or mandated modification of promotional materials and labeling and the issuance of corrective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abbreviated approval pathway for biological products that are biosimilar to or interchangeable with an</w:t>
      </w:r>
    </w:p>
    <w:p>
      <w:pPr>
        <w:spacing w:after="0" w:line="23"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FDA</w:t>
      </w:r>
      <w:r>
        <w:rPr>
          <w:rFonts w:ascii="MS PGothic" w:cs="MS PGothic" w:eastAsia="MS PGothic" w:hAnsi="MS PGothic"/>
          <w:sz w:val="17"/>
          <w:szCs w:val="17"/>
          <w:color w:val="auto"/>
        </w:rPr>
        <w:t>‑</w:t>
      </w:r>
      <w:r>
        <w:rPr>
          <w:rFonts w:ascii="Arial" w:cs="Arial" w:eastAsia="Arial" w:hAnsi="Arial"/>
          <w:sz w:val="17"/>
          <w:szCs w:val="17"/>
          <w:color w:val="auto"/>
        </w:rPr>
        <w:t>licensed reference biological product was created by the Biologics Price Competition and Innovation Act of 2009,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BPCIA, as part of the Patient Protection and Affordable Care Act, as amended by the Health Care and Education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Reconciliation Act, or the Affordable Care Act. This amendment to the PHSA, in part, attempts to minimize duplicative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testing. A recent federal district court ruling struck down the Affordable Care Act in its entirety. This decision means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numerous reforms enacted as part of the Affordable Care Act, but not specifically related to health insurance, such as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BPCIA, are invalid as well. While the presidential administration and CMS have both stated that the ruling will have no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immediate effect, it is unclear how this decision, subsequent appeals, if any, and other efforts to repeal and replace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Affordable Care Act will impact the Affordable Care Act and our business. To date, the FDA has approved a number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biosimilars, and numerous biosimilars have been approved in Europe. The FDA has issued several guidance documents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outlining its approach to reviewing and approving biosimilars.</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Biosimilarity, which requires that the biological product be highly similar to the reference product notwithstanding minor differences in clinically inactive components and that there be no clinically meaningful differences between the product and the reference product in terms of safety, purity and potency, must be shown through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Complexities associated with the larger, and often more complex, structure of biological products as compared to small molecule drugs, as well as the processes by which such products are manufactured, pose significant hurdles to implementation that are still being worked out by the FDA.</w:t>
      </w:r>
    </w:p>
    <w:p>
      <w:pPr>
        <w:spacing w:after="0" w:line="183"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supplement for the reference product for a subsequent application filed by the same sponsor or manufacturer of the reference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case basis with data submitted by the sponsor.</w:t>
      </w:r>
    </w:p>
    <w:p>
      <w:pPr>
        <w:spacing w:after="0" w:line="206" w:lineRule="exact"/>
        <w:rPr>
          <w:sz w:val="20"/>
          <w:szCs w:val="20"/>
          <w:color w:val="auto"/>
        </w:rPr>
      </w:pPr>
    </w:p>
    <w:p>
      <w:pPr>
        <w:ind w:right="120" w:firstLine="648"/>
        <w:spacing w:after="0" w:line="220" w:lineRule="exact"/>
        <w:rPr>
          <w:sz w:val="20"/>
          <w:szCs w:val="20"/>
          <w:color w:val="auto"/>
        </w:rPr>
      </w:pPr>
      <w:r>
        <w:rPr>
          <w:rFonts w:ascii="Arial" w:cs="Arial" w:eastAsia="Arial" w:hAnsi="Arial"/>
          <w:sz w:val="17"/>
          <w:szCs w:val="17"/>
          <w:color w:val="auto"/>
        </w:rPr>
        <w:t>The BPCIA is complex and continues to be interpreted and implemented by the FDA. In addition, recent government proposals have sought to reduce the 12</w:t>
      </w:r>
      <w:r>
        <w:rPr>
          <w:rFonts w:ascii="MS PGothic" w:cs="MS PGothic" w:eastAsia="MS PGothic" w:hAnsi="MS PGothic"/>
          <w:sz w:val="17"/>
          <w:szCs w:val="17"/>
          <w:color w:val="auto"/>
        </w:rPr>
        <w:t>‑</w:t>
      </w:r>
      <w:r>
        <w:rPr>
          <w:rFonts w:ascii="Arial" w:cs="Arial" w:eastAsia="Arial" w:hAnsi="Arial"/>
          <w:sz w:val="17"/>
          <w:szCs w:val="17"/>
          <w:color w:val="auto"/>
        </w:rPr>
        <w:t>year reference product exclusivity period. Other aspects of the BPCIA, some of which may impact the BPCIA exclusivity provisions, have also been the subject of recent litigation. As a result, the ultimate impact, implementation and meaning of the BPCIA remain subject to significant uncertainty.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w:t>
      </w:r>
    </w:p>
    <w:p>
      <w:pPr>
        <w:spacing w:after="0" w:line="225" w:lineRule="exact"/>
        <w:rPr>
          <w:sz w:val="20"/>
          <w:szCs w:val="20"/>
          <w:color w:val="auto"/>
        </w:rPr>
      </w:pPr>
    </w:p>
    <w:p>
      <w:pPr>
        <w:ind w:right="20" w:firstLine="648"/>
        <w:spacing w:after="0" w:line="217" w:lineRule="exact"/>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t>
      </w:r>
      <w:r>
        <w:rPr>
          <w:rFonts w:ascii="MS PGothic" w:cs="MS PGothic" w:eastAsia="MS PGothic" w:hAnsi="MS PGothic"/>
          <w:sz w:val="17"/>
          <w:szCs w:val="17"/>
          <w:color w:val="auto"/>
        </w:rPr>
        <w:t>‑</w:t>
      </w:r>
      <w:r>
        <w:rPr>
          <w:rFonts w:ascii="Arial" w:cs="Arial" w:eastAsia="Arial" w:hAnsi="Arial"/>
          <w:sz w:val="17"/>
          <w:szCs w:val="17"/>
          <w:color w:val="auto"/>
        </w:rPr>
        <w:t>Waxman Amendments, and similar legislation in the European Union. The Hatch</w:t>
      </w:r>
      <w:r>
        <w:rPr>
          <w:rFonts w:ascii="MS PGothic" w:cs="MS PGothic" w:eastAsia="MS PGothic" w:hAnsi="MS PGothic"/>
          <w:sz w:val="17"/>
          <w:szCs w:val="17"/>
          <w:color w:val="auto"/>
        </w:rPr>
        <w:t>‑</w:t>
      </w:r>
      <w:r>
        <w:rPr>
          <w:rFonts w:ascii="Arial" w:cs="Arial" w:eastAsia="Arial" w:hAnsi="Arial"/>
          <w:sz w:val="17"/>
          <w:szCs w:val="17"/>
          <w:color w:val="auto"/>
        </w:rPr>
        <w:t>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must be based on the first approval for the product, and the extension cannot extend the total patent term beyond fourteen years from approval. If we are unable to obtain patent term extension or the term of any such extension is less than we request, the period during which we can enforce our patent rights for that product will be shortened and our competitors may obtain approval to market competing products sooner.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Development, Review and Approval</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 the European Union, our product candidates also may be subject to extensive regulatory requirements. As in the United States, medicinal products can be marketed only if a marketing authorization from the competent regulatory agencies has been obtained.</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Similar to the United States, the various phases of preclinical and clinical research in the European Union are subject to significant regulatory controls.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Clinical Trials Directive 2001/20/EC, the Directive 2005/28/EC on GCP, and the related national implementing provisions of the individual EU Member States govern the system for the approval of clinical trials in the European Union.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IMPD (the Common Technical Document) with supporting information prescribed by Directive 2001/20/EC, Directive 2005/28/EC, where relevant the implementing national provisions of the individual EU Member States and further detailed in applicable guidance documents. All suspected unexpected serious adverse reactions to the investigated drug that occur during the clinical trial have to be reported to the competent national authority and the Ethics Committee of the Member State where they occurred.</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April 2014, the new Clinical Trials Regulation, (EU) No 536/2014 (Clinical Trials Regulation) was adopted. The Regulation is anticipated to come into application in 2020. The Clinical Trials Regulation will be directly applicable in all the EU Member States, repealing the current Clinical Trials Directive 2001/20/EC. Conduct of all clinical trials performed in the European Union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new Clinical Trials Regulation aims to simplify and streamline the approval of clinical trials in the European Union. The main characteristics of the regulation include: a streamlined application procedure via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67" w:lineRule="exact"/>
        <w:rPr>
          <w:sz w:val="20"/>
          <w:szCs w:val="20"/>
          <w:color w:val="auto"/>
        </w:rPr>
      </w:pPr>
    </w:p>
    <w:p>
      <w:pPr>
        <w:ind w:right="200" w:firstLine="648"/>
        <w:spacing w:after="0" w:line="221" w:lineRule="exact"/>
        <w:rPr>
          <w:sz w:val="20"/>
          <w:szCs w:val="20"/>
          <w:color w:val="auto"/>
        </w:rPr>
      </w:pPr>
      <w:r>
        <w:rPr>
          <w:rFonts w:ascii="Arial" w:cs="Arial" w:eastAsia="Arial" w:hAnsi="Arial"/>
          <w:sz w:val="18"/>
          <w:szCs w:val="18"/>
          <w:color w:val="auto"/>
        </w:rPr>
        <w:t>To obtain a marketing authorization of a drug in the European Union, we may submit marketing authorization applications, or MAA, either under the so</w:t>
      </w:r>
      <w:r>
        <w:rPr>
          <w:rFonts w:ascii="MS PGothic" w:cs="MS PGothic" w:eastAsia="MS PGothic" w:hAnsi="MS PGothic"/>
          <w:sz w:val="18"/>
          <w:szCs w:val="18"/>
          <w:color w:val="auto"/>
        </w:rPr>
        <w:t>‑</w:t>
      </w:r>
      <w:r>
        <w:rPr>
          <w:rFonts w:ascii="Arial" w:cs="Arial" w:eastAsia="Arial" w:hAnsi="Arial"/>
          <w:sz w:val="18"/>
          <w:szCs w:val="18"/>
          <w:color w:val="auto"/>
        </w:rPr>
        <w:t>called centralized (mandatory for biologics) or national authorization procedures (if intended to submit only in a single country).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Centralized Procedure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centralized procedure provides for the grant of a single marketing authorization following a favorable opinion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by the European Medicines Agency, or EMA, that is valid in all EU member states, as well as Iceland, Liechtenstein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Norway. The centralized procedure is compulsory for medicines produced by specified biotechnological processes, products</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designated as orphan medicinal products, advanced</w:t>
      </w:r>
      <w:r>
        <w:rPr>
          <w:rFonts w:ascii="MS PGothic" w:cs="MS PGothic" w:eastAsia="MS PGothic" w:hAnsi="MS PGothic"/>
          <w:sz w:val="17"/>
          <w:szCs w:val="17"/>
          <w:color w:val="auto"/>
        </w:rPr>
        <w:t>‑</w:t>
      </w:r>
      <w:r>
        <w:rPr>
          <w:rFonts w:ascii="Arial" w:cs="Arial" w:eastAsia="Arial" w:hAnsi="Arial"/>
          <w:sz w:val="17"/>
          <w:szCs w:val="17"/>
          <w:color w:val="auto"/>
        </w:rPr>
        <w:t>therapy medicines (such as gene</w:t>
      </w:r>
      <w:r>
        <w:rPr>
          <w:rFonts w:ascii="MS PGothic" w:cs="MS PGothic" w:eastAsia="MS PGothic" w:hAnsi="MS PGothic"/>
          <w:sz w:val="17"/>
          <w:szCs w:val="17"/>
          <w:color w:val="auto"/>
        </w:rPr>
        <w:t>‑</w:t>
      </w:r>
      <w:r>
        <w:rPr>
          <w:rFonts w:ascii="Arial" w:cs="Arial" w:eastAsia="Arial" w:hAnsi="Arial"/>
          <w:sz w:val="17"/>
          <w:szCs w:val="17"/>
          <w:color w:val="auto"/>
        </w:rPr>
        <w:t>therapy, somatic cell</w:t>
      </w:r>
      <w:r>
        <w:rPr>
          <w:rFonts w:ascii="MS PGothic" w:cs="MS PGothic" w:eastAsia="MS PGothic" w:hAnsi="MS PGothic"/>
          <w:sz w:val="17"/>
          <w:szCs w:val="17"/>
          <w:color w:val="auto"/>
        </w:rPr>
        <w:t>‑</w:t>
      </w:r>
      <w:r>
        <w:rPr>
          <w:rFonts w:ascii="Arial" w:cs="Arial" w:eastAsia="Arial" w:hAnsi="Arial"/>
          <w:sz w:val="17"/>
          <w:szCs w:val="17"/>
          <w:color w:val="auto"/>
        </w:rPr>
        <w:t>therapy or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tissue</w:t>
      </w:r>
      <w:r>
        <w:rPr>
          <w:rFonts w:ascii="MS PGothic" w:cs="MS PGothic" w:eastAsia="MS PGothic" w:hAnsi="MS PGothic"/>
          <w:sz w:val="16"/>
          <w:szCs w:val="16"/>
          <w:color w:val="auto"/>
        </w:rPr>
        <w:t>‑</w:t>
      </w:r>
      <w:r>
        <w:rPr>
          <w:rFonts w:ascii="Arial" w:cs="Arial" w:eastAsia="Arial" w:hAnsi="Arial"/>
          <w:sz w:val="16"/>
          <w:szCs w:val="16"/>
          <w:color w:val="auto"/>
        </w:rPr>
        <w:t>engineered medicines) and products with a new active substance indicated for the treatment of specified diseases,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HIV/AIDS, cancer, diabetes, neurodegenerative disorders or autoimmune diseases and other immune dysfunctions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viral diseases. The centralized procedure is optional for products that represent a significant therapeutic, scientific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technical innovation, or whose authorization would be in the interest of public health. Under the centralized procedure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maximum timeframe for the evaluation of an MAA by the EMA is 210 days, excluding clock stops, when additional written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oral information is to be provided by the applicant in response to questions asked by the Committee of Medicinal Products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Human Use, or the CHMP. Accelerated assessment might be granted by the CHMP in exceptional cases, when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medicinal product is expected to be of a major public health interest, particularly from the point of view of therapeutic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innovation. The timeframe for the evaluation of an MAA under the accelerated assessment procedure is of 150 days,</w:t>
      </w:r>
    </w:p>
    <w:p>
      <w:pPr>
        <w:spacing w:after="0" w:line="2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excluding stop</w:t>
      </w:r>
      <w:r>
        <w:rPr>
          <w:rFonts w:ascii="MS PGothic" w:cs="MS PGothic" w:eastAsia="MS PGothic" w:hAnsi="MS PGothic"/>
          <w:sz w:val="18"/>
          <w:szCs w:val="18"/>
          <w:color w:val="auto"/>
        </w:rPr>
        <w:t>‑</w:t>
      </w:r>
      <w:r>
        <w:rPr>
          <w:rFonts w:ascii="Arial" w:cs="Arial" w:eastAsia="Arial" w:hAnsi="Arial"/>
          <w:sz w:val="18"/>
          <w:szCs w:val="18"/>
          <w:color w:val="auto"/>
        </w:rPr>
        <w:t>clocks.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Authorization Procedures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also two other possible routes to authorize medicinal products in several EU countries, which are available for investigational medicinal products that fall outside the scope of the centralized procedure:</w:t>
      </w:r>
    </w:p>
    <w:p>
      <w:pPr>
        <w:spacing w:after="0" w:line="170" w:lineRule="exact"/>
        <w:rPr>
          <w:sz w:val="20"/>
          <w:szCs w:val="20"/>
          <w:color w:val="auto"/>
        </w:rPr>
      </w:pPr>
    </w:p>
    <w:p>
      <w:pPr>
        <w:ind w:left="980" w:right="180" w:hanging="329"/>
        <w:spacing w:after="0" w:line="286"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Decentralized procedure. Using the decentralized procedure, an applicant may apply for simultaneous authorization in more than one EU country of medicinal products that have not yet been authorized in any EU country and that do not fall within the mandatory scope of the centralized procedure.</w:t>
      </w:r>
    </w:p>
    <w:p>
      <w:pPr>
        <w:spacing w:after="0" w:line="165" w:lineRule="exact"/>
        <w:rPr>
          <w:rFonts w:ascii="Arial" w:cs="Arial" w:eastAsia="Arial" w:hAnsi="Arial"/>
          <w:sz w:val="17"/>
          <w:szCs w:val="17"/>
          <w:color w:val="auto"/>
        </w:rPr>
      </w:pPr>
    </w:p>
    <w:p>
      <w:pPr>
        <w:ind w:left="980" w:right="120" w:hanging="329"/>
        <w:spacing w:after="0" w:line="259"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Mutual recognition procedure. In the mutual recognition procedure, a medicine is first authorized in one EU Member State, in accordance with the national procedures of that country. Following this, further marketing authorizations can be sought from other EU countries in a procedure whereby the countries concerned agree to recognize the validity of the original, national marketing authorization.</w:t>
      </w:r>
    </w:p>
    <w:p>
      <w:pPr>
        <w:spacing w:after="0" w:line="187" w:lineRule="exact"/>
        <w:rPr>
          <w:sz w:val="20"/>
          <w:szCs w:val="20"/>
          <w:color w:val="auto"/>
        </w:rPr>
      </w:pPr>
    </w:p>
    <w:p>
      <w:pPr>
        <w:ind w:right="300" w:firstLine="648"/>
        <w:spacing w:after="0" w:line="221" w:lineRule="exact"/>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w:t>
      </w:r>
      <w:r>
        <w:rPr>
          <w:rFonts w:ascii="MS PGothic" w:cs="MS PGothic" w:eastAsia="MS PGothic" w:hAnsi="MS PGothic"/>
          <w:sz w:val="18"/>
          <w:szCs w:val="18"/>
          <w:color w:val="auto"/>
        </w:rPr>
        <w:t>‑</w:t>
      </w:r>
      <w:r>
        <w:rPr>
          <w:rFonts w:ascii="Arial" w:cs="Arial" w:eastAsia="Arial" w:hAnsi="Arial"/>
          <w:sz w:val="18"/>
          <w:szCs w:val="18"/>
          <w:color w:val="auto"/>
        </w:rPr>
        <w:t>benefit balance of the product on the basis of scientific criteria concerning its quality, safety and efficacy.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Regulatory Exclusivity</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In the European Union, new products authorized for marketing (i.e., reference products) qualify for eight years of data exclusivity and an additional two years of market exclusivity upon marketing authorization. The data exclusivity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18" w:lineRule="exact"/>
        <w:rPr>
          <w:sz w:val="20"/>
          <w:szCs w:val="20"/>
          <w:color w:val="auto"/>
        </w:rPr>
      </w:pPr>
      <w:r>
        <w:rPr>
          <w:rFonts w:ascii="Arial" w:cs="Arial" w:eastAsia="Arial" w:hAnsi="Arial"/>
          <w:sz w:val="17"/>
          <w:szCs w:val="17"/>
          <w:color w:val="auto"/>
        </w:rPr>
        <w:t>period prevents generic applicants from relying on the preclinical and clinical trial data contained in the dossier of the reference product when applying for a generic marketing authorization in the European Union during a period of eight years from the date on which the reference product was first authorized in the European Union. The market exclusivity period prevents a successful generic applicant from commercializing its product in the EU until ten years have elapsed from the initial authorization of the reference product in the EU. The ten</w:t>
      </w:r>
      <w:r>
        <w:rPr>
          <w:rFonts w:ascii="MS PGothic" w:cs="MS PGothic" w:eastAsia="MS PGothic" w:hAnsi="MS PGothic"/>
          <w:sz w:val="17"/>
          <w:szCs w:val="17"/>
          <w:color w:val="auto"/>
        </w:rPr>
        <w:t>‑</w:t>
      </w:r>
      <w:r>
        <w:rPr>
          <w:rFonts w:ascii="Arial" w:cs="Arial" w:eastAsia="Arial" w:hAnsi="Arial"/>
          <w:sz w:val="17"/>
          <w:szCs w:val="17"/>
          <w:color w:val="auto"/>
        </w:rPr>
        <w:t>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Orphan Designation and Exclusivity</w:t>
      </w:r>
    </w:p>
    <w:p>
      <w:pPr>
        <w:spacing w:after="0" w:line="225" w:lineRule="exact"/>
        <w:rPr>
          <w:sz w:val="20"/>
          <w:szCs w:val="20"/>
          <w:color w:val="auto"/>
        </w:rPr>
      </w:pPr>
    </w:p>
    <w:p>
      <w:pPr>
        <w:jc w:val="both"/>
        <w:ind w:right="80" w:firstLine="648"/>
        <w:spacing w:after="0" w:line="221" w:lineRule="exact"/>
        <w:rPr>
          <w:sz w:val="20"/>
          <w:szCs w:val="20"/>
          <w:color w:val="auto"/>
        </w:rPr>
      </w:pPr>
      <w:r>
        <w:rPr>
          <w:rFonts w:ascii="Arial" w:cs="Arial" w:eastAsia="Arial" w:hAnsi="Arial"/>
          <w:sz w:val="16"/>
          <w:szCs w:val="16"/>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w:t>
      </w:r>
      <w:r>
        <w:rPr>
          <w:rFonts w:ascii="MS PGothic" w:cs="MS PGothic" w:eastAsia="MS PGothic" w:hAnsi="MS PGothic"/>
          <w:sz w:val="16"/>
          <w:szCs w:val="16"/>
          <w:color w:val="auto"/>
        </w:rPr>
        <w:t>‑</w:t>
      </w:r>
      <w:r>
        <w:rPr>
          <w:rFonts w:ascii="Arial" w:cs="Arial" w:eastAsia="Arial" w:hAnsi="Arial"/>
          <w:sz w:val="16"/>
          <w:szCs w:val="16"/>
          <w:color w:val="auto"/>
        </w:rPr>
        <w:t>threatening or chronically debilitating condition; (2) either</w:t>
      </w:r>
    </w:p>
    <w:p>
      <w:pPr>
        <w:ind w:firstLine="3"/>
        <w:spacing w:after="0" w:line="267" w:lineRule="auto"/>
        <w:tabs>
          <w:tab w:leader="none" w:pos="245"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designation must be submitted before the application for marketing authorization. The applicant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187"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color w:val="auto"/>
        </w:rPr>
        <w:t>The ten</w:t>
      </w:r>
      <w:r>
        <w:rPr>
          <w:rFonts w:ascii="MS PGothic" w:cs="MS PGothic" w:eastAsia="MS PGothic" w:hAnsi="MS PGothic"/>
          <w:sz w:val="18"/>
          <w:szCs w:val="18"/>
          <w:color w:val="auto"/>
        </w:rPr>
        <w:t>‑</w:t>
      </w:r>
      <w:r>
        <w:rPr>
          <w:rFonts w:ascii="Arial" w:cs="Arial" w:eastAsia="Arial" w:hAnsi="Arial"/>
          <w:sz w:val="18"/>
          <w:szCs w:val="18"/>
          <w:color w:val="auto"/>
        </w:rPr>
        <w:t>year market exclusivity in the European Union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204" w:lineRule="exact"/>
        <w:rPr>
          <w:sz w:val="20"/>
          <w:szCs w:val="20"/>
          <w:color w:val="auto"/>
        </w:rPr>
      </w:pPr>
    </w:p>
    <w:p>
      <w:pPr>
        <w:ind w:left="980" w:right="580" w:hanging="329"/>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second applicant can establish that its product, although similar, is safer, more effective or otherwise clinically superior;</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applicant consents to a second orphan medicinal product application;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applicant cannot supply enough orphan medicinal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the World Regulation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other countries outside of the European Union and the United States, such as countries in Eastern Europe, Latin America, Asia, or Japan, the requirements governing the conduct of clinical trials, product licensing, pricing and reimbursement vary from jurisdiction to jurisdiction. Additionally, the clinical trials must be conducted in accordance with cGCP requirements and the applicable regulatory requirements and the ethical principles that have their origin in the Declaration of Helsinki.</w:t>
      </w:r>
    </w:p>
    <w:p>
      <w:pPr>
        <w:spacing w:after="0" w:line="188"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If we fail to comply with applicable regulatory requirements, we may be subject to, among other things, fines, suspension or withdrawal of regulatory approvals, product recalls, seizure of products, operating restrictions and criminal prosecution.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In addition to FDA restrictions on the marketing of pharmaceutical products, other U.S., federal and state healthcare regulatory laws restrict business practices in the pharmaceutical industry. These laws include, but are not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23" w:lineRule="exact"/>
        <w:rPr>
          <w:sz w:val="20"/>
          <w:szCs w:val="20"/>
          <w:color w:val="auto"/>
        </w:rPr>
      </w:pPr>
      <w:r>
        <w:rPr>
          <w:rFonts w:ascii="Arial" w:cs="Arial" w:eastAsia="Arial" w:hAnsi="Arial"/>
          <w:sz w:val="18"/>
          <w:szCs w:val="18"/>
          <w:color w:val="auto"/>
        </w:rPr>
        <w:t>limited to, federal and state anti</w:t>
      </w:r>
      <w:r>
        <w:rPr>
          <w:rFonts w:ascii="MS PGothic" w:cs="MS PGothic" w:eastAsia="MS PGothic" w:hAnsi="MS PGothic"/>
          <w:sz w:val="18"/>
          <w:szCs w:val="18"/>
          <w:color w:val="auto"/>
        </w:rPr>
        <w:t>‑</w:t>
      </w:r>
      <w:r>
        <w:rPr>
          <w:rFonts w:ascii="Arial" w:cs="Arial" w:eastAsia="Arial" w:hAnsi="Arial"/>
          <w:sz w:val="18"/>
          <w:szCs w:val="18"/>
          <w:color w:val="auto"/>
        </w:rPr>
        <w:t>kickback, false claims, data privacy and security and physician payment and drug pricing transparency laws.</w:t>
      </w:r>
    </w:p>
    <w:p>
      <w:pPr>
        <w:spacing w:after="0" w:line="203"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The U.S.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w:t>
      </w:r>
      <w:r>
        <w:rPr>
          <w:rFonts w:ascii="MS PGothic" w:cs="MS PGothic" w:eastAsia="MS PGothic" w:hAnsi="MS PGothic"/>
          <w:sz w:val="16"/>
          <w:szCs w:val="16"/>
          <w:color w:val="auto"/>
        </w:rPr>
        <w:t>‑</w:t>
      </w:r>
      <w:r>
        <w:rPr>
          <w:rFonts w:ascii="Arial" w:cs="Arial" w:eastAsia="Arial" w:hAnsi="Arial"/>
          <w:sz w:val="16"/>
          <w:szCs w:val="16"/>
          <w:color w:val="auto"/>
        </w:rPr>
        <w:t>Kickback Statute has been interpreted to apply to arrangements between pharmaceutical and medical device manufacturers on the one hand and prescribers, purchasers, formulary managers and beneficiaries on the other hand.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Instead, the legality of the arrangement will be evaluated on a case</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 In addition, a person or entity does not need to have actual knowledge of the statute or specific intent to violate it in order to have committed a violation. The majority of states also have anti</w:t>
      </w:r>
      <w:r>
        <w:rPr>
          <w:rFonts w:ascii="MS PGothic" w:cs="MS PGothic" w:eastAsia="MS PGothic" w:hAnsi="MS PGothic"/>
          <w:sz w:val="16"/>
          <w:szCs w:val="16"/>
          <w:color w:val="auto"/>
        </w:rPr>
        <w:t>‑</w:t>
      </w:r>
      <w:r>
        <w:rPr>
          <w:rFonts w:ascii="Arial" w:cs="Arial" w:eastAsia="Arial" w:hAnsi="Arial"/>
          <w:sz w:val="16"/>
          <w:szCs w:val="16"/>
          <w:color w:val="auto"/>
        </w:rPr>
        <w:t>kickback laws, which establish similar prohibitions and in some cases may apply to items or services reimbursed by any third</w:t>
      </w:r>
      <w:r>
        <w:rPr>
          <w:rFonts w:ascii="MS PGothic" w:cs="MS PGothic" w:eastAsia="MS PGothic" w:hAnsi="MS PGothic"/>
          <w:sz w:val="16"/>
          <w:szCs w:val="16"/>
          <w:color w:val="auto"/>
        </w:rPr>
        <w:t>‑</w:t>
      </w:r>
      <w:r>
        <w:rPr>
          <w:rFonts w:ascii="Arial" w:cs="Arial" w:eastAsia="Arial" w:hAnsi="Arial"/>
          <w:sz w:val="16"/>
          <w:szCs w:val="16"/>
          <w:color w:val="auto"/>
        </w:rPr>
        <w:t>party payor, including commercial insurers, or to self</w:t>
      </w:r>
      <w:r>
        <w:rPr>
          <w:rFonts w:ascii="MS PGothic" w:cs="MS PGothic" w:eastAsia="MS PGothic" w:hAnsi="MS PGothic"/>
          <w:sz w:val="16"/>
          <w:szCs w:val="16"/>
          <w:color w:val="auto"/>
        </w:rPr>
        <w:t>‑</w:t>
      </w:r>
      <w:r>
        <w:rPr>
          <w:rFonts w:ascii="Arial" w:cs="Arial" w:eastAsia="Arial" w:hAnsi="Arial"/>
          <w:sz w:val="16"/>
          <w:szCs w:val="16"/>
          <w:color w:val="auto"/>
        </w:rPr>
        <w:t>pay patients.</w:t>
      </w:r>
    </w:p>
    <w:p>
      <w:pPr>
        <w:spacing w:after="0" w:line="214"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The federal false claims and civil monetary penalties laws, including the civil False Claims Act,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U.S. federal government. A claim includes “any request or demand” for money or property presented to the U.S. Government. Moreover, a claim including items or services resulting from a violation of the U.S. federal Anti</w:t>
      </w:r>
      <w:r>
        <w:rPr>
          <w:rFonts w:ascii="MS PGothic" w:cs="MS PGothic" w:eastAsia="MS PGothic" w:hAnsi="MS PGothic"/>
          <w:sz w:val="17"/>
          <w:szCs w:val="17"/>
          <w:color w:val="auto"/>
        </w:rPr>
        <w:t>‑</w:t>
      </w:r>
      <w:r>
        <w:rPr>
          <w:rFonts w:ascii="Arial" w:cs="Arial" w:eastAsia="Arial" w:hAnsi="Arial"/>
          <w:sz w:val="17"/>
          <w:szCs w:val="17"/>
          <w:color w:val="auto"/>
        </w:rPr>
        <w:t xml:space="preserve">Kickback Statute constitutes a false or fraudulent claim for purposes of the federal civil False Claims Act. Actions under the civil False Claims Act may be brought by the Attorney General or as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by a private individual in the name of the government. Violations of the civil False Claims Act can result in very significant monetary penalties and treble damages. Several biopharmaceutical, medical device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(e.g., off</w:t>
      </w:r>
      <w:r>
        <w:rPr>
          <w:rFonts w:ascii="MS PGothic" w:cs="MS PGothic" w:eastAsia="MS PGothic" w:hAnsi="MS PGothic"/>
          <w:sz w:val="17"/>
          <w:szCs w:val="17"/>
          <w:color w:val="auto"/>
        </w:rPr>
        <w:t>‑</w:t>
      </w:r>
      <w:r>
        <w:rPr>
          <w:rFonts w:ascii="Arial" w:cs="Arial" w:eastAsia="Arial" w:hAnsi="Arial"/>
          <w:sz w:val="17"/>
          <w:szCs w:val="17"/>
          <w:color w:val="auto"/>
        </w:rPr>
        <w:t>label), and thus non</w:t>
      </w:r>
      <w:r>
        <w:rPr>
          <w:rFonts w:ascii="MS PGothic" w:cs="MS PGothic" w:eastAsia="MS PGothic" w:hAnsi="MS PGothic"/>
          <w:sz w:val="17"/>
          <w:szCs w:val="17"/>
          <w:color w:val="auto"/>
        </w:rPr>
        <w:t>‑</w:t>
      </w:r>
      <w:r>
        <w:rPr>
          <w:rFonts w:ascii="Arial" w:cs="Arial" w:eastAsia="Arial" w:hAnsi="Arial"/>
          <w:sz w:val="17"/>
          <w:szCs w:val="17"/>
          <w:color w:val="auto"/>
        </w:rPr>
        <w:t>covered,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206"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Violations of fraud and abuse laws, including federal and state anti</w:t>
      </w:r>
      <w:r>
        <w:rPr>
          <w:rFonts w:ascii="MS PGothic" w:cs="MS PGothic" w:eastAsia="MS PGothic" w:hAnsi="MS PGothic"/>
          <w:sz w:val="18"/>
          <w:szCs w:val="18"/>
          <w:color w:val="auto"/>
        </w:rPr>
        <w:t>‑</w:t>
      </w:r>
      <w:r>
        <w:rPr>
          <w:rFonts w:ascii="Arial" w:cs="Arial" w:eastAsia="Arial" w:hAnsi="Arial"/>
          <w:sz w:val="18"/>
          <w:szCs w:val="18"/>
          <w:color w:val="auto"/>
        </w:rPr>
        <w:t>kickback and false claims laws, may be punishable by criminal and civil sanctions, including fines and civil monetary penalties, the possibility of exclusion from federal healthcare programs (including Medicare and Medicaid), disgorgement of profits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206"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The federal Health Insurance Portability and Accountability Act of 1996, or HIPAA, created additional federal criminal statutes that prohibit, among other actions, knowingly and willfully executing, or attempting to execute, 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scheme to defraud any healthcare benefit program, including private third</w:t>
      </w:r>
      <w:r>
        <w:rPr>
          <w:rFonts w:ascii="MS PGothic" w:cs="MS PGothic" w:eastAsia="MS PGothic" w:hAnsi="MS PGothic"/>
          <w:sz w:val="18"/>
          <w:szCs w:val="18"/>
          <w:color w:val="auto"/>
        </w:rPr>
        <w:t>‑</w:t>
      </w:r>
      <w:r>
        <w:rPr>
          <w:rFonts w:ascii="Arial" w:cs="Arial" w:eastAsia="Arial" w:hAnsi="Arial"/>
          <w:sz w:val="18"/>
          <w:szCs w:val="18"/>
          <w:color w:val="auto"/>
        </w:rPr>
        <w:t>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a person or entity does not need to have actual knowledge of the statute or specific intent to violate it in order to have committed a violation.</w:t>
      </w:r>
    </w:p>
    <w:p>
      <w:pPr>
        <w:spacing w:after="0" w:line="20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there has been a recent trend of increased federal and state regulation of payments made to physicians and certain other healthcare providers. The Affordable Care Act imposed, among other things, new annual reporting requirements through the Physician Payments Sunshine Act for covered manufacturers for certain payments and “transfers of value” provided to physicians (defined to include doctors, dentists, optometrists, podiatrists and chiropractors), and additional categories of health care in 2022,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Covered manufacturers must submit reports by the 90</w:t>
      </w:r>
      <w:r>
        <w:rPr>
          <w:rFonts w:ascii="Arial" w:cs="Arial" w:eastAsia="Arial" w:hAnsi="Arial"/>
          <w:sz w:val="7"/>
          <w:szCs w:val="7"/>
          <w:color w:val="auto"/>
        </w:rPr>
        <w:t>th</w:t>
      </w:r>
      <w:r>
        <w:rPr>
          <w:rFonts w:ascii="Arial" w:cs="Arial" w:eastAsia="Arial" w:hAnsi="Arial"/>
          <w:sz w:val="16"/>
          <w:szCs w:val="16"/>
          <w:color w:val="auto"/>
        </w:rPr>
        <w:t xml:space="preserve"> day of each subsequent calendar year and the reported information is publicly made available on a searchable website. In addition, certain states require implementation of compliance programs and compliance with the pharmaceutical industry’s voluntary compliance guidelines and the relevant compliance guidance promulgated by the federal government, impose restrictions on marketing practices or require the tracking and reporting of marketing expenditures and pricing information as well as gifts, compensation and other remuneration or items of value provided to physicians and other healthcare professionals and entities.</w:t>
      </w:r>
    </w:p>
    <w:p>
      <w:pPr>
        <w:spacing w:after="0" w:line="17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although we believe that we would not be considered a “business associate” in the normal course of our business.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regulations.</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In addition, state laws govern the privacy and security of health information in certain circumstances, many of which differ from each other in significant ways and may not have the same requirements, thus complicating compliance efforts. </w:t>
      </w:r>
      <w:r>
        <w:rPr>
          <w:rFonts w:ascii="Arial" w:cs="Arial" w:eastAsia="Arial" w:hAnsi="Arial"/>
          <w:sz w:val="17"/>
          <w:szCs w:val="17"/>
          <w:color w:val="212529"/>
        </w:rPr>
        <w:t>For example,</w:t>
      </w:r>
      <w:r>
        <w:rPr>
          <w:rFonts w:ascii="Arial" w:cs="Arial" w:eastAsia="Arial" w:hAnsi="Arial"/>
          <w:sz w:val="17"/>
          <w:szCs w:val="17"/>
          <w:color w:val="auto"/>
        </w:rPr>
        <w:t xml:space="preserve"> California enacted the California Consumer Privacy Act, or the CCPA, on June 28, 2018, which went into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w:t>
      </w:r>
    </w:p>
    <w:p>
      <w:pPr>
        <w:spacing w:after="0" w:line="178" w:lineRule="exact"/>
        <w:rPr>
          <w:sz w:val="20"/>
          <w:szCs w:val="20"/>
          <w:color w:val="auto"/>
        </w:rPr>
      </w:pPr>
    </w:p>
    <w:p>
      <w:pPr>
        <w:ind w:right="220" w:firstLine="648"/>
        <w:spacing w:after="0" w:line="221" w:lineRule="exact"/>
        <w:rPr>
          <w:sz w:val="20"/>
          <w:szCs w:val="20"/>
          <w:color w:val="auto"/>
        </w:rPr>
      </w:pPr>
      <w:r>
        <w:rPr>
          <w:rFonts w:ascii="Arial" w:cs="Arial" w:eastAsia="Arial" w:hAnsi="Arial"/>
          <w:sz w:val="16"/>
          <w:szCs w:val="16"/>
          <w:color w:val="auto"/>
        </w:rPr>
        <w:t>Similar laws and regulations in jurisdictions outside of the United States, which may include, for instance, applicable post</w:t>
      </w:r>
      <w:r>
        <w:rPr>
          <w:rFonts w:ascii="MS PGothic" w:cs="MS PGothic" w:eastAsia="MS PGothic" w:hAnsi="MS PGothic"/>
          <w:sz w:val="16"/>
          <w:szCs w:val="16"/>
          <w:color w:val="auto"/>
        </w:rPr>
        <w:t>‑</w:t>
      </w:r>
      <w:r>
        <w:rPr>
          <w:rFonts w:ascii="Arial" w:cs="Arial" w:eastAsia="Arial" w:hAnsi="Arial"/>
          <w:sz w:val="16"/>
          <w:szCs w:val="16"/>
          <w:color w:val="auto"/>
        </w:rPr>
        <w:t>marketing requirements, anti</w:t>
      </w:r>
      <w:r>
        <w:rPr>
          <w:rFonts w:ascii="MS PGothic" w:cs="MS PGothic" w:eastAsia="MS PGothic" w:hAnsi="MS PGothic"/>
          <w:sz w:val="16"/>
          <w:szCs w:val="16"/>
          <w:color w:val="auto"/>
        </w:rPr>
        <w:t>‑</w:t>
      </w:r>
      <w:r>
        <w:rPr>
          <w:rFonts w:ascii="Arial" w:cs="Arial" w:eastAsia="Arial" w:hAnsi="Arial"/>
          <w:sz w:val="16"/>
          <w:szCs w:val="16"/>
          <w:color w:val="auto"/>
        </w:rPr>
        <w:t>fraud and abuse laws and implementation of corporate compliance programs, reporting of payments or other transfers of value to healthcare professionals or data privacy and security laws,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may apply to us to the extent that any of our product candidates, once approved, are sold in a country other than the United States.</w:t>
      </w:r>
    </w:p>
    <w:p>
      <w:pPr>
        <w:spacing w:after="0" w:line="170"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Because of the breadth of these laws and the narrowness of their exceptions and safe harbors, it is possible that business activities can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78"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Ensuring that business arrangements with third parties comply with applicable healthcare laws and regulations is costly and time consuming. If business operations are found to be in violation of any of the laws described above or any other applicable governmental regulations a pharmaceutical manufacturer may be subject to penalties, including civil, criminal and administrative penalties, damages, fines, disgorgement of profits, individual imprisonment, exclusion from governmental funded healthcare programs, such as Medicare and Medicaid, contractual damages, reputational harm, diminished profits and future earnings, additional reporting obligations and oversight if subject to a corporate integrity agreement or other agreement to resolve allegations of non</w:t>
      </w:r>
      <w:r>
        <w:rPr>
          <w:rFonts w:ascii="MS PGothic" w:cs="MS PGothic" w:eastAsia="MS PGothic" w:hAnsi="MS PGothic"/>
          <w:sz w:val="16"/>
          <w:szCs w:val="16"/>
          <w:color w:val="auto"/>
        </w:rPr>
        <w:t>‑</w:t>
      </w:r>
      <w:r>
        <w:rPr>
          <w:rFonts w:ascii="Arial" w:cs="Arial" w:eastAsia="Arial" w:hAnsi="Arial"/>
          <w:sz w:val="16"/>
          <w:szCs w:val="16"/>
          <w:color w:val="auto"/>
        </w:rPr>
        <w:t>compliance with these laws, and curtailment or restructuring of operations, any of which could adversely affect a pharmaceutical manufacturer’s ability to operate its business and the results of its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225" w:lineRule="exact"/>
        <w:rPr>
          <w:sz w:val="20"/>
          <w:szCs w:val="20"/>
          <w:color w:val="auto"/>
        </w:rPr>
      </w:pPr>
    </w:p>
    <w:p>
      <w:pPr>
        <w:ind w:right="20" w:firstLine="648"/>
        <w:spacing w:after="0" w:line="217" w:lineRule="exact"/>
        <w:rPr>
          <w:sz w:val="20"/>
          <w:szCs w:val="20"/>
          <w:color w:val="auto"/>
        </w:rPr>
      </w:pPr>
      <w:r>
        <w:rPr>
          <w:rFonts w:ascii="Arial" w:cs="Arial" w:eastAsia="Arial" w:hAnsi="Arial"/>
          <w:sz w:val="17"/>
          <w:szCs w:val="17"/>
          <w:color w:val="auto"/>
        </w:rPr>
        <w:t>Significant uncertainty exists as to the coverage and reimbursement status of any biological products for which we obtain regulatory approval. The United States government, state legislatures and governments outside the United States have shown significant interest in implementing cost containment programs to limit the growth of government</w:t>
      </w:r>
      <w:r>
        <w:rPr>
          <w:rFonts w:ascii="MS PGothic" w:cs="MS PGothic" w:eastAsia="MS PGothic" w:hAnsi="MS PGothic"/>
          <w:sz w:val="17"/>
          <w:szCs w:val="17"/>
          <w:color w:val="auto"/>
        </w:rPr>
        <w:t>‑</w:t>
      </w:r>
      <w:r>
        <w:rPr>
          <w:rFonts w:ascii="Arial" w:cs="Arial" w:eastAsia="Arial" w:hAnsi="Arial"/>
          <w:sz w:val="17"/>
          <w:szCs w:val="17"/>
          <w:color w:val="auto"/>
        </w:rPr>
        <w:t>paid healthcare costs, including price</w:t>
      </w:r>
      <w:r>
        <w:rPr>
          <w:rFonts w:ascii="MS PGothic" w:cs="MS PGothic" w:eastAsia="MS PGothic" w:hAnsi="MS PGothic"/>
          <w:sz w:val="17"/>
          <w:szCs w:val="17"/>
          <w:color w:val="auto"/>
        </w:rPr>
        <w:t>‑</w:t>
      </w:r>
      <w:r>
        <w:rPr>
          <w:rFonts w:ascii="Arial" w:cs="Arial" w:eastAsia="Arial" w:hAnsi="Arial"/>
          <w:sz w:val="17"/>
          <w:szCs w:val="17"/>
          <w:color w:val="auto"/>
        </w:rPr>
        <w:t>controls, restrictions on reimbursement and requirements for substitution of generic products for branded drug and biologic products. In the United States and markets in other countries, patients who are prescribed products generally rely on third</w:t>
      </w:r>
      <w:r>
        <w:rPr>
          <w:rFonts w:ascii="MS PGothic" w:cs="MS PGothic" w:eastAsia="MS PGothic" w:hAnsi="MS PGothic"/>
          <w:sz w:val="17"/>
          <w:szCs w:val="17"/>
          <w:color w:val="auto"/>
        </w:rPr>
        <w:t>‑</w:t>
      </w:r>
      <w:r>
        <w:rPr>
          <w:rFonts w:ascii="Arial" w:cs="Arial" w:eastAsia="Arial" w:hAnsi="Arial"/>
          <w:sz w:val="17"/>
          <w:szCs w:val="17"/>
          <w:color w:val="auto"/>
        </w:rPr>
        <w:t>party payors to reimburse all or a substantial part of the associated healthcare costs. Providers and patients are unlikely to use our products unless coverage is provided and reimbursement is adequate to cover a substantial portion of the cost of our products. For products administered under the supervision of a physician, obtaining coverage and adequate reimbursement may be particularly difficult because of the higher prices often associated with such drugs. If approved, sales of our product candidates will depend, in part, on the availability of coverage and adequate reimbursement from third</w:t>
      </w:r>
      <w:r>
        <w:rPr>
          <w:rFonts w:ascii="MS PGothic" w:cs="MS PGothic" w:eastAsia="MS PGothic" w:hAnsi="MS PGothic"/>
          <w:sz w:val="17"/>
          <w:szCs w:val="17"/>
          <w:color w:val="auto"/>
        </w:rPr>
        <w:t>‑</w:t>
      </w:r>
      <w:r>
        <w:rPr>
          <w:rFonts w:ascii="Arial" w:cs="Arial" w:eastAsia="Arial" w:hAnsi="Arial"/>
          <w:sz w:val="17"/>
          <w:szCs w:val="17"/>
          <w:color w:val="auto"/>
        </w:rPr>
        <w:t>party payors. Third</w:t>
      </w:r>
      <w:r>
        <w:rPr>
          <w:rFonts w:ascii="MS PGothic" w:cs="MS PGothic" w:eastAsia="MS PGothic" w:hAnsi="MS PGothic"/>
          <w:sz w:val="17"/>
          <w:szCs w:val="17"/>
          <w:color w:val="auto"/>
        </w:rPr>
        <w:t>‑</w:t>
      </w:r>
      <w:r>
        <w:rPr>
          <w:rFonts w:ascii="Arial" w:cs="Arial" w:eastAsia="Arial" w:hAnsi="Arial"/>
          <w:sz w:val="17"/>
          <w:szCs w:val="17"/>
          <w:color w:val="auto"/>
        </w:rPr>
        <w:t>party payors include government authorities, managed care plans, private health insurers and other organizations.</w:t>
      </w:r>
    </w:p>
    <w:p>
      <w:pPr>
        <w:spacing w:after="0" w:line="209" w:lineRule="exact"/>
        <w:rPr>
          <w:sz w:val="20"/>
          <w:szCs w:val="20"/>
          <w:color w:val="auto"/>
        </w:rPr>
      </w:pPr>
    </w:p>
    <w:p>
      <w:pPr>
        <w:ind w:right="20" w:firstLine="648"/>
        <w:spacing w:after="0" w:line="217" w:lineRule="exact"/>
        <w:rPr>
          <w:sz w:val="20"/>
          <w:szCs w:val="20"/>
          <w:color w:val="auto"/>
        </w:rPr>
      </w:pPr>
      <w:r>
        <w:rPr>
          <w:rFonts w:ascii="Arial" w:cs="Arial" w:eastAsia="Arial" w:hAnsi="Arial"/>
          <w:sz w:val="17"/>
          <w:szCs w:val="17"/>
          <w:color w:val="auto"/>
        </w:rPr>
        <w:t>In the United States, the process for determining whether a third</w:t>
      </w:r>
      <w:r>
        <w:rPr>
          <w:rFonts w:ascii="MS PGothic" w:cs="MS PGothic" w:eastAsia="MS PGothic" w:hAnsi="MS PGothic"/>
          <w:sz w:val="17"/>
          <w:szCs w:val="17"/>
          <w:color w:val="auto"/>
        </w:rPr>
        <w:t>‑</w:t>
      </w:r>
      <w:r>
        <w:rPr>
          <w:rFonts w:ascii="Arial" w:cs="Arial" w:eastAsia="Arial" w:hAnsi="Arial"/>
          <w:sz w:val="17"/>
          <w:szCs w:val="17"/>
          <w:color w:val="auto"/>
        </w:rPr>
        <w:t>party payor will provide coverage and the related coverage criteria for a biological product typically is separate from, but related to, the process for setting the price of such product or for establishing the level of reimbursement that the payor will pay for the product once coverage is approved. With respect to biologics, third</w:t>
      </w:r>
      <w:r>
        <w:rPr>
          <w:rFonts w:ascii="MS PGothic" w:cs="MS PGothic" w:eastAsia="MS PGothic" w:hAnsi="MS PGothic"/>
          <w:sz w:val="17"/>
          <w:szCs w:val="17"/>
          <w:color w:val="auto"/>
        </w:rPr>
        <w:t>‑</w:t>
      </w:r>
      <w:r>
        <w:rPr>
          <w:rFonts w:ascii="Arial" w:cs="Arial" w:eastAsia="Arial" w:hAnsi="Arial"/>
          <w:sz w:val="17"/>
          <w:szCs w:val="17"/>
          <w:color w:val="auto"/>
        </w:rPr>
        <w:t>party payors may limit coverage to specific products on an approved list, also known as a formulary, which might not include all of the FDA</w:t>
      </w:r>
      <w:r>
        <w:rPr>
          <w:rFonts w:ascii="MS PGothic" w:cs="MS PGothic" w:eastAsia="MS PGothic" w:hAnsi="MS PGothic"/>
          <w:sz w:val="17"/>
          <w:szCs w:val="17"/>
          <w:color w:val="auto"/>
        </w:rPr>
        <w:t>‑</w:t>
      </w:r>
      <w:r>
        <w:rPr>
          <w:rFonts w:ascii="Arial" w:cs="Arial" w:eastAsia="Arial" w:hAnsi="Arial"/>
          <w:sz w:val="17"/>
          <w:szCs w:val="17"/>
          <w:color w:val="auto"/>
        </w:rPr>
        <w:t>approved products for a particular indication, or place products at certain formulary levels that result in lower reimbursement levels, which results in higher cost</w:t>
      </w:r>
      <w:r>
        <w:rPr>
          <w:rFonts w:ascii="MS PGothic" w:cs="MS PGothic" w:eastAsia="MS PGothic" w:hAnsi="MS PGothic"/>
          <w:sz w:val="17"/>
          <w:szCs w:val="17"/>
          <w:color w:val="auto"/>
        </w:rPr>
        <w:t>‑</w:t>
      </w:r>
      <w:r>
        <w:rPr>
          <w:rFonts w:ascii="Arial" w:cs="Arial" w:eastAsia="Arial" w:hAnsi="Arial"/>
          <w:sz w:val="17"/>
          <w:szCs w:val="17"/>
          <w:color w:val="auto"/>
        </w:rPr>
        <w:t>sharing financial obligation imposed on patients. A decision by a third</w:t>
      </w:r>
      <w:r>
        <w:rPr>
          <w:rFonts w:ascii="MS PGothic" w:cs="MS PGothic" w:eastAsia="MS PGothic" w:hAnsi="MS PGothic"/>
          <w:sz w:val="17"/>
          <w:szCs w:val="17"/>
          <w:color w:val="auto"/>
        </w:rPr>
        <w:t>‑</w:t>
      </w:r>
      <w:r>
        <w:rPr>
          <w:rFonts w:ascii="Arial" w:cs="Arial" w:eastAsia="Arial" w:hAnsi="Arial"/>
          <w:sz w:val="17"/>
          <w:szCs w:val="17"/>
          <w:color w:val="auto"/>
        </w:rPr>
        <w:t>party payor not to cover our product candidates, or to impose coverage criteria the limiting situations in which our product candidates are covered, could reduce physician utilization of a product. Moreover, a third</w:t>
      </w:r>
      <w:r>
        <w:rPr>
          <w:rFonts w:ascii="MS PGothic" w:cs="MS PGothic" w:eastAsia="MS PGothic" w:hAnsi="MS PGothic"/>
          <w:sz w:val="17"/>
          <w:szCs w:val="17"/>
          <w:color w:val="auto"/>
        </w:rPr>
        <w:t>‑</w:t>
      </w:r>
      <w:r>
        <w:rPr>
          <w:rFonts w:ascii="Arial" w:cs="Arial" w:eastAsia="Arial" w:hAnsi="Arial"/>
          <w:sz w:val="17"/>
          <w:szCs w:val="17"/>
          <w:color w:val="auto"/>
        </w:rPr>
        <w:t>party payor’s decision to provide coverage for a product does not imply that an adequate reimbursement rate will be approved. Adequate third</w:t>
      </w:r>
      <w:r>
        <w:rPr>
          <w:rFonts w:ascii="MS PGothic" w:cs="MS PGothic" w:eastAsia="MS PGothic" w:hAnsi="MS PGothic"/>
          <w:sz w:val="17"/>
          <w:szCs w:val="17"/>
          <w:color w:val="auto"/>
        </w:rPr>
        <w:t>‑</w:t>
      </w:r>
      <w:r>
        <w:rPr>
          <w:rFonts w:ascii="Arial" w:cs="Arial" w:eastAsia="Arial" w:hAnsi="Arial"/>
          <w:sz w:val="17"/>
          <w:szCs w:val="17"/>
          <w:color w:val="auto"/>
        </w:rPr>
        <w:t>party reimbursement may not be available to enable a manufacturer to maintain price levels sufficient to realize an appropriate return on its investment in product development. Additionally, coverage, coverage criteria, and reimbursement for products can differ significantly from payor to payor. One third</w:t>
      </w:r>
      <w:r>
        <w:rPr>
          <w:rFonts w:ascii="MS PGothic" w:cs="MS PGothic" w:eastAsia="MS PGothic" w:hAnsi="MS PGothic"/>
          <w:sz w:val="17"/>
          <w:szCs w:val="17"/>
          <w:color w:val="auto"/>
        </w:rPr>
        <w:t>‑</w:t>
      </w:r>
      <w:r>
        <w:rPr>
          <w:rFonts w:ascii="Arial" w:cs="Arial" w:eastAsia="Arial" w:hAnsi="Arial"/>
          <w:sz w:val="17"/>
          <w:szCs w:val="17"/>
          <w:color w:val="auto"/>
        </w:rPr>
        <w:t>party payor’s decision to cover a particular medical product does not ensure that other payors will also provide coverage for the medical product, or will provide coverage at an adequate reimbursement rate. As a result, the coverage determination process usually requires manufacturers to provide scientific, clinical and health economic support for the use of their products to each payor separately, which is a time</w:t>
      </w:r>
      <w:r>
        <w:rPr>
          <w:rFonts w:ascii="MS PGothic" w:cs="MS PGothic" w:eastAsia="MS PGothic" w:hAnsi="MS PGothic"/>
          <w:sz w:val="17"/>
          <w:szCs w:val="17"/>
          <w:color w:val="auto"/>
        </w:rPr>
        <w:t>‑</w:t>
      </w:r>
      <w:r>
        <w:rPr>
          <w:rFonts w:ascii="Arial" w:cs="Arial" w:eastAsia="Arial" w:hAnsi="Arial"/>
          <w:sz w:val="17"/>
          <w:szCs w:val="17"/>
          <w:color w:val="auto"/>
        </w:rPr>
        <w:t>consuming process.</w:t>
      </w:r>
    </w:p>
    <w:p>
      <w:pPr>
        <w:spacing w:after="0" w:line="207" w:lineRule="exact"/>
        <w:rPr>
          <w:sz w:val="20"/>
          <w:szCs w:val="20"/>
          <w:color w:val="auto"/>
        </w:rPr>
      </w:pPr>
    </w:p>
    <w:p>
      <w:pPr>
        <w:ind w:right="320" w:firstLine="648"/>
        <w:spacing w:after="0" w:line="224" w:lineRule="exact"/>
        <w:rPr>
          <w:sz w:val="20"/>
          <w:szCs w:val="20"/>
          <w:color w:val="auto"/>
        </w:rPr>
      </w:pPr>
      <w:r>
        <w:rPr>
          <w:rFonts w:ascii="Arial" w:cs="Arial" w:eastAsia="Arial" w:hAnsi="Arial"/>
          <w:sz w:val="17"/>
          <w:szCs w:val="17"/>
          <w:color w:val="auto"/>
        </w:rPr>
        <w:t>As noted above, the marketability of any products for which we receive regulatory approval for commercial sale may suffer if the government and third</w:t>
      </w:r>
      <w:r>
        <w:rPr>
          <w:rFonts w:ascii="MS PGothic" w:cs="MS PGothic" w:eastAsia="MS PGothic" w:hAnsi="MS PGothic"/>
          <w:sz w:val="17"/>
          <w:szCs w:val="17"/>
          <w:color w:val="auto"/>
        </w:rPr>
        <w:t>‑</w:t>
      </w:r>
      <w:r>
        <w:rPr>
          <w:rFonts w:ascii="Arial" w:cs="Arial" w:eastAsia="Arial" w:hAnsi="Arial"/>
          <w:sz w:val="17"/>
          <w:szCs w:val="17"/>
          <w:color w:val="auto"/>
        </w:rPr>
        <w:t>party payors fail to provide coverage and adequate reimbursement.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increasing emphasis on cost containment measures in the United States has increased and we expect will continue to increase</w:t>
      </w:r>
    </w:p>
    <w:p>
      <w:pPr>
        <w:spacing w:after="0" w:line="4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the pressure on pharmaceutical pricing. Coverage policies and third</w:t>
      </w:r>
      <w:r>
        <w:rPr>
          <w:rFonts w:ascii="MS PGothic" w:cs="MS PGothic" w:eastAsia="MS PGothic" w:hAnsi="MS PGothic"/>
          <w:sz w:val="16"/>
          <w:szCs w:val="16"/>
          <w:color w:val="auto"/>
        </w:rPr>
        <w:t>‑</w:t>
      </w:r>
      <w:r>
        <w:rPr>
          <w:rFonts w:ascii="Arial" w:cs="Arial" w:eastAsia="Arial" w:hAnsi="Arial"/>
          <w:sz w:val="16"/>
          <w:szCs w:val="16"/>
          <w:color w:val="auto"/>
        </w:rPr>
        <w:t>party reimbursement rates may change at any time. Even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favorable coverage and reimbursement are attained for one or more products for which we receive regulatory approval, less</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favorable coverage policies and reimbursement rates may be implemented in the future. Third</w:t>
      </w:r>
      <w:r>
        <w:rPr>
          <w:rFonts w:ascii="MS PGothic" w:cs="MS PGothic" w:eastAsia="MS PGothic" w:hAnsi="MS PGothic"/>
          <w:sz w:val="16"/>
          <w:szCs w:val="16"/>
          <w:color w:val="auto"/>
        </w:rPr>
        <w:t>‑</w:t>
      </w:r>
      <w:r>
        <w:rPr>
          <w:rFonts w:ascii="Arial" w:cs="Arial" w:eastAsia="Arial" w:hAnsi="Arial"/>
          <w:sz w:val="16"/>
          <w:szCs w:val="16"/>
          <w:color w:val="auto"/>
        </w:rPr>
        <w:t>party payors are increasingly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challenging the prices charged for medical products and services, examining the medical necessity and reviewing the</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cost</w:t>
      </w:r>
      <w:r>
        <w:rPr>
          <w:rFonts w:ascii="MS PGothic" w:cs="MS PGothic" w:eastAsia="MS PGothic" w:hAnsi="MS PGothic"/>
          <w:sz w:val="16"/>
          <w:szCs w:val="16"/>
          <w:color w:val="auto"/>
        </w:rPr>
        <w:t>‑</w:t>
      </w:r>
      <w:r>
        <w:rPr>
          <w:rFonts w:ascii="Arial" w:cs="Arial" w:eastAsia="Arial" w:hAnsi="Arial"/>
          <w:sz w:val="16"/>
          <w:szCs w:val="16"/>
          <w:color w:val="auto"/>
        </w:rPr>
        <w:t>benefit of pharmaceutical products, in addition to questioning safety and efficacy. If third</w:t>
      </w:r>
      <w:r>
        <w:rPr>
          <w:rFonts w:ascii="MS PGothic" w:cs="MS PGothic" w:eastAsia="MS PGothic" w:hAnsi="MS PGothic"/>
          <w:sz w:val="16"/>
          <w:szCs w:val="16"/>
          <w:color w:val="auto"/>
        </w:rPr>
        <w:t>‑</w:t>
      </w:r>
      <w:r>
        <w:rPr>
          <w:rFonts w:ascii="Arial" w:cs="Arial" w:eastAsia="Arial" w:hAnsi="Arial"/>
          <w:sz w:val="16"/>
          <w:szCs w:val="16"/>
          <w:color w:val="auto"/>
        </w:rPr>
        <w:t>party payors do not consider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to offer a favorable cost-benefit compared to other available therapies, they may not cover that product after FDA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approval or, if they do, the level of payment may not be sufficient to allow a manufacturer to sell its product at a profit.</w:t>
      </w:r>
    </w:p>
    <w:p>
      <w:pPr>
        <w:spacing w:after="0" w:line="222"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In addition, in many countries, the proposed pricing for a drug must be approved before it may be lawfully marketed. The requirements governing drug pricing and reimbursement vary widely from country to country. In the European Union, governments influence the price of products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 effectiveness of a particular product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products. The downward pressure on healthcare costs in general, particularly prescription products, has become very intense. As a result, increasingly high barriers are being erected to the entry of new products. In addition, in some countries, cross border imports from low</w:t>
      </w:r>
      <w:r>
        <w:rPr>
          <w:rFonts w:ascii="MS PGothic" w:cs="MS PGothic" w:eastAsia="MS PGothic" w:hAnsi="MS PGothic"/>
          <w:sz w:val="17"/>
          <w:szCs w:val="17"/>
          <w:color w:val="auto"/>
        </w:rPr>
        <w:t>‑</w:t>
      </w:r>
      <w:r>
        <w:rPr>
          <w:rFonts w:ascii="Arial" w:cs="Arial" w:eastAsia="Arial" w:hAnsi="Arial"/>
          <w:sz w:val="17"/>
          <w:szCs w:val="17"/>
          <w:color w:val="auto"/>
        </w:rPr>
        <w:t>priced markets exert a commercial pressure on pricing within a country.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and Potential Changes to Healthcare Laws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devices and to spur innovation, but its ultimate implementation is uncertain. In addition, in August 2017, the FDA Reauthorization Act was signed into law, which reauthorized the FDAs user fee programs and included additional drug and device provisions that build on the Cures Act.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167"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w:t>
      </w:r>
      <w:r>
        <w:rPr>
          <w:rFonts w:ascii="MS PGothic" w:cs="MS PGothic" w:eastAsia="MS PGothic" w:hAnsi="MS PGothic"/>
          <w:sz w:val="17"/>
          <w:szCs w:val="17"/>
          <w:color w:val="auto"/>
        </w:rPr>
        <w:t>‑</w:t>
      </w:r>
      <w:r>
        <w:rPr>
          <w:rFonts w:ascii="Arial" w:cs="Arial" w:eastAsia="Arial" w:hAnsi="Arial"/>
          <w:sz w:val="17"/>
          <w:szCs w:val="17"/>
          <w:color w:val="auto"/>
        </w:rPr>
        <w:t>party payors have attempted to control costs by limiting coverage and the level of reimbursement for particular medical products and services, implementing reductions in Medicare and other healthcare funding and applying new payment methodologies. For example, in March 2010, the Affordable Care Act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drug manufacturers to new annual fees based on pharmaceutical companies’ share of sales to federal healthcare programs; imposed a new federal excise tax on the sale of certain medical devices; created a new Patient Centered Outcomes Research Institute to oversee, identify priorities in, and conduct comparative clinical effectiveness research, along with funding for such research; created the Independent Payment Advisory Board, which, once empaneled, will have authority to recommend certain changes to the Medicare program that could result in reduced payments for prescription drugs; and established a Center for Medicare Innovation at the CMS to test innovative payment and service delivery models to lower Medicare and Medicaid spending.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Affordable Care Act, and we expect there will be additional challenges and amendments to the Affordable Care Act in the future. The current Presidential administration and members of the U.S. Congress have indicated that they may continue to seek to modify, repeal or otherwise invalidate all, or certain provisions of, the Affordable Care Act. Most recently, the Tax Cuts and Jobs Acts was enacted, which, among other things, removes penalties for not complying with the individual mandate to carry health insurance. On December 14, 2018, a U.S. District Court Judge in the Northern District of Texas, ruled that the individual mandate is a critical and inseverable feature of the Affordable Care Act, and therefore, because it was repealed as part of the Tax Act, the remaining provisions of the Affordable Care Act, such as the BPCIA,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It is unclear how these decisions, subsequent appeals, if any, or other efforts to challenge, repeal or replace the Affordable Care Act will impact the law or our business.</w:t>
      </w:r>
    </w:p>
    <w:p>
      <w:pPr>
        <w:spacing w:after="0" w:line="169" w:lineRule="exact"/>
        <w:rPr>
          <w:sz w:val="20"/>
          <w:szCs w:val="20"/>
          <w:color w:val="auto"/>
        </w:rPr>
      </w:pPr>
    </w:p>
    <w:p>
      <w:pPr>
        <w:ind w:right="60" w:firstLine="693"/>
        <w:spacing w:after="0" w:line="287"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to reduce healthcare expenditures. These changes include the Budget Control Act of 2011, which, among other things, included aggregate reductions of Medicare payments to providers of 2% per fiscal year and that will remain in effect through 2029 unless additional action is taken by Congress; and the American Taxpayer Relief Act of 2012,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and biologic products.</w:t>
      </w:r>
    </w:p>
    <w:p>
      <w:pPr>
        <w:spacing w:after="0" w:line="173"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Individual states in the United States have become increasingly active in passing legislation and implementing regulations designed to control biotechnology and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or executive action, either in the United States or abroad. We expect that additional state and federal healthcare reform measures will be adopted in the future, any of which could limit the amounts that governments and third party payors will pay for healthcare products and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we had 137 employees, 135 of which were full-time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89" w:lineRule="exact"/>
        <w:rPr>
          <w:sz w:val="20"/>
          <w:szCs w:val="20"/>
          <w:color w:val="auto"/>
        </w:rPr>
      </w:pPr>
    </w:p>
    <w:p>
      <w:pPr>
        <w:ind w:right="20" w:firstLine="648"/>
        <w:spacing w:after="0" w:line="219" w:lineRule="exact"/>
        <w:rPr>
          <w:sz w:val="20"/>
          <w:szCs w:val="20"/>
          <w:color w:val="auto"/>
        </w:rPr>
      </w:pPr>
      <w:r>
        <w:rPr>
          <w:rFonts w:ascii="Arial" w:cs="Arial" w:eastAsia="Arial" w:hAnsi="Arial"/>
          <w:sz w:val="18"/>
          <w:szCs w:val="18"/>
          <w:color w:val="auto"/>
        </w:rPr>
        <w:t>We are an exempted company incorporated under the laws of Bermuda in July 2015. Our registered office is located in Bermuda at Clarendon House, 2 Church Street, Hamilton HM11, Bermuda. The telephone number for our registered office is +44 808</w:t>
      </w:r>
      <w:r>
        <w:rPr>
          <w:rFonts w:ascii="MS PGothic" w:cs="MS PGothic" w:eastAsia="MS PGothic" w:hAnsi="MS PGothic"/>
          <w:sz w:val="18"/>
          <w:szCs w:val="18"/>
          <w:color w:val="auto"/>
        </w:rPr>
        <w:t>‑</w:t>
      </w:r>
      <w:r>
        <w:rPr>
          <w:rFonts w:ascii="Arial" w:cs="Arial" w:eastAsia="Arial" w:hAnsi="Arial"/>
          <w:sz w:val="18"/>
          <w:szCs w:val="18"/>
          <w:color w:val="auto"/>
        </w:rPr>
        <w:t>189</w:t>
      </w:r>
      <w:r>
        <w:rPr>
          <w:rFonts w:ascii="MS PGothic" w:cs="MS PGothic" w:eastAsia="MS PGothic" w:hAnsi="MS PGothic"/>
          <w:sz w:val="18"/>
          <w:szCs w:val="18"/>
          <w:color w:val="auto"/>
        </w:rPr>
        <w:t>‑</w:t>
      </w:r>
      <w:r>
        <w:rPr>
          <w:rFonts w:ascii="Arial" w:cs="Arial" w:eastAsia="Arial" w:hAnsi="Arial"/>
          <w:sz w:val="18"/>
          <w:szCs w:val="18"/>
          <w:color w:val="auto"/>
        </w:rPr>
        <w:t>6257. Our website address is www.kiniksa.com. The information contained on our website is not incorporated by reference into this Annual Report, and you should not consider any information contained on, or that can be accessed through, our website as part of this Annual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 xml:space="preserve">We are subject to the information requirements of the Securities Exchange Act of 1934, as amended. The SEC maintains an internet site that contains reports, proxy and information statements, and other information regarding issuers that file electronically, such as ourselves, with the SEC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We make available free of charge on our website our Annual Reports on Form 10-K, Quarterly Reports on Form 10-Q, Current Reports on Form 8-K and amendments to those reports filed or furnished pursuant to Section 13(a) or 15(d) of the Exchange Act as soon as reasonably possible after we electronically file such material with, or furnish it to, the SEC. Our website is located at </w:t>
      </w:r>
      <w:r>
        <w:rPr>
          <w:rFonts w:ascii="Arial" w:cs="Arial" w:eastAsia="Arial" w:hAnsi="Arial"/>
          <w:sz w:val="18"/>
          <w:szCs w:val="18"/>
          <w:i w:val="1"/>
          <w:iCs w:val="1"/>
          <w:color w:val="auto"/>
        </w:rPr>
        <w:t>www.kiniksa.com</w:t>
      </w:r>
      <w:r>
        <w:rPr>
          <w:rFonts w:ascii="Arial" w:cs="Arial" w:eastAsia="Arial" w:hAnsi="Arial"/>
          <w:sz w:val="18"/>
          <w:szCs w:val="18"/>
          <w:color w:val="auto"/>
        </w:rPr>
        <w:t>. The reference to our website address does not constitute incorporation by reference of the information contained at or available through our website, and you should not consider it to be a part of this Annual Report.</w:t>
      </w:r>
    </w:p>
    <w:p>
      <w:pPr>
        <w:spacing w:after="0" w:line="36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262626"/>
        </w:rPr>
        <w:t>ITEM 1A.</w:t>
      </w:r>
      <w:r>
        <w:rPr>
          <w:sz w:val="20"/>
          <w:szCs w:val="20"/>
          <w:color w:val="auto"/>
        </w:rPr>
        <w:tab/>
      </w:r>
      <w:r>
        <w:rPr>
          <w:rFonts w:ascii="Arial" w:cs="Arial" w:eastAsia="Arial" w:hAnsi="Arial"/>
          <w:sz w:val="17"/>
          <w:szCs w:val="17"/>
          <w:b w:val="1"/>
          <w:bCs w:val="1"/>
          <w:color w:val="262626"/>
        </w:rPr>
        <w:t>RISK FACTORS.</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i w:val="1"/>
          <w:iCs w:val="1"/>
          <w:color w:val="auto"/>
        </w:rPr>
        <w:t>You should carefully consider the risks described below, as well as the other information in this Annual Report, including our audited consolidated financial statements and the related notes and “Management’s Discussion and Analysis of Financial Condition and Results of Operations.” The occurrence of any of the events or developments described below could adversely affect our business, financial condition, results of operations and growth prospects. In such an event, the market price of our Class A common shares could decline. Additional risks and uncertainties not presently known to us or that we currently deem immaterial also may impair our business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We are a biopharmaceutical company with a limited operating history and have not generated any revenue from product sales. We have incurred significant operating losses since our inception and anticipate that we will incur continued losses for the foreseeable future.</w:t>
      </w:r>
    </w:p>
    <w:p>
      <w:pPr>
        <w:spacing w:after="0" w:line="181" w:lineRule="exact"/>
        <w:rPr>
          <w:sz w:val="20"/>
          <w:szCs w:val="20"/>
          <w:color w:val="auto"/>
        </w:rPr>
      </w:pPr>
    </w:p>
    <w:p>
      <w:pPr>
        <w:ind w:right="40" w:firstLine="648"/>
        <w:spacing w:after="0" w:line="217" w:lineRule="exact"/>
        <w:rPr>
          <w:sz w:val="20"/>
          <w:szCs w:val="20"/>
          <w:color w:val="auto"/>
        </w:rPr>
      </w:pPr>
      <w:r>
        <w:rPr>
          <w:rFonts w:ascii="Arial" w:cs="Arial" w:eastAsia="Arial" w:hAnsi="Arial"/>
          <w:sz w:val="17"/>
          <w:szCs w:val="17"/>
          <w:color w:val="auto"/>
        </w:rPr>
        <w:t>Biopharmaceutical product development is a highly speculative undertaking and involves a substantial degree of risk. Typically, it takes many years to develop one new product from the time it is discovered to when it is available for treating patients, and development may cease for a number of reasons. We have incurred operating losses in each year since our inception in 2015 and anticipate incurring losses for the foreseeable future. To date, we have invested substantially all of our efforts and financial resources in identifying, acquiring, in</w:t>
      </w:r>
      <w:r>
        <w:rPr>
          <w:rFonts w:ascii="MS PGothic" w:cs="MS PGothic" w:eastAsia="MS PGothic" w:hAnsi="MS PGothic"/>
          <w:sz w:val="17"/>
          <w:szCs w:val="17"/>
          <w:color w:val="auto"/>
        </w:rPr>
        <w:t>‑</w:t>
      </w:r>
      <w:r>
        <w:rPr>
          <w:rFonts w:ascii="Arial" w:cs="Arial" w:eastAsia="Arial" w:hAnsi="Arial"/>
          <w:sz w:val="17"/>
          <w:szCs w:val="17"/>
          <w:color w:val="auto"/>
        </w:rPr>
        <w:t>licensing and developing our product candidates, including commencing and conducting clinical trials and providing general and administrative support for these operations. Our future success is dependent on our ability to develop, obtain regulatory approval for and successfully commercialize one or more of our product candidates. We have not yet demonstrated our ability to successfully conduct and complete a Phase 3 or other pivotal clinical trial, obtain regulatory approvals, manufacture a commercial</w:t>
      </w:r>
      <w:r>
        <w:rPr>
          <w:rFonts w:ascii="MS PGothic" w:cs="MS PGothic" w:eastAsia="MS PGothic" w:hAnsi="MS PGothic"/>
          <w:sz w:val="17"/>
          <w:szCs w:val="17"/>
          <w:color w:val="auto"/>
        </w:rPr>
        <w:t>‑</w:t>
      </w:r>
      <w:r>
        <w:rPr>
          <w:rFonts w:ascii="Arial" w:cs="Arial" w:eastAsia="Arial" w:hAnsi="Arial"/>
          <w:sz w:val="17"/>
          <w:szCs w:val="17"/>
          <w:color w:val="auto"/>
        </w:rPr>
        <w:t>scale drug, or conduct sales and marketing activities. We currently generate no revenue from sales of any products, and we may never be able to develop or commercialize a marketable product. Consequently, predictions about our future success or viability could be more accurate if we had a longer operating history.</w:t>
      </w:r>
    </w:p>
    <w:p>
      <w:pPr>
        <w:spacing w:after="0" w:line="20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262626"/>
        </w:rPr>
        <w:t xml:space="preserve">We have incurred significant losses related to expenses for research and development and our ongoing operations. Our net losses for the years ended December 31, 2019 and 2018 were $161.9 million and $103.2 million, respectively. As of December 31, 2019, we had an accumulated deficit of $356.1 million. </w:t>
      </w:r>
      <w:r>
        <w:rPr>
          <w:rFonts w:ascii="Arial" w:cs="Arial" w:eastAsia="Arial" w:hAnsi="Arial"/>
          <w:sz w:val="16"/>
          <w:szCs w:val="16"/>
          <w:color w:val="000000"/>
        </w:rPr>
        <w:t>We expect to continue to incur losses for the</w:t>
      </w:r>
      <w:r>
        <w:rPr>
          <w:rFonts w:ascii="Arial" w:cs="Arial" w:eastAsia="Arial" w:hAnsi="Arial"/>
          <w:sz w:val="16"/>
          <w:szCs w:val="16"/>
          <w:color w:val="262626"/>
        </w:rPr>
        <w:t xml:space="preserve"> </w:t>
      </w:r>
      <w:r>
        <w:rPr>
          <w:rFonts w:ascii="Arial" w:cs="Arial" w:eastAsia="Arial" w:hAnsi="Arial"/>
          <w:sz w:val="16"/>
          <w:szCs w:val="16"/>
          <w:color w:val="000000"/>
        </w:rPr>
        <w:t>foreseeable future, and we anticipate these losses will increase substantially as a result of many factors, including:</w:t>
      </w:r>
    </w:p>
    <w:p>
      <w:pPr>
        <w:spacing w:after="0" w:line="154" w:lineRule="exact"/>
        <w:rPr>
          <w:sz w:val="20"/>
          <w:szCs w:val="20"/>
          <w:color w:val="auto"/>
        </w:rPr>
      </w:pPr>
    </w:p>
    <w:p>
      <w:pPr>
        <w:ind w:left="980" w:right="120" w:hanging="329"/>
        <w:spacing w:after="0" w:line="219" w:lineRule="exact"/>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research and preclinical and clinical development of our product candidates, including our global, pivotal Phase 3 clinical trial for rilonacept for the treatment of recurrent pericarditis, named RHAPSODY, our global Phase 2 clinical trial with mavrilimumab for the treatment of GCA our Phase 2a clinical trial with KPL</w:t>
      </w:r>
      <w:r>
        <w:rPr>
          <w:rFonts w:ascii="MS PGothic" w:cs="MS PGothic" w:eastAsia="MS PGothic" w:hAnsi="MS PGothic"/>
          <w:sz w:val="17"/>
          <w:szCs w:val="17"/>
          <w:color w:val="auto"/>
        </w:rPr>
        <w:t>‑</w:t>
      </w:r>
      <w:r>
        <w:rPr>
          <w:rFonts w:ascii="Arial" w:cs="Arial" w:eastAsia="Arial" w:hAnsi="Arial"/>
          <w:sz w:val="17"/>
          <w:szCs w:val="17"/>
          <w:color w:val="auto"/>
        </w:rPr>
        <w:t>716 in prurigo nodularis and our exploratory Phase 2 clinical trial for KPL-716 in diseases characterized by chronic pruritus</w:t>
      </w:r>
      <w:r>
        <w:rPr>
          <w:rFonts w:ascii="Arial" w:cs="Arial" w:eastAsia="Arial" w:hAnsi="Arial"/>
          <w:sz w:val="17"/>
          <w:szCs w:val="17"/>
          <w:color w:val="262626"/>
        </w:rPr>
        <w:t>, as well as our Phase 1 clinical trial in healthy volunteers for KPL-404</w:t>
      </w:r>
      <w:r>
        <w:rPr>
          <w:rFonts w:ascii="Arial" w:cs="Arial" w:eastAsia="Arial" w:hAnsi="Arial"/>
          <w:sz w:val="17"/>
          <w:szCs w:val="17"/>
          <w:color w:val="auto"/>
        </w:rPr>
        <w:t>;</w:t>
      </w:r>
    </w:p>
    <w:p>
      <w:pPr>
        <w:spacing w:after="0" w:line="205" w:lineRule="exact"/>
        <w:rPr>
          <w:rFonts w:ascii="Arial" w:cs="Arial" w:eastAsia="Arial" w:hAnsi="Arial"/>
          <w:sz w:val="17"/>
          <w:szCs w:val="17"/>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initiating potential additional preclinical studies and clinical trials for our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our manufacturing capabilities or adding additional manufacturers or suppliers;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seeking regulatory and marketing approvals for our product candidates that successfully complete clinical trials, if 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360" w:hanging="329"/>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establishing a sales, marketing and distribution infrastructure to commercialize products for which we may obtain marketing approval;</w:t>
      </w:r>
    </w:p>
    <w:p>
      <w:pPr>
        <w:spacing w:after="0" w:line="170" w:lineRule="exact"/>
        <w:rPr>
          <w:rFonts w:ascii="Arial" w:cs="Arial" w:eastAsia="Arial" w:hAnsi="Arial"/>
          <w:sz w:val="18"/>
          <w:szCs w:val="18"/>
          <w:color w:val="auto"/>
        </w:rPr>
      </w:pPr>
    </w:p>
    <w:p>
      <w:pPr>
        <w:ind w:left="980" w:right="20" w:hanging="329"/>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seeking to identify, assess and study new or expanded indications for our product candidates, new or alternative dosing levels and frequency for our product candidates, or new or alternative administration of our product candidates, including method, mode or delivery device;</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seeking to identify, assess, acquire or develop additional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entering into licensing, acquisition, collaboration or other strategic transaction agreements;</w:t>
      </w:r>
    </w:p>
    <w:p>
      <w:pPr>
        <w:spacing w:after="0" w:line="225" w:lineRule="exact"/>
        <w:rPr>
          <w:rFonts w:ascii="Arial" w:cs="Arial" w:eastAsia="Arial" w:hAnsi="Arial"/>
          <w:sz w:val="18"/>
          <w:szCs w:val="18"/>
          <w:color w:val="auto"/>
        </w:rPr>
      </w:pPr>
    </w:p>
    <w:p>
      <w:pPr>
        <w:ind w:left="980" w:right="380" w:hanging="329"/>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making milestone or other payments under any current or future license, acquisition, collaboration or other strategic transaction agreements;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seeking to maintain, protect and expand our intellectual property portfolio;</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seeking to attract and retain skilled personnel;</w:t>
      </w:r>
    </w:p>
    <w:p>
      <w:pPr>
        <w:spacing w:after="0" w:line="225"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creating additional infrastructure to support our operations as a public company, our product development and planned future commercialization efforts; and</w:t>
      </w:r>
    </w:p>
    <w:p>
      <w:pPr>
        <w:spacing w:after="0" w:line="170" w:lineRule="exact"/>
        <w:rPr>
          <w:rFonts w:ascii="Arial" w:cs="Arial" w:eastAsia="Arial" w:hAnsi="Arial"/>
          <w:sz w:val="18"/>
          <w:szCs w:val="18"/>
          <w:color w:val="auto"/>
        </w:rPr>
      </w:pPr>
    </w:p>
    <w:p>
      <w:pPr>
        <w:ind w:left="980" w:right="140" w:hanging="329"/>
        <w:spacing w:after="0" w:line="221" w:lineRule="exact"/>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experiencing delays or encountering issues with any of the above, including but not limited to failed trials, complex results, safety issues, regulatory challenges that require longer follow</w:t>
      </w:r>
      <w:r>
        <w:rPr>
          <w:rFonts w:ascii="MS PGothic" w:cs="MS PGothic" w:eastAsia="MS PGothic" w:hAnsi="MS PGothic"/>
          <w:sz w:val="18"/>
          <w:szCs w:val="18"/>
          <w:color w:val="auto"/>
        </w:rPr>
        <w:t>‑</w:t>
      </w:r>
      <w:r>
        <w:rPr>
          <w:rFonts w:ascii="Arial" w:cs="Arial" w:eastAsia="Arial" w:hAnsi="Arial"/>
          <w:sz w:val="18"/>
          <w:szCs w:val="18"/>
          <w:color w:val="auto"/>
        </w:rPr>
        <w:t>up of existing trials, additional major trials, or additional supportive trials in order to pursue marketing approval.</w:t>
      </w:r>
    </w:p>
    <w:p>
      <w:pPr>
        <w:spacing w:after="0" w:line="202" w:lineRule="exact"/>
        <w:rPr>
          <w:sz w:val="20"/>
          <w:szCs w:val="20"/>
          <w:color w:val="auto"/>
        </w:rPr>
      </w:pPr>
    </w:p>
    <w:p>
      <w:pPr>
        <w:ind w:right="60" w:firstLine="648"/>
        <w:spacing w:after="0" w:line="219" w:lineRule="exact"/>
        <w:rPr>
          <w:sz w:val="20"/>
          <w:szCs w:val="20"/>
          <w:color w:val="auto"/>
        </w:rPr>
      </w:pPr>
      <w:r>
        <w:rPr>
          <w:rFonts w:ascii="Arial" w:cs="Arial" w:eastAsia="Arial" w:hAnsi="Arial"/>
          <w:sz w:val="18"/>
          <w:szCs w:val="18"/>
          <w:color w:val="auto"/>
        </w:rPr>
        <w:t>Further, the net losses we incur may fluctuate significantly from quarter-to-quarter and year-to-year, such that a period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period comparison of our results of operations may not be a good indication of our future performance. Even if we achieve profitability in the future, we may not be able to sustain profitability in subsequent periods. Our prior losses, combined with expected future losses, have had and will continue to have an adverse effect on our shareholders’ equity and working capital.</w:t>
      </w:r>
    </w:p>
    <w:p>
      <w:pPr>
        <w:spacing w:after="0" w:line="20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We will require substantial additional financing, and a failure to obtain this necessary capital when needed on acceptable terms, or at all, will force us delay, limit, reduce or cease one or more of our product development plans, research and development programs for our product candidates, or other operations or commercialization efforts.</w:t>
      </w:r>
    </w:p>
    <w:p>
      <w:pPr>
        <w:spacing w:after="0" w:line="147"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The development and commercialization of biopharmaceutical products is capital intensive. We are advancing our product candidates through research, preclinical and clinical development, including our global, pivotal Phase 3 clinical trial for rilonacept for the treatment of recurrent pericarditis, named RHAPSODY, our global Phase 2 clinical trial for mavrilimumab for the treatment of giant cell arteritis, or GCA, our Phase 2a clinical trial for KPL</w:t>
      </w:r>
      <w:r>
        <w:rPr>
          <w:rFonts w:ascii="MS PGothic" w:cs="MS PGothic" w:eastAsia="MS PGothic" w:hAnsi="MS PGothic"/>
          <w:sz w:val="17"/>
          <w:szCs w:val="17"/>
          <w:color w:val="auto"/>
        </w:rPr>
        <w:t>‑</w:t>
      </w:r>
      <w:r>
        <w:rPr>
          <w:rFonts w:ascii="Arial" w:cs="Arial" w:eastAsia="Arial" w:hAnsi="Arial"/>
          <w:sz w:val="17"/>
          <w:szCs w:val="17"/>
          <w:color w:val="auto"/>
        </w:rPr>
        <w:t>716 for the treatment of prurigo nodularis, our exploratory Phase 2 clinical trial with KPL-716 in diseases characterized by chronic pruritus</w:t>
      </w:r>
      <w:r>
        <w:rPr>
          <w:rFonts w:ascii="Arial" w:cs="Arial" w:eastAsia="Arial" w:hAnsi="Arial"/>
          <w:sz w:val="17"/>
          <w:szCs w:val="17"/>
          <w:color w:val="262626"/>
        </w:rPr>
        <w:t>, and our</w:t>
      </w:r>
      <w:r>
        <w:rPr>
          <w:rFonts w:ascii="Arial" w:cs="Arial" w:eastAsia="Arial" w:hAnsi="Arial"/>
          <w:sz w:val="17"/>
          <w:szCs w:val="17"/>
          <w:color w:val="auto"/>
        </w:rPr>
        <w:t xml:space="preserve"> </w:t>
      </w:r>
      <w:r>
        <w:rPr>
          <w:rFonts w:ascii="Arial" w:cs="Arial" w:eastAsia="Arial" w:hAnsi="Arial"/>
          <w:sz w:val="17"/>
          <w:szCs w:val="17"/>
          <w:color w:val="262626"/>
        </w:rPr>
        <w:t>Phase 1 clinical trial with KPL-404 in healthy volunteers</w:t>
      </w:r>
      <w:r>
        <w:rPr>
          <w:rFonts w:ascii="Arial" w:cs="Arial" w:eastAsia="Arial" w:hAnsi="Arial"/>
          <w:sz w:val="17"/>
          <w:szCs w:val="17"/>
          <w:color w:val="000000"/>
        </w:rPr>
        <w:t>. We expect our expenses to increase in connection with our ongoing</w:t>
      </w:r>
      <w:r>
        <w:rPr>
          <w:rFonts w:ascii="Arial" w:cs="Arial" w:eastAsia="Arial" w:hAnsi="Arial"/>
          <w:sz w:val="17"/>
          <w:szCs w:val="17"/>
          <w:color w:val="262626"/>
        </w:rPr>
        <w:t xml:space="preserve"> </w:t>
      </w:r>
      <w:r>
        <w:rPr>
          <w:rFonts w:ascii="Arial" w:cs="Arial" w:eastAsia="Arial" w:hAnsi="Arial"/>
          <w:sz w:val="17"/>
          <w:szCs w:val="17"/>
          <w:color w:val="000000"/>
        </w:rPr>
        <w:t xml:space="preserve">activities as we continue the research and development of </w:t>
      </w:r>
      <w:r>
        <w:rPr>
          <w:rFonts w:ascii="Arial" w:cs="Arial" w:eastAsia="Arial" w:hAnsi="Arial"/>
          <w:sz w:val="17"/>
          <w:szCs w:val="17"/>
          <w:color w:val="262626"/>
        </w:rPr>
        <w:t>our product candidates, establish and expand our sales, marketing</w:t>
      </w:r>
      <w:r>
        <w:rPr>
          <w:rFonts w:ascii="Arial" w:cs="Arial" w:eastAsia="Arial" w:hAnsi="Arial"/>
          <w:sz w:val="17"/>
          <w:szCs w:val="17"/>
          <w:color w:val="000000"/>
        </w:rPr>
        <w:t xml:space="preserve"> </w:t>
      </w:r>
      <w:r>
        <w:rPr>
          <w:rFonts w:ascii="Arial" w:cs="Arial" w:eastAsia="Arial" w:hAnsi="Arial"/>
          <w:sz w:val="17"/>
          <w:szCs w:val="17"/>
          <w:color w:val="262626"/>
        </w:rPr>
        <w:t>and distribution capabilities, infrastructure and organization, or enter into agreements with third parties to conduct one or more of these commercialization activities</w:t>
      </w:r>
      <w:r>
        <w:rPr>
          <w:rFonts w:ascii="Arial" w:cs="Arial" w:eastAsia="Arial" w:hAnsi="Arial"/>
          <w:sz w:val="17"/>
          <w:szCs w:val="17"/>
          <w:color w:val="000000"/>
        </w:rPr>
        <w:t>. In addition, if we obtain marketing approval for any of our product candidates</w:t>
      </w:r>
      <w:r>
        <w:rPr>
          <w:rFonts w:ascii="Arial" w:cs="Arial" w:eastAsia="Arial" w:hAnsi="Arial"/>
          <w:sz w:val="17"/>
          <w:szCs w:val="17"/>
          <w:color w:val="262626"/>
        </w:rPr>
        <w:t xml:space="preserve">, </w:t>
      </w:r>
      <w:r>
        <w:rPr>
          <w:rFonts w:ascii="Arial" w:cs="Arial" w:eastAsia="Arial" w:hAnsi="Arial"/>
          <w:sz w:val="17"/>
          <w:szCs w:val="17"/>
          <w:color w:val="000000"/>
        </w:rPr>
        <w:t>we expect to incur significant additional commercialization expenses related to manufacturing, product sales, marketing and distribution. As our product candidates progress through development and towards commercialization, we will need to make milestone payments and, if successful, eventually make royalty payments to the licensors and other third parties from whom we have acquired our product candidates. Furthermore, we expect to continue to incur additional costs associated with operating as a public company. Accordingly, we will need to obtain substantial additional funding in connection with our continuing operations. If we are unable to raise capital when needed on acceptable terms, if at all, we will be forced to delay, limit, reduce or cease one or more of our product development plans, research and development programs for our product candidates, or commercialization efforts. We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also may not be able to expand our operations or otherwise capitalize on our business opportunities, or may be required to relinquish rights to our product candidates or products.</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development process for our product candidates is highly uncertain, and we cannot estimate with certainty the actual amounts necessary to successfully complete the development, regulatory approval process and commercialization of our product candidates. Our operating plans may change as a result of many factors currently unknown to us, and we may need to seek additional funds sooner than expected, through public or private securities offerings, debt financings or other sources. Our future capital requirements will depend on, and could increase significantly as a result of, many factors, including:</w:t>
      </w:r>
    </w:p>
    <w:p>
      <w:pPr>
        <w:spacing w:after="0" w:line="193" w:lineRule="exact"/>
        <w:rPr>
          <w:sz w:val="20"/>
          <w:szCs w:val="20"/>
          <w:color w:val="auto"/>
        </w:rPr>
      </w:pPr>
    </w:p>
    <w:p>
      <w:pPr>
        <w:ind w:left="980" w:right="100" w:hanging="329"/>
        <w:spacing w:after="0" w:line="302"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results from, and the time and cost necessary for, completing our global, pivotal Phase 3 clinical trial for rilonacept in recurrent pericarditis, RHAPSODY, our global Phase 2 clinical trial for mavrilimumab in GCA, our Phase 2a clinical trial for KPL-716 in prurigo nodularis, our exploratory Phase 2 clinical trial for KPL-716 in diseases characterized by chronic pruritus, and our </w:t>
      </w:r>
      <w:r>
        <w:rPr>
          <w:rFonts w:ascii="Arial" w:cs="Arial" w:eastAsia="Arial" w:hAnsi="Arial"/>
          <w:sz w:val="16"/>
          <w:szCs w:val="16"/>
          <w:color w:val="262626"/>
        </w:rPr>
        <w:t>Phase 1 clinical trial in healthy volunteers for KPL-404</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size and type of preclinical activities and any additional clinical trials;</w:t>
      </w:r>
    </w:p>
    <w:p>
      <w:pPr>
        <w:spacing w:after="0" w:line="225" w:lineRule="exact"/>
        <w:rPr>
          <w:rFonts w:ascii="Arial" w:cs="Arial" w:eastAsia="Arial" w:hAnsi="Arial"/>
          <w:sz w:val="18"/>
          <w:szCs w:val="18"/>
          <w:color w:val="auto"/>
        </w:rPr>
      </w:pPr>
    </w:p>
    <w:p>
      <w:pPr>
        <w:ind w:left="980" w:hanging="329"/>
        <w:spacing w:after="0" w:line="219" w:lineRule="exact"/>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timing and outcomes of seeking and potentially obtaining approvals from the U.S. Food and Drug Administration, or FDA, or comparable regulatory authorities outside of the United States, including the potential for the FDA or such comparable regulatory authorities to require that we conduct more studies than we currently plan to conduct and the costs of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risk evaluation and mitigation strategies, or REMS, that could be required by regulatory authorities;</w:t>
      </w:r>
    </w:p>
    <w:p>
      <w:pPr>
        <w:spacing w:after="0" w:line="205" w:lineRule="exact"/>
        <w:rPr>
          <w:rFonts w:ascii="Arial" w:cs="Arial" w:eastAsia="Arial" w:hAnsi="Arial"/>
          <w:sz w:val="18"/>
          <w:szCs w:val="18"/>
          <w:color w:val="auto"/>
        </w:rPr>
      </w:pPr>
    </w:p>
    <w:p>
      <w:pPr>
        <w:jc w:val="both"/>
        <w:ind w:left="980" w:right="100" w:hanging="329"/>
        <w:spacing w:after="0" w:line="221" w:lineRule="exact"/>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costs and timing of transferring manufacturing technology to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producing product candidates to support clinical trials and preparing to manufacture product candidates on a commercial scale, as well as producing rilonacept in potential new final form configurations;</w:t>
      </w:r>
    </w:p>
    <w:p>
      <w:pPr>
        <w:spacing w:after="0" w:line="202" w:lineRule="exact"/>
        <w:rPr>
          <w:rFonts w:ascii="Arial" w:cs="Arial" w:eastAsia="Arial" w:hAnsi="Arial"/>
          <w:sz w:val="17"/>
          <w:szCs w:val="17"/>
          <w:color w:val="auto"/>
        </w:rPr>
      </w:pPr>
    </w:p>
    <w:p>
      <w:pPr>
        <w:ind w:left="980" w:right="160" w:hanging="329"/>
        <w:spacing w:after="0" w:line="220" w:lineRule="exact"/>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amount of milestone and other payments we must make under our agreements with Regeneron Pharmaceuticals, Inc., or Regeneron, MedImmune, Limited, or MedImmune, Biogen MA Inc., or Biogen, and the other third parties from whom we have acquired or in</w:t>
      </w:r>
      <w:r>
        <w:rPr>
          <w:rFonts w:ascii="MS PGothic" w:cs="MS PGothic" w:eastAsia="MS PGothic" w:hAnsi="MS PGothic"/>
          <w:sz w:val="18"/>
          <w:szCs w:val="18"/>
          <w:color w:val="auto"/>
        </w:rPr>
        <w:t>‑</w:t>
      </w:r>
      <w:r>
        <w:rPr>
          <w:rFonts w:ascii="Arial" w:cs="Arial" w:eastAsia="Arial" w:hAnsi="Arial"/>
          <w:sz w:val="18"/>
          <w:szCs w:val="18"/>
          <w:color w:val="auto"/>
        </w:rPr>
        <w:t>licensed our product candidates or from whom we may in the future acquire or in</w:t>
      </w:r>
      <w:r>
        <w:rPr>
          <w:rFonts w:ascii="MS PGothic" w:cs="MS PGothic" w:eastAsia="MS PGothic" w:hAnsi="MS PGothic"/>
          <w:sz w:val="18"/>
          <w:szCs w:val="18"/>
          <w:color w:val="auto"/>
        </w:rPr>
        <w:t>‑</w:t>
      </w:r>
      <w:r>
        <w:rPr>
          <w:rFonts w:ascii="Arial" w:cs="Arial" w:eastAsia="Arial" w:hAnsi="Arial"/>
          <w:sz w:val="18"/>
          <w:szCs w:val="18"/>
          <w:color w:val="auto"/>
        </w:rPr>
        <w:t>license product candidates;</w:t>
      </w:r>
    </w:p>
    <w:p>
      <w:pPr>
        <w:spacing w:after="0" w:line="204" w:lineRule="exact"/>
        <w:rPr>
          <w:rFonts w:ascii="Arial" w:cs="Arial" w:eastAsia="Arial" w:hAnsi="Arial"/>
          <w:sz w:val="18"/>
          <w:szCs w:val="18"/>
          <w:color w:val="auto"/>
        </w:rPr>
      </w:pPr>
    </w:p>
    <w:p>
      <w:pPr>
        <w:ind w:left="980" w:right="60" w:hanging="329"/>
        <w:spacing w:after="0" w:line="259"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our ability to successfully commercialize any of our product candidates, including the cost and timing of establishing and expanding our sales, marketing and distribution capabilities, infrastructure and organization </w:t>
      </w:r>
      <w:r>
        <w:rPr>
          <w:rFonts w:ascii="Arial" w:cs="Arial" w:eastAsia="Arial" w:hAnsi="Arial"/>
          <w:sz w:val="18"/>
          <w:szCs w:val="18"/>
          <w:color w:val="262626"/>
        </w:rPr>
        <w:t>or</w:t>
      </w:r>
      <w:r>
        <w:rPr>
          <w:rFonts w:ascii="Arial" w:cs="Arial" w:eastAsia="Arial" w:hAnsi="Arial"/>
          <w:sz w:val="18"/>
          <w:szCs w:val="18"/>
          <w:color w:val="auto"/>
        </w:rPr>
        <w:t xml:space="preserve"> </w:t>
      </w:r>
      <w:r>
        <w:rPr>
          <w:rFonts w:ascii="Arial" w:cs="Arial" w:eastAsia="Arial" w:hAnsi="Arial"/>
          <w:sz w:val="18"/>
          <w:szCs w:val="18"/>
          <w:color w:val="262626"/>
        </w:rPr>
        <w:t>entering into agreements with third parties to conduct one or more of these activities for any of our product candidates, if approved or in anticipation of such approval</w:t>
      </w:r>
      <w:r>
        <w:rPr>
          <w:rFonts w:ascii="Arial" w:cs="Arial" w:eastAsia="Arial" w:hAnsi="Arial"/>
          <w:sz w:val="18"/>
          <w:szCs w:val="18"/>
          <w:color w:val="000000"/>
        </w:rPr>
        <w:t>;</w:t>
      </w:r>
    </w:p>
    <w:p>
      <w:pPr>
        <w:spacing w:after="0" w:line="186" w:lineRule="exact"/>
        <w:rPr>
          <w:rFonts w:ascii="Arial" w:cs="Arial" w:eastAsia="Arial" w:hAnsi="Arial"/>
          <w:sz w:val="18"/>
          <w:szCs w:val="18"/>
          <w:color w:val="auto"/>
        </w:rPr>
      </w:pPr>
    </w:p>
    <w:p>
      <w:pPr>
        <w:ind w:left="980" w:right="580" w:hanging="329"/>
        <w:spacing w:after="0" w:line="223" w:lineRule="exact"/>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of sales revenues from our product candidates, if approved, including the sales price and the availability of coverage and adequate third</w:t>
      </w:r>
      <w:r>
        <w:rPr>
          <w:rFonts w:ascii="MS PGothic" w:cs="MS PGothic" w:eastAsia="MS PGothic" w:hAnsi="MS PGothic"/>
          <w:sz w:val="18"/>
          <w:szCs w:val="18"/>
          <w:color w:val="auto"/>
        </w:rPr>
        <w:t>‑</w:t>
      </w:r>
      <w:r>
        <w:rPr>
          <w:rFonts w:ascii="Arial" w:cs="Arial" w:eastAsia="Arial" w:hAnsi="Arial"/>
          <w:sz w:val="18"/>
          <w:szCs w:val="18"/>
          <w:color w:val="auto"/>
        </w:rPr>
        <w:t>party reimbursement;</w:t>
      </w:r>
    </w:p>
    <w:p>
      <w:pPr>
        <w:spacing w:after="0" w:line="203" w:lineRule="exact"/>
        <w:rPr>
          <w:rFonts w:ascii="Arial" w:cs="Arial" w:eastAsia="Arial" w:hAnsi="Arial"/>
          <w:sz w:val="18"/>
          <w:szCs w:val="18"/>
          <w:color w:val="auto"/>
        </w:rPr>
      </w:pPr>
    </w:p>
    <w:p>
      <w:pPr>
        <w:jc w:val="both"/>
        <w:ind w:left="980" w:right="140" w:hanging="329"/>
        <w:spacing w:after="0" w:line="342"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competitive and potentially competitive products and technologies and patients’ and physicians’ receptivity to our product candidates and the technology underlying them in light of competitive products and technologies;</w:t>
      </w:r>
    </w:p>
    <w:p>
      <w:pPr>
        <w:spacing w:after="0" w:line="123" w:lineRule="exact"/>
        <w:rPr>
          <w:rFonts w:ascii="Arial" w:cs="Arial" w:eastAsia="Arial" w:hAnsi="Arial"/>
          <w:sz w:val="16"/>
          <w:szCs w:val="16"/>
          <w:color w:val="auto"/>
        </w:rPr>
      </w:pPr>
    </w:p>
    <w:p>
      <w:pPr>
        <w:ind w:left="980" w:right="140" w:hanging="329"/>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cash requirements of any future in-license, acquisition, development or discovery of additional product candidates, including </w:t>
      </w:r>
      <w:r>
        <w:rPr>
          <w:rFonts w:ascii="Arial" w:cs="Arial" w:eastAsia="Arial" w:hAnsi="Arial"/>
          <w:sz w:val="18"/>
          <w:szCs w:val="18"/>
          <w:color w:val="262626"/>
        </w:rPr>
        <w:t>in connection with</w:t>
      </w:r>
      <w:r>
        <w:rPr>
          <w:rFonts w:ascii="Arial" w:cs="Arial" w:eastAsia="Arial" w:hAnsi="Arial"/>
          <w:sz w:val="18"/>
          <w:szCs w:val="18"/>
          <w:color w:val="auto"/>
        </w:rPr>
        <w:t xml:space="preserve"> any licensing, acquisition, collaboration or other strategic transaction agreements;</w:t>
      </w:r>
    </w:p>
    <w:p>
      <w:pPr>
        <w:spacing w:after="0" w:line="181" w:lineRule="exact"/>
        <w:rPr>
          <w:rFonts w:ascii="Arial" w:cs="Arial" w:eastAsia="Arial" w:hAnsi="Arial"/>
          <w:sz w:val="18"/>
          <w:szCs w:val="18"/>
          <w:color w:val="auto"/>
        </w:rPr>
      </w:pPr>
    </w:p>
    <w:p>
      <w:pPr>
        <w:ind w:left="980" w:right="360" w:hanging="329"/>
        <w:spacing w:after="0" w:line="286"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cash requirements for seeking to identify, assess and study new or expanded indications for our product candidates, new or alternative dosing levels or frequency for our product candidates, or new or alternative administration of our product candidates, including method, mode or delivery device;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costs of filing, prosecuting, defending and enforcing any patent claims and other intellectual property rights;</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 candidates or any related activities;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need and ability to hire and retain skilled personnel; and</w:t>
      </w:r>
    </w:p>
    <w:p>
      <w:pPr>
        <w:spacing w:after="0" w:line="225" w:lineRule="exact"/>
        <w:rPr>
          <w:rFonts w:ascii="Arial" w:cs="Arial" w:eastAsia="Arial" w:hAnsi="Arial"/>
          <w:sz w:val="18"/>
          <w:szCs w:val="18"/>
          <w:color w:val="auto"/>
        </w:rPr>
      </w:pPr>
    </w:p>
    <w:p>
      <w:pPr>
        <w:ind w:left="980" w:right="22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receptivity of the capital markets to financings by biopharmaceutical companies generally and companies with product candidates and technologies such as ours specifically.</w:t>
      </w:r>
    </w:p>
    <w:p>
      <w:pPr>
        <w:spacing w:after="0" w:line="170" w:lineRule="exact"/>
        <w:rPr>
          <w:sz w:val="20"/>
          <w:szCs w:val="20"/>
          <w:color w:val="auto"/>
        </w:rPr>
      </w:pPr>
    </w:p>
    <w:p>
      <w:pPr>
        <w:ind w:right="40" w:firstLine="648"/>
        <w:spacing w:after="0" w:line="217" w:lineRule="exact"/>
        <w:rPr>
          <w:sz w:val="20"/>
          <w:szCs w:val="20"/>
          <w:color w:val="auto"/>
        </w:rPr>
      </w:pPr>
      <w:r>
        <w:rPr>
          <w:rFonts w:ascii="Arial" w:cs="Arial" w:eastAsia="Arial" w:hAnsi="Arial"/>
          <w:sz w:val="16"/>
          <w:szCs w:val="16"/>
          <w:color w:val="auto"/>
        </w:rPr>
        <w:t>Any additional fundraising efforts may divert our management from their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 xml:space="preserve">day activities, which may adversely affect our ability to develop and commercialize our product candidates. Disruptions in the financial markets may make securities offerings and debt financing more difficult to obtain, and may have a material adverse effect on our ability to meet our fundraising needs when they arise. Additional funds may not be available when we need them, on terms that are acceptable to us, or at all. If we are unable to obtain funding when needed, we will be forced to curtail, delay, limit, reduce or cease one or more of our product development plans, research and </w:t>
      </w:r>
      <w:r>
        <w:rPr>
          <w:rFonts w:ascii="Arial" w:cs="Arial" w:eastAsia="Arial" w:hAnsi="Arial"/>
          <w:sz w:val="16"/>
          <w:szCs w:val="16"/>
          <w:color w:val="262626"/>
        </w:rPr>
        <w:t>development programs for our product candidates</w:t>
      </w:r>
      <w:r>
        <w:rPr>
          <w:rFonts w:ascii="Arial" w:cs="Arial" w:eastAsia="Arial" w:hAnsi="Arial"/>
          <w:sz w:val="16"/>
          <w:szCs w:val="16"/>
          <w:color w:val="auto"/>
        </w:rPr>
        <w:t>, or commercialization efforts of any product candidate. We may also be unable to expand our operations or otherwise capitalize on our business opportunities or may be required to relinquish rights to our product candidates or products. Any of these occurrences could materially affect our business, financial condition and results of operations.</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technologies or product candidates</w:t>
      </w:r>
      <w:r>
        <w:rPr>
          <w:rFonts w:ascii="Arial" w:cs="Arial" w:eastAsia="Arial" w:hAnsi="Arial"/>
          <w:sz w:val="18"/>
          <w:szCs w:val="18"/>
          <w:i w:val="1"/>
          <w:iCs w:val="1"/>
          <w:color w:val="auto"/>
        </w:rPr>
        <w:t>.</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Until such time as we can generate substantial product revenues, if ever, we expect to finance our cash needs through private or public securities offerings, debt financings, or other sources, including licensing, collaboration or </w:t>
      </w:r>
      <w:r>
        <w:rPr>
          <w:rFonts w:ascii="Arial" w:cs="Arial" w:eastAsia="Arial" w:hAnsi="Arial"/>
          <w:sz w:val="16"/>
          <w:szCs w:val="16"/>
          <w:color w:val="262626"/>
        </w:rPr>
        <w:t>other</w:t>
      </w:r>
      <w:r>
        <w:rPr>
          <w:rFonts w:ascii="Arial" w:cs="Arial" w:eastAsia="Arial" w:hAnsi="Arial"/>
          <w:sz w:val="16"/>
          <w:szCs w:val="16"/>
          <w:color w:val="auto"/>
        </w:rPr>
        <w:t xml:space="preserve"> </w:t>
      </w:r>
      <w:r>
        <w:rPr>
          <w:rFonts w:ascii="Arial" w:cs="Arial" w:eastAsia="Arial" w:hAnsi="Arial"/>
          <w:sz w:val="16"/>
          <w:szCs w:val="16"/>
          <w:color w:val="262626"/>
        </w:rPr>
        <w:t>strategic transactions or arrangements with third parties</w:t>
      </w:r>
      <w:r>
        <w:rPr>
          <w:rFonts w:ascii="Arial" w:cs="Arial" w:eastAsia="Arial" w:hAnsi="Arial"/>
          <w:sz w:val="16"/>
          <w:szCs w:val="16"/>
          <w:color w:val="000000"/>
        </w:rPr>
        <w:t>. The terms of any financing may adversely affect the holdings or the</w:t>
      </w:r>
      <w:r>
        <w:rPr>
          <w:rFonts w:ascii="Arial" w:cs="Arial" w:eastAsia="Arial" w:hAnsi="Arial"/>
          <w:sz w:val="16"/>
          <w:szCs w:val="16"/>
          <w:color w:val="262626"/>
        </w:rPr>
        <w:t xml:space="preserve"> </w:t>
      </w:r>
      <w:r>
        <w:rPr>
          <w:rFonts w:ascii="Arial" w:cs="Arial" w:eastAsia="Arial" w:hAnsi="Arial"/>
          <w:sz w:val="16"/>
          <w:szCs w:val="16"/>
          <w:color w:val="000000"/>
        </w:rPr>
        <w:t xml:space="preserve">rights of our shareholders and our issuance of additional securities, whether equity or debt, or the possibility of such issuance, may cause the market price of our Class A common shares to decline. The sale of additional equity or convertible securities would dilute all of our shareholders.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Obtaining funds through </w:t>
      </w:r>
      <w:r>
        <w:rPr>
          <w:rFonts w:ascii="Arial" w:cs="Arial" w:eastAsia="Arial" w:hAnsi="Arial"/>
          <w:sz w:val="16"/>
          <w:szCs w:val="16"/>
          <w:color w:val="262626"/>
        </w:rPr>
        <w:t>licensing, collaboration or other strategic</w:t>
      </w:r>
      <w:r>
        <w:rPr>
          <w:rFonts w:ascii="Arial" w:cs="Arial" w:eastAsia="Arial" w:hAnsi="Arial"/>
          <w:sz w:val="16"/>
          <w:szCs w:val="16"/>
          <w:color w:val="000000"/>
        </w:rPr>
        <w:t xml:space="preserve"> </w:t>
      </w:r>
      <w:r>
        <w:rPr>
          <w:rFonts w:ascii="Arial" w:cs="Arial" w:eastAsia="Arial" w:hAnsi="Arial"/>
          <w:sz w:val="16"/>
          <w:szCs w:val="16"/>
          <w:color w:val="262626"/>
        </w:rPr>
        <w:t xml:space="preserve">transactions or </w:t>
      </w:r>
      <w:r>
        <w:rPr>
          <w:rFonts w:ascii="Arial" w:cs="Arial" w:eastAsia="Arial" w:hAnsi="Arial"/>
          <w:sz w:val="16"/>
          <w:szCs w:val="16"/>
          <w:color w:val="000000"/>
        </w:rPr>
        <w:t>arrangements with third parties may require us to relinquish rights to some of our technologies, product</w:t>
      </w:r>
      <w:r>
        <w:rPr>
          <w:rFonts w:ascii="Arial" w:cs="Arial" w:eastAsia="Arial" w:hAnsi="Arial"/>
          <w:sz w:val="16"/>
          <w:szCs w:val="16"/>
          <w:color w:val="262626"/>
        </w:rPr>
        <w:t xml:space="preserve"> </w:t>
      </w:r>
      <w:r>
        <w:rPr>
          <w:rFonts w:ascii="Arial" w:cs="Arial" w:eastAsia="Arial" w:hAnsi="Arial"/>
          <w:sz w:val="16"/>
          <w:szCs w:val="16"/>
          <w:color w:val="000000"/>
        </w:rPr>
        <w:t>candidates or future revenue streams, or otherwise agree to terms unfavorable to us, any of which may have a material adverse effect on our business, operating results and prospects.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shareholders, and may cause the market price of our Class A common shares to decline.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Product Development</w:t>
      </w:r>
    </w:p>
    <w:p>
      <w:pPr>
        <w:spacing w:after="0" w:line="229"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b w:val="1"/>
          <w:bCs w:val="1"/>
          <w:i w:val="1"/>
          <w:iCs w:val="1"/>
          <w:color w:val="auto"/>
        </w:rPr>
        <w:t>We depend heavily on the success of rilonacept, mavrilimumab and KPL</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716, which are in various stages of clinical development. If we are unable to advance our product candidates in clinical development, obtain regulatory approval and ultimately commercialize our product candidates, or experience significant delays in doing so, our business will be materially harmed.</w:t>
      </w:r>
    </w:p>
    <w:p>
      <w:pPr>
        <w:spacing w:after="0" w:line="204"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We do not currently generate any revenue from sales of any products, and we may never be able to develop or commercialize marketable products. We are not permitted to market or promote any of our product candidates before we receive regulatory approval from the FDA or comparable regulatory authorities outside of the United States. We have four product candidates in various stages of clinical development. Our assumptions about why our product candidates are worthy of future development and potential approval in the indications for which we are studying them, or any other indications, are based on either indirect data primarily collected by other companies or our preclinical and clinical trials. We may not be able to demonstrate that they are safe or effective in the indications for which we are studying them, and they may not be approved. Although rilonacept is approved and marketed for human use for the treatment of cryopyrin-associated periodic syndrome, or CAPS, in the United States by Regeneron, we are studying rilonacept for the treatment of a different indication called recurrent pericarditis, which is currently in a global, pivotal Phase 3 clinical trial, RHAPSODY. Mavrilimumab has been through Phase 2 clinical trials conducted by MedImmune for the treatment of rheumatoid arthritis, or RA, but our global Phase 2 clinical trial with mavrilimumab is for the treatment of GCA. KPL</w:t>
      </w:r>
      <w:r>
        <w:rPr>
          <w:rFonts w:ascii="MS PGothic" w:cs="MS PGothic" w:eastAsia="MS PGothic" w:hAnsi="MS PGothic"/>
          <w:sz w:val="17"/>
          <w:szCs w:val="17"/>
          <w:color w:val="auto"/>
        </w:rPr>
        <w:t>‑</w:t>
      </w:r>
      <w:r>
        <w:rPr>
          <w:rFonts w:ascii="Arial" w:cs="Arial" w:eastAsia="Arial" w:hAnsi="Arial"/>
          <w:sz w:val="17"/>
          <w:szCs w:val="17"/>
          <w:color w:val="auto"/>
        </w:rPr>
        <w:t xml:space="preserve">716, is being studied in a Phase 2a clinical trial in prurigo nodularis and an exploratory Phase 2 clinical trial in diseases characterized by chronic pruritus. </w:t>
      </w:r>
      <w:r>
        <w:rPr>
          <w:rFonts w:ascii="Arial" w:cs="Arial" w:eastAsia="Arial" w:hAnsi="Arial"/>
          <w:sz w:val="17"/>
          <w:szCs w:val="17"/>
          <w:color w:val="262626"/>
        </w:rPr>
        <w:t xml:space="preserve">In addition, KPL-404 has progressed into a Phase 1 clinical trial in healthy volunteers. </w:t>
      </w:r>
      <w:r>
        <w:rPr>
          <w:rFonts w:ascii="Arial" w:cs="Arial" w:eastAsia="Arial" w:hAnsi="Arial"/>
          <w:sz w:val="17"/>
          <w:szCs w:val="17"/>
          <w:color w:val="000000"/>
        </w:rPr>
        <w:t>Our future preclinical product candidates would need to</w:t>
      </w:r>
      <w:r>
        <w:rPr>
          <w:rFonts w:ascii="Arial" w:cs="Arial" w:eastAsia="Arial" w:hAnsi="Arial"/>
          <w:sz w:val="17"/>
          <w:szCs w:val="17"/>
          <w:color w:val="262626"/>
        </w:rPr>
        <w:t xml:space="preserve"> </w:t>
      </w:r>
      <w:r>
        <w:rPr>
          <w:rFonts w:ascii="Arial" w:cs="Arial" w:eastAsia="Arial" w:hAnsi="Arial"/>
          <w:sz w:val="17"/>
          <w:szCs w:val="17"/>
          <w:color w:val="000000"/>
        </w:rPr>
        <w:t>progress through toxicology studies and other requirements to enable an Investigational New Drug application, or IND, prior to clinical development.</w:t>
      </w:r>
    </w:p>
    <w:p>
      <w:pPr>
        <w:spacing w:after="0" w:line="207"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We have not submitted, and we may never submit marketing applications to the FDA or comparable regulatory authorities outside of the United States for our product candidates. We cannot be certain that any of our product candidates will be successful in clinical trials or receive regulatory approval. Further, our product candidates may not receive regulatory approval even if we complete a successful clinical trial. We may determine that the potential product and commercial profile of any of our product candidates would not ultimately be commercially successful and could therefore elect not to continue its development. If we do not receive regulatory approvals for one or more of our product candidates, we may not be able to continue our operations.</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Each of our product candidates require additional preclinical or clinical development, regulatory approval in one or more jurisdictions, manufacturing capacity and expertise, successful manufacture of clinical supply, building an organization to support commercialization, substantial investment and significant marketing efforts before we will be able to generate any revenue from product sales. The success of our product candidates or potential future product candidates depends upon several factors, including the following:</w:t>
      </w:r>
    </w:p>
    <w:p>
      <w:pPr>
        <w:spacing w:after="0" w:line="188" w:lineRule="exact"/>
        <w:rPr>
          <w:sz w:val="20"/>
          <w:szCs w:val="20"/>
          <w:color w:val="auto"/>
        </w:rPr>
      </w:pPr>
    </w:p>
    <w:p>
      <w:pPr>
        <w:jc w:val="both"/>
        <w:ind w:left="980" w:right="20" w:hanging="329"/>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 completion of preclinical studies, including toxicology studies, biodistribution studies and minimally efficacious dose studies in animals, conducted, where applicable, under the FDA’s Good Laboratory Practice, or GLP, regulations;</w:t>
      </w:r>
    </w:p>
    <w:p>
      <w:pPr>
        <w:spacing w:after="0" w:line="181" w:lineRule="exact"/>
        <w:rPr>
          <w:rFonts w:ascii="Arial" w:cs="Arial" w:eastAsia="Arial" w:hAnsi="Arial"/>
          <w:sz w:val="18"/>
          <w:szCs w:val="18"/>
          <w:color w:val="auto"/>
        </w:rPr>
      </w:pPr>
    </w:p>
    <w:p>
      <w:pPr>
        <w:ind w:left="980" w:right="80" w:hanging="329"/>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submission to and acceptance by the FDA of INDs and of clinical trial applications to governmental authorities outside of the United States for our product candidates to commence planned clinical trials or future clinical trials;</w:t>
      </w:r>
    </w:p>
    <w:p>
      <w:pPr>
        <w:spacing w:after="0" w:line="181" w:lineRule="exact"/>
        <w:rPr>
          <w:rFonts w:ascii="Arial" w:cs="Arial" w:eastAsia="Arial" w:hAnsi="Arial"/>
          <w:sz w:val="18"/>
          <w:szCs w:val="18"/>
          <w:color w:val="auto"/>
        </w:rPr>
      </w:pPr>
    </w:p>
    <w:p>
      <w:pPr>
        <w:ind w:left="980" w:right="120" w:hanging="329"/>
        <w:spacing w:after="0" w:line="259"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 site activation for, enrollment in, and completion of clinical trials, the design and implementation of which are agreed to by the applicable regulatory authorities, and the ability of our contract research organizations, or CROs, to successfully conduct such trials within our planned budget and timing parameters and without materially adversely impacting our trials;</w:t>
      </w:r>
    </w:p>
    <w:p>
      <w:pPr>
        <w:spacing w:after="0" w:line="186" w:lineRule="exact"/>
        <w:rPr>
          <w:rFonts w:ascii="Arial" w:cs="Arial" w:eastAsia="Arial" w:hAnsi="Arial"/>
          <w:sz w:val="18"/>
          <w:szCs w:val="18"/>
          <w:color w:val="auto"/>
        </w:rPr>
      </w:pPr>
    </w:p>
    <w:p>
      <w:pPr>
        <w:ind w:left="980" w:hanging="329"/>
        <w:spacing w:after="0" w:line="221" w:lineRule="exact"/>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 data from our clinical programs that support an acceptable risk</w:t>
      </w:r>
      <w:r>
        <w:rPr>
          <w:rFonts w:ascii="MS PGothic" w:cs="MS PGothic" w:eastAsia="MS PGothic" w:hAnsi="MS PGothic"/>
          <w:sz w:val="18"/>
          <w:szCs w:val="18"/>
          <w:color w:val="auto"/>
        </w:rPr>
        <w:t>‑</w:t>
      </w:r>
      <w:r>
        <w:rPr>
          <w:rFonts w:ascii="Arial" w:cs="Arial" w:eastAsia="Arial" w:hAnsi="Arial"/>
          <w:sz w:val="18"/>
          <w:szCs w:val="18"/>
          <w:color w:val="auto"/>
        </w:rPr>
        <w:t>benefit profile of our product candidates for the targeted indications in the intended populations to the satisfaction of the applicable regulatory authorities;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00"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timely receipt, if at all, of regulatory approvals from applicable regulatory authorities and maintenance of any such approvals;</w:t>
      </w:r>
    </w:p>
    <w:p>
      <w:pPr>
        <w:spacing w:after="0" w:line="170" w:lineRule="exact"/>
        <w:rPr>
          <w:rFonts w:ascii="Arial" w:cs="Arial" w:eastAsia="Arial" w:hAnsi="Arial"/>
          <w:sz w:val="18"/>
          <w:szCs w:val="18"/>
          <w:color w:val="auto"/>
        </w:rPr>
      </w:pPr>
    </w:p>
    <w:p>
      <w:pPr>
        <w:ind w:left="980" w:hanging="329"/>
        <w:spacing w:after="0" w:line="264" w:lineRule="auto"/>
        <w:tabs>
          <w:tab w:leader="none" w:pos="980" w:val="left"/>
        </w:tabs>
        <w:numPr>
          <w:ilvl w:val="0"/>
          <w:numId w:val="33"/>
        </w:numPr>
        <w:rPr>
          <w:rFonts w:ascii="Arial" w:cs="Arial" w:eastAsia="Arial" w:hAnsi="Arial"/>
          <w:sz w:val="18"/>
          <w:szCs w:val="18"/>
          <w:color w:val="262626"/>
        </w:rPr>
      </w:pPr>
      <w:r>
        <w:rPr>
          <w:rFonts w:ascii="Arial" w:cs="Arial" w:eastAsia="Arial" w:hAnsi="Arial"/>
          <w:sz w:val="18"/>
          <w:szCs w:val="18"/>
          <w:color w:val="262626"/>
        </w:rPr>
        <w:t>pediatric study plans acceptable to the FDA and comparable regulatory authorities outside of the United States, and follow through of any pediatric study commitments, including development of pediatric formulations where indicated;</w:t>
      </w:r>
    </w:p>
    <w:p>
      <w:pPr>
        <w:spacing w:after="0" w:line="181" w:lineRule="exact"/>
        <w:rPr>
          <w:rFonts w:ascii="Arial" w:cs="Arial" w:eastAsia="Arial" w:hAnsi="Arial"/>
          <w:sz w:val="18"/>
          <w:szCs w:val="18"/>
          <w:color w:val="262626"/>
        </w:rPr>
      </w:pPr>
    </w:p>
    <w:p>
      <w:pPr>
        <w:ind w:left="980" w:right="300" w:hanging="329"/>
        <w:spacing w:after="0" w:line="223" w:lineRule="exact"/>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establishment and maintenance of arrangements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as applicable, for continued clinical supply and commercial manufacturing;</w:t>
      </w:r>
    </w:p>
    <w:p>
      <w:pPr>
        <w:spacing w:after="0" w:line="203" w:lineRule="exact"/>
        <w:rPr>
          <w:rFonts w:ascii="Arial" w:cs="Arial" w:eastAsia="Arial" w:hAnsi="Arial"/>
          <w:sz w:val="18"/>
          <w:szCs w:val="18"/>
          <w:color w:val="auto"/>
        </w:rPr>
      </w:pPr>
    </w:p>
    <w:p>
      <w:pPr>
        <w:ind w:left="980" w:right="60" w:hanging="329"/>
        <w:spacing w:after="0" w:line="221" w:lineRule="exact"/>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 development of our manufacturing processes and transfer to new third</w:t>
      </w:r>
      <w:r>
        <w:rPr>
          <w:rFonts w:ascii="MS PGothic" w:cs="MS PGothic" w:eastAsia="MS PGothic" w:hAnsi="MS PGothic"/>
          <w:sz w:val="18"/>
          <w:szCs w:val="18"/>
          <w:color w:val="auto"/>
        </w:rPr>
        <w:t>‑</w:t>
      </w:r>
      <w:r>
        <w:rPr>
          <w:rFonts w:ascii="Arial" w:cs="Arial" w:eastAsia="Arial" w:hAnsi="Arial"/>
          <w:sz w:val="18"/>
          <w:szCs w:val="18"/>
          <w:color w:val="auto"/>
        </w:rPr>
        <w:t>party facilities to support future development activities and commercialization that are operated by contract manufacturing organizations, or CMOs, in a manner compliant with all regulatory requirements;</w:t>
      </w:r>
    </w:p>
    <w:p>
      <w:pPr>
        <w:spacing w:after="0" w:line="201" w:lineRule="exact"/>
        <w:rPr>
          <w:rFonts w:ascii="Arial" w:cs="Arial" w:eastAsia="Arial" w:hAnsi="Arial"/>
          <w:sz w:val="18"/>
          <w:szCs w:val="18"/>
          <w:color w:val="auto"/>
        </w:rPr>
      </w:pPr>
    </w:p>
    <w:p>
      <w:pPr>
        <w:ind w:left="980" w:right="280" w:hanging="329"/>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 manufacture of sufficient supplies of our product candidates within approved specifications for purity and efficacy from our facility and from our CMOs in order to meet clinical or commercial demand, as applicable;</w:t>
      </w:r>
    </w:p>
    <w:p>
      <w:pPr>
        <w:spacing w:after="0" w:line="181" w:lineRule="exact"/>
        <w:rPr>
          <w:rFonts w:ascii="Arial" w:cs="Arial" w:eastAsia="Arial" w:hAnsi="Arial"/>
          <w:sz w:val="18"/>
          <w:szCs w:val="18"/>
          <w:color w:val="auto"/>
        </w:rPr>
      </w:pPr>
    </w:p>
    <w:p>
      <w:pPr>
        <w:ind w:left="980" w:right="260"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establishment and maintenance of patent and trade secret protection or regulatory exclusivity for our product candidates;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 commercial launch of our product candidates, if and when approved;</w:t>
      </w:r>
    </w:p>
    <w:p>
      <w:pPr>
        <w:spacing w:after="0" w:line="225" w:lineRule="exact"/>
        <w:rPr>
          <w:rFonts w:ascii="Arial" w:cs="Arial" w:eastAsia="Arial" w:hAnsi="Arial"/>
          <w:sz w:val="18"/>
          <w:szCs w:val="18"/>
          <w:color w:val="auto"/>
        </w:rPr>
      </w:pPr>
    </w:p>
    <w:p>
      <w:pPr>
        <w:ind w:left="980" w:right="180" w:hanging="329"/>
        <w:spacing w:after="0" w:line="223" w:lineRule="exact"/>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patient-advocates, the medical community and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203"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effective competition with other therapies;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establishment and maintenance of adequate healthcare coverage and reimbursement;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enforcement and defense of intellectual property rights and claims;</w:t>
      </w:r>
    </w:p>
    <w:p>
      <w:pPr>
        <w:spacing w:after="0" w:line="225" w:lineRule="exact"/>
        <w:rPr>
          <w:rFonts w:ascii="Arial" w:cs="Arial" w:eastAsia="Arial" w:hAnsi="Arial"/>
          <w:sz w:val="18"/>
          <w:szCs w:val="18"/>
          <w:color w:val="auto"/>
        </w:rPr>
      </w:pPr>
    </w:p>
    <w:p>
      <w:pPr>
        <w:ind w:left="980" w:right="160" w:hanging="329"/>
        <w:spacing w:after="0" w:line="223" w:lineRule="exact"/>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continued compliance with any post</w:t>
      </w:r>
      <w:r>
        <w:rPr>
          <w:rFonts w:ascii="MS PGothic" w:cs="MS PGothic" w:eastAsia="MS PGothic" w:hAnsi="MS PGothic"/>
          <w:sz w:val="18"/>
          <w:szCs w:val="18"/>
          <w:color w:val="auto"/>
        </w:rPr>
        <w:t>‑</w:t>
      </w:r>
      <w:r>
        <w:rPr>
          <w:rFonts w:ascii="Arial" w:cs="Arial" w:eastAsia="Arial" w:hAnsi="Arial"/>
          <w:sz w:val="18"/>
          <w:szCs w:val="18"/>
          <w:color w:val="auto"/>
        </w:rPr>
        <w:t>marketing requirements imposed by regulatory authorities, including any required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 commitments or REMS; and</w:t>
      </w:r>
    </w:p>
    <w:p>
      <w:pPr>
        <w:spacing w:after="0" w:line="203"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our product candidates following approval.</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If we do not accomplish one or more of these factors in a timely manner or at all, we could experience significant delays in, or an inability to, successfully commercialize our product candidates, which would materially harm our business. If we do not receive regulatory approvals for one or more of our product candidates, we may not be able to continue our operations. Even if we successfully obtain regulatory approvals to manufacture and market our product candidates, our revenues will be dependent, in part, upon the size of the markets in the territories for which we gain regulatory approval and have commercial rights. If the markets for patient subsets that we are targeting are smaller than we estimate, we may not generate projected revenue levels from sales of such products, if approved.</w:t>
      </w:r>
    </w:p>
    <w:p>
      <w:pPr>
        <w:spacing w:after="0" w:line="178"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b w:val="1"/>
          <w:bCs w:val="1"/>
          <w:i w:val="1"/>
          <w:iCs w:val="1"/>
          <w:color w:val="auto"/>
        </w:rPr>
        <w:t>Clinical drug development is a lengthy and expensive process with uncertain timelines and uncertain outcomes. We may encounter substantial delays in our clinical trials, or we may fail to demonstrate safety and efficacy to the satisfaction of applicable regulatory authorities. We may therefore be unable to obtain required regulatory approvals and be unable to commercialize our product candidates on a timely basis, if at all.</w:t>
      </w:r>
    </w:p>
    <w:p>
      <w:pPr>
        <w:spacing w:after="0" w:line="154"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trials to demonstrate the safety and efficacy of our product candidates in humans. Clinical testing is expensive, time consuming and uncertain as to outcome. We are conducting a global, pivotal Phase 3 clinical</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trial with rilonacept for the treatment of recurrent pericarditis, RHAPSODY, a global Phase 2 clinical trial with mavrilimumab for the treatment of GCA, a Phase 2a clinical trial with KPL</w:t>
      </w:r>
      <w:r>
        <w:rPr>
          <w:rFonts w:ascii="MS PGothic" w:cs="MS PGothic" w:eastAsia="MS PGothic" w:hAnsi="MS PGothic"/>
          <w:sz w:val="18"/>
          <w:szCs w:val="18"/>
          <w:color w:val="auto"/>
        </w:rPr>
        <w:t>‑</w:t>
      </w:r>
      <w:r>
        <w:rPr>
          <w:rFonts w:ascii="Arial" w:cs="Arial" w:eastAsia="Arial" w:hAnsi="Arial"/>
          <w:sz w:val="18"/>
          <w:szCs w:val="18"/>
          <w:color w:val="auto"/>
        </w:rPr>
        <w:t xml:space="preserve">716 in prurigo nodularis, an exploratory Phase 2 clinical trial with KPL-716 in diseases characterized by chronic pruritus, and </w:t>
      </w:r>
      <w:r>
        <w:rPr>
          <w:rFonts w:ascii="Arial" w:cs="Arial" w:eastAsia="Arial" w:hAnsi="Arial"/>
          <w:sz w:val="18"/>
          <w:szCs w:val="18"/>
          <w:color w:val="262626"/>
        </w:rPr>
        <w:t>a Phase 1 clinical trial with KPL-404 in healthy</w:t>
      </w:r>
      <w:r>
        <w:rPr>
          <w:rFonts w:ascii="Arial" w:cs="Arial" w:eastAsia="Arial" w:hAnsi="Arial"/>
          <w:sz w:val="18"/>
          <w:szCs w:val="18"/>
          <w:color w:val="auto"/>
        </w:rPr>
        <w:t xml:space="preserve"> </w:t>
      </w:r>
      <w:r>
        <w:rPr>
          <w:rFonts w:ascii="Arial" w:cs="Arial" w:eastAsia="Arial" w:hAnsi="Arial"/>
          <w:sz w:val="18"/>
          <w:szCs w:val="18"/>
          <w:color w:val="262626"/>
        </w:rPr>
        <w:t>volunteers</w:t>
      </w:r>
      <w:r>
        <w:rPr>
          <w:rFonts w:ascii="Arial" w:cs="Arial" w:eastAsia="Arial" w:hAnsi="Arial"/>
          <w:sz w:val="18"/>
          <w:szCs w:val="18"/>
          <w:color w:val="000000"/>
        </w:rPr>
        <w:t>. We cannot guarantee that any of our current or potential future clinical trials will be conducted as planned or</w:t>
      </w:r>
      <w:r>
        <w:rPr>
          <w:rFonts w:ascii="Arial" w:cs="Arial" w:eastAsia="Arial" w:hAnsi="Arial"/>
          <w:sz w:val="18"/>
          <w:szCs w:val="18"/>
          <w:color w:val="262626"/>
        </w:rPr>
        <w:t xml:space="preserve"> </w:t>
      </w:r>
      <w:r>
        <w:rPr>
          <w:rFonts w:ascii="Arial" w:cs="Arial" w:eastAsia="Arial" w:hAnsi="Arial"/>
          <w:sz w:val="18"/>
          <w:szCs w:val="18"/>
          <w:color w:val="000000"/>
        </w:rPr>
        <w:t>completed on schedule, if at all.</w:t>
      </w:r>
    </w:p>
    <w:p>
      <w:pPr>
        <w:spacing w:after="0" w:line="206"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Commencing a clinical trial is subject to acceptance by the FDA of an IND or IND amendments, acceptance by European regulatory authorities of a Clinical Trial Application, or CTA, or acceptance by other applicable regulatory authorities, and finalizing the trial design based on discussions with the FDA, European regulatory authorities or other applicable regulatory authorities. We may receive feedback or guidance from regulatory authorities on our clinical trial design and protocols and even after we incorporate such feedback or guidance from these regulatory authorities, such regulatory authorities may impose other requirements for our clinical trials, could disagree that we have satisfied their requirements to commence our clinical trials, disagree with our interpretation of data from the relevant preclinical studies, clinical trials or chemistry, manufacturing and controls, or CMC, data, or disagree or change their position on the acceptability of our trial designs, including the proposed dosing level or schedule, treatment duration, our definitions of the patient populations or the clinical endpoints selected, which may require us to complete additional preclinical studies, clinical trials, CMC development, other studies or impose stricter approval conditions than we currently expect. </w:t>
      </w:r>
      <w:r>
        <w:rPr>
          <w:rFonts w:ascii="Arial" w:cs="Arial" w:eastAsia="Arial" w:hAnsi="Arial"/>
          <w:sz w:val="17"/>
          <w:szCs w:val="17"/>
          <w:color w:val="262626"/>
        </w:rPr>
        <w:t>For example, the</w:t>
      </w:r>
      <w:r>
        <w:rPr>
          <w:rFonts w:ascii="Arial" w:cs="Arial" w:eastAsia="Arial" w:hAnsi="Arial"/>
          <w:sz w:val="17"/>
          <w:szCs w:val="17"/>
          <w:color w:val="auto"/>
        </w:rPr>
        <w:t xml:space="preserve"> </w:t>
      </w:r>
      <w:r>
        <w:rPr>
          <w:rFonts w:ascii="Arial" w:cs="Arial" w:eastAsia="Arial" w:hAnsi="Arial"/>
          <w:sz w:val="17"/>
          <w:szCs w:val="17"/>
          <w:color w:val="262626"/>
        </w:rPr>
        <w:t xml:space="preserve">FDA has provided feedback that the risk-benefit </w:t>
      </w:r>
      <w:r>
        <w:rPr>
          <w:rFonts w:ascii="Arial" w:cs="Arial" w:eastAsia="Arial" w:hAnsi="Arial"/>
          <w:sz w:val="17"/>
          <w:szCs w:val="17"/>
          <w:color w:val="000000"/>
        </w:rPr>
        <w:t>assessment for investigation of mavrilimumab in a clinical trial may differ</w:t>
      </w:r>
      <w:r>
        <w:rPr>
          <w:rFonts w:ascii="Arial" w:cs="Arial" w:eastAsia="Arial" w:hAnsi="Arial"/>
          <w:sz w:val="17"/>
          <w:szCs w:val="17"/>
          <w:color w:val="262626"/>
        </w:rPr>
        <w:t xml:space="preserve"> </w:t>
      </w:r>
      <w:r>
        <w:rPr>
          <w:rFonts w:ascii="Arial" w:cs="Arial" w:eastAsia="Arial" w:hAnsi="Arial"/>
          <w:sz w:val="17"/>
          <w:szCs w:val="17"/>
          <w:color w:val="000000"/>
        </w:rPr>
        <w:t>depending on the patient population studied. Specifically, the FDA acknowledged that the risk-benefit assessment for initiation of a clinical trial may be considered favorable in a patient population with high morbidity and limited effective treatment options. In addition, we anticipate that other potential indications for mavrilimumab would need to be in serious or life-threatening diseases where the burden of the disease is sufficient to justify the risk-benefit of mavrilimumab to pursue clinical development in such indications. Further, based on FDA feedback we received in connection with its review and approval of an IND for our global Phase 2 clinical trial of mavrilimumab in GCA, we anticipate that to help inform the risk-benefit profile for the use of mavrilimumab in GCA, we will need to demonstrate the safety and effectiveness of mavrilimumab at the 26 weeks of dosing stipulated in our Phase 2 clinical trial, and eventually demonstrate safety and effectiveness of mavrilimumab beyond 26 weeks as well as evaluate its pharmacokinetic profile and the effectiveness of mavrilimumab at different doses in GCA.</w:t>
      </w:r>
    </w:p>
    <w:p>
      <w:pPr>
        <w:spacing w:after="0" w:line="18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Commencing our planned clinical trials is also subject to approval by an IRB at each clinical trial site before a trial may be initiated, which approval could be delayed, rejected or suspended. Further the IRBs of the institutions in which such trials are being conducted, the Data Safety Monitoring Board for such trial or the FDA or other regulatory authorities may impose a suspension or termination of our clinical trials even after approval and initiation of trial sites due to a number of factors, including failure to conduct the clinical trial in accordance with regulatory requirements or our clinical protocols, inspection of the clinical trial operations or trial site by the FDA or other regulatory authorities, unforeseen safety issues or adverse side effects that arise in the trial, failure to demonstrate a benefit from using a drug, any of which resulting in the imposition of a clinical hold as well as changes in governmental regulations or administrative actions or lack of adequate funding to continue the clinical trial.</w:t>
      </w:r>
    </w:p>
    <w:p>
      <w:pPr>
        <w:spacing w:after="0" w:line="18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Successful completion of our clinical trials is a prerequisite to submitting a biologics license application, or BLA, or New Drug Applications to the FDA and a marketing authorization application, or MAA, to the European Medicines Agency, or EMA, or other applicable regulatory authorities in other countries for each product candidate and, consequently, to obtaining approval and initiating commercial marketing of our current and future product candidates. We do not know whether any of our future clinical trials will begin as planned or any of our current or future clinical trials will be completed on schedule, if at all.</w:t>
      </w:r>
    </w:p>
    <w:p>
      <w:pPr>
        <w:spacing w:after="0" w:line="1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 failure of one or more of our current or future clinical trials can occur at any stage of testing, and our clinical trials may not be successful. We may experience delays in our ongoing clinical trials and we do not know whether planned clinical trials will begin on time, be allowed by regulatory authorities, need to be redesigned, or if we can activate sites or enroll patients on time, or if they will be completed on schedule, if at all. Events that may prevent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39"/>
        <w:spacing w:after="0" w:line="277" w:lineRule="auto"/>
        <w:rPr>
          <w:sz w:val="20"/>
          <w:szCs w:val="20"/>
          <w:color w:val="auto"/>
        </w:rPr>
      </w:pPr>
      <w:r>
        <w:rPr>
          <w:rFonts w:ascii="Arial" w:cs="Arial" w:eastAsia="Arial" w:hAnsi="Arial"/>
          <w:sz w:val="18"/>
          <w:szCs w:val="18"/>
          <w:color w:val="auto"/>
        </w:rPr>
        <w:t>commencement or successful completion of clinical development of our product candidates as planned, if at all, include but are not limited to:</w:t>
      </w:r>
    </w:p>
    <w:p>
      <w:pPr>
        <w:spacing w:after="0" w:line="170" w:lineRule="exact"/>
        <w:rPr>
          <w:sz w:val="20"/>
          <w:szCs w:val="20"/>
          <w:color w:val="auto"/>
        </w:rPr>
      </w:pPr>
    </w:p>
    <w:p>
      <w:pPr>
        <w:ind w:left="980" w:right="79" w:hanging="329"/>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human clinical trials;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failure in reaching a consensus with regulatory agencies on trial design or implementation;</w:t>
      </w:r>
    </w:p>
    <w:p>
      <w:pPr>
        <w:spacing w:after="0" w:line="225" w:lineRule="exact"/>
        <w:rPr>
          <w:rFonts w:ascii="Arial" w:cs="Arial" w:eastAsia="Arial" w:hAnsi="Arial"/>
          <w:sz w:val="18"/>
          <w:szCs w:val="18"/>
          <w:color w:val="auto"/>
        </w:rPr>
      </w:pPr>
    </w:p>
    <w:p>
      <w:pPr>
        <w:ind w:left="980" w:right="379" w:hanging="329"/>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failure in establishing the appropriate dosage levels or frequency of dosing or treatment period in clinical trials;</w:t>
      </w:r>
    </w:p>
    <w:p>
      <w:pPr>
        <w:spacing w:after="0" w:line="170" w:lineRule="exact"/>
        <w:rPr>
          <w:rFonts w:ascii="Arial" w:cs="Arial" w:eastAsia="Arial" w:hAnsi="Arial"/>
          <w:sz w:val="18"/>
          <w:szCs w:val="18"/>
          <w:color w:val="auto"/>
        </w:rPr>
      </w:pPr>
    </w:p>
    <w:p>
      <w:pPr>
        <w:ind w:left="980" w:right="119" w:hanging="329"/>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failure in reaching agreement on acceptable terms with prospective CROs, and clinical trial sites, the terms of which can be subject to extensive negotiation and may vary significantly among different CROs and clinical trial sites;</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 obtaining required IRB, approval at each clinical trial site;</w:t>
      </w:r>
    </w:p>
    <w:p>
      <w:pPr>
        <w:spacing w:after="0" w:line="225" w:lineRule="exact"/>
        <w:rPr>
          <w:rFonts w:ascii="Arial" w:cs="Arial" w:eastAsia="Arial" w:hAnsi="Arial"/>
          <w:sz w:val="18"/>
          <w:szCs w:val="18"/>
          <w:color w:val="auto"/>
        </w:rPr>
      </w:pPr>
    </w:p>
    <w:p>
      <w:pPr>
        <w:ind w:left="980" w:right="139" w:hanging="329"/>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failure in obtaining regulatory approval to commence a trial, or imposition of a clinical hold by regulatory authorities, after review of an IND or IND amendment, or equivalent application or amendment, or an inspection of our clinical trial operations or study sites;</w:t>
      </w:r>
    </w:p>
    <w:p>
      <w:pPr>
        <w:spacing w:after="0" w:line="181" w:lineRule="exact"/>
        <w:rPr>
          <w:rFonts w:ascii="Arial" w:cs="Arial" w:eastAsia="Arial" w:hAnsi="Arial"/>
          <w:sz w:val="18"/>
          <w:szCs w:val="18"/>
          <w:color w:val="auto"/>
        </w:rPr>
      </w:pPr>
    </w:p>
    <w:p>
      <w:pPr>
        <w:ind w:left="980" w:right="519" w:hanging="329"/>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challenges in recruiting and enrolling suitable patients or a sufficient number thereof to participate in our clinical trials;</w:t>
      </w:r>
    </w:p>
    <w:p>
      <w:pPr>
        <w:spacing w:after="0" w:line="170" w:lineRule="exact"/>
        <w:rPr>
          <w:rFonts w:ascii="Arial" w:cs="Arial" w:eastAsia="Arial" w:hAnsi="Arial"/>
          <w:sz w:val="18"/>
          <w:szCs w:val="18"/>
          <w:color w:val="auto"/>
        </w:rPr>
      </w:pPr>
    </w:p>
    <w:p>
      <w:pPr>
        <w:ind w:left="980" w:right="59" w:hanging="329"/>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amendments to clinical trial protocols impacting study criteria, endpoints or design, including amendments that either we initiate or are requested by regulatory authorities;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225" w:lineRule="exact"/>
        <w:rPr>
          <w:rFonts w:ascii="Arial" w:cs="Arial" w:eastAsia="Arial" w:hAnsi="Arial"/>
          <w:sz w:val="18"/>
          <w:szCs w:val="18"/>
          <w:color w:val="auto"/>
        </w:rPr>
      </w:pPr>
    </w:p>
    <w:p>
      <w:pPr>
        <w:ind w:left="980" w:right="239" w:hanging="329"/>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failure by our CROs, medical institutions, other third parties </w:t>
      </w:r>
      <w:r>
        <w:rPr>
          <w:rFonts w:ascii="Arial" w:cs="Arial" w:eastAsia="Arial" w:hAnsi="Arial"/>
          <w:sz w:val="18"/>
          <w:szCs w:val="18"/>
          <w:color w:val="262626"/>
        </w:rPr>
        <w:t>we contract with in connection with our clinical</w:t>
      </w:r>
      <w:r>
        <w:rPr>
          <w:rFonts w:ascii="Arial" w:cs="Arial" w:eastAsia="Arial" w:hAnsi="Arial"/>
          <w:sz w:val="18"/>
          <w:szCs w:val="18"/>
          <w:color w:val="auto"/>
        </w:rPr>
        <w:t xml:space="preserve"> </w:t>
      </w:r>
      <w:r>
        <w:rPr>
          <w:rFonts w:ascii="Arial" w:cs="Arial" w:eastAsia="Arial" w:hAnsi="Arial"/>
          <w:sz w:val="18"/>
          <w:szCs w:val="18"/>
          <w:color w:val="262626"/>
        </w:rPr>
        <w:t>trials</w:t>
      </w:r>
      <w:r>
        <w:rPr>
          <w:rFonts w:ascii="Arial" w:cs="Arial" w:eastAsia="Arial" w:hAnsi="Arial"/>
          <w:sz w:val="18"/>
          <w:szCs w:val="18"/>
          <w:color w:val="000000"/>
        </w:rPr>
        <w:t>, or us to adhere to clinical trial requirements or to perform their obligations in a timely or compliant</w:t>
      </w:r>
      <w:r>
        <w:rPr>
          <w:rFonts w:ascii="Arial" w:cs="Arial" w:eastAsia="Arial" w:hAnsi="Arial"/>
          <w:sz w:val="18"/>
          <w:szCs w:val="18"/>
          <w:color w:val="262626"/>
        </w:rPr>
        <w:t xml:space="preserve"> </w:t>
      </w:r>
      <w:r>
        <w:rPr>
          <w:rFonts w:ascii="Arial" w:cs="Arial" w:eastAsia="Arial" w:hAnsi="Arial"/>
          <w:sz w:val="18"/>
          <w:szCs w:val="18"/>
          <w:color w:val="000000"/>
        </w:rPr>
        <w:t>manner;</w:t>
      </w:r>
    </w:p>
    <w:p>
      <w:pPr>
        <w:spacing w:after="0" w:line="181" w:lineRule="exact"/>
        <w:rPr>
          <w:rFonts w:ascii="Arial" w:cs="Arial" w:eastAsia="Arial" w:hAnsi="Arial"/>
          <w:sz w:val="18"/>
          <w:szCs w:val="18"/>
          <w:color w:val="auto"/>
        </w:rPr>
      </w:pPr>
    </w:p>
    <w:p>
      <w:pPr>
        <w:ind w:left="980" w:right="239" w:hanging="329"/>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perform in accordance with the FDA’s good clinical practices requirements, or GCPs, or applicable comparable regulatory guidelines in other countries;</w:t>
      </w:r>
    </w:p>
    <w:p>
      <w:pPr>
        <w:spacing w:after="0" w:line="170" w:lineRule="exact"/>
        <w:rPr>
          <w:rFonts w:ascii="Arial" w:cs="Arial" w:eastAsia="Arial" w:hAnsi="Arial"/>
          <w:sz w:val="18"/>
          <w:szCs w:val="18"/>
          <w:color w:val="auto"/>
        </w:rPr>
      </w:pPr>
    </w:p>
    <w:p>
      <w:pPr>
        <w:ind w:left="980" w:right="159" w:hanging="329"/>
        <w:spacing w:after="0" w:line="223" w:lineRule="exact"/>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patients not completing participation in a clinical trial or returning for post</w:t>
      </w:r>
      <w:r>
        <w:rPr>
          <w:rFonts w:ascii="MS PGothic" w:cs="MS PGothic" w:eastAsia="MS PGothic" w:hAnsi="MS PGothic"/>
          <w:sz w:val="18"/>
          <w:szCs w:val="18"/>
          <w:color w:val="auto"/>
        </w:rPr>
        <w:t>‑</w:t>
      </w:r>
      <w:r>
        <w:rPr>
          <w:rFonts w:ascii="Arial" w:cs="Arial" w:eastAsia="Arial" w:hAnsi="Arial"/>
          <w:sz w:val="18"/>
          <w:szCs w:val="18"/>
          <w:color w:val="auto"/>
        </w:rPr>
        <w:t>treatment follow</w:t>
      </w:r>
      <w:r>
        <w:rPr>
          <w:rFonts w:ascii="MS PGothic" w:cs="MS PGothic" w:eastAsia="MS PGothic" w:hAnsi="MS PGothic"/>
          <w:sz w:val="18"/>
          <w:szCs w:val="18"/>
          <w:color w:val="auto"/>
        </w:rPr>
        <w:t>‑</w:t>
      </w:r>
      <w:r>
        <w:rPr>
          <w:rFonts w:ascii="Arial" w:cs="Arial" w:eastAsia="Arial" w:hAnsi="Arial"/>
          <w:sz w:val="18"/>
          <w:szCs w:val="18"/>
          <w:color w:val="auto"/>
        </w:rPr>
        <w:t>up, in either case including as a result of trial demands on participants among other things;</w:t>
      </w:r>
    </w:p>
    <w:p>
      <w:pPr>
        <w:spacing w:after="0" w:line="203"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 sites or patients withdrawing from a clinical trial;</w:t>
      </w:r>
    </w:p>
    <w:p>
      <w:pPr>
        <w:spacing w:after="0" w:line="225" w:lineRule="exact"/>
        <w:rPr>
          <w:rFonts w:ascii="Arial" w:cs="Arial" w:eastAsia="Arial" w:hAnsi="Arial"/>
          <w:sz w:val="18"/>
          <w:szCs w:val="18"/>
          <w:color w:val="auto"/>
        </w:rPr>
      </w:pPr>
    </w:p>
    <w:p>
      <w:pPr>
        <w:ind w:left="980" w:right="539" w:hanging="329"/>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participating patients experiencing serious adverse events or undesirable side effects or being exposed to unacceptable health risks;</w:t>
      </w:r>
    </w:p>
    <w:p>
      <w:pPr>
        <w:spacing w:after="0" w:line="170" w:lineRule="exact"/>
        <w:rPr>
          <w:rFonts w:ascii="Arial" w:cs="Arial" w:eastAsia="Arial" w:hAnsi="Arial"/>
          <w:sz w:val="18"/>
          <w:szCs w:val="18"/>
          <w:color w:val="auto"/>
        </w:rPr>
      </w:pPr>
    </w:p>
    <w:p>
      <w:pPr>
        <w:ind w:left="980" w:right="339" w:hanging="329"/>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participating patients failing to experience confirmed pre-specified events during the clinical trial within an expected time-frame, if at all;</w:t>
      </w:r>
    </w:p>
    <w:p>
      <w:pPr>
        <w:spacing w:after="0" w:line="170" w:lineRule="exact"/>
        <w:rPr>
          <w:rFonts w:ascii="Arial" w:cs="Arial" w:eastAsia="Arial" w:hAnsi="Arial"/>
          <w:sz w:val="18"/>
          <w:szCs w:val="18"/>
          <w:color w:val="auto"/>
        </w:rPr>
      </w:pPr>
    </w:p>
    <w:p>
      <w:pPr>
        <w:ind w:left="980" w:right="179" w:hanging="329"/>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safety issues, including occurrence of adverse events associated with the product candidate that are viewed to outweigh its potential benefits;</w:t>
      </w:r>
    </w:p>
    <w:p>
      <w:pPr>
        <w:spacing w:after="0" w:line="170" w:lineRule="exact"/>
        <w:rPr>
          <w:rFonts w:ascii="Arial" w:cs="Arial" w:eastAsia="Arial" w:hAnsi="Arial"/>
          <w:sz w:val="18"/>
          <w:szCs w:val="18"/>
          <w:color w:val="auto"/>
        </w:rPr>
      </w:pPr>
    </w:p>
    <w:p>
      <w:pPr>
        <w:ind w:left="980" w:right="39" w:hanging="329"/>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in identifying the patient populations that we are trying to enroll in a particular trial, which may delay enrollment and reduce the power of a clinical trial to detect statistically significant results;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340" w:hanging="329"/>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regulatory requirements, policies and guidance that require amending or submitting new clinical protocols;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225" w:lineRule="exact"/>
        <w:rPr>
          <w:rFonts w:ascii="Arial" w:cs="Arial" w:eastAsia="Arial" w:hAnsi="Arial"/>
          <w:sz w:val="18"/>
          <w:szCs w:val="18"/>
          <w:color w:val="auto"/>
        </w:rPr>
      </w:pPr>
    </w:p>
    <w:p>
      <w:pPr>
        <w:ind w:left="980" w:right="180" w:hanging="329"/>
        <w:spacing w:after="0" w:line="26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inconclusive or uncompetitive results, which may result in us deciding, or regulators requiring us, to conduct additional clinical trials or modify or cease development programs for our product candidates;</w:t>
      </w:r>
    </w:p>
    <w:p>
      <w:pPr>
        <w:spacing w:after="0" w:line="181" w:lineRule="exact"/>
        <w:rPr>
          <w:rFonts w:ascii="Arial" w:cs="Arial" w:eastAsia="Arial" w:hAnsi="Arial"/>
          <w:sz w:val="18"/>
          <w:szCs w:val="18"/>
          <w:color w:val="auto"/>
        </w:rPr>
      </w:pPr>
    </w:p>
    <w:p>
      <w:pPr>
        <w:ind w:left="980" w:right="80" w:hanging="329"/>
        <w:spacing w:after="0" w:line="26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suspensions or terminations of our clinical trials by us or the IRBs of the institutions in which our clinical trials are being conducted, the Data Safety Monitoring Board for such trials or the FDA or comparable regulatory authorities;</w:t>
      </w:r>
    </w:p>
    <w:p>
      <w:pPr>
        <w:spacing w:after="0" w:line="181" w:lineRule="exact"/>
        <w:rPr>
          <w:rFonts w:ascii="Arial" w:cs="Arial" w:eastAsia="Arial" w:hAnsi="Arial"/>
          <w:sz w:val="18"/>
          <w:szCs w:val="18"/>
          <w:color w:val="auto"/>
        </w:rPr>
      </w:pPr>
    </w:p>
    <w:p>
      <w:pPr>
        <w:ind w:left="980" w:right="280" w:hanging="329"/>
        <w:spacing w:after="0" w:line="26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of manufacturers, or us, to produce supplies of our product candidates for use in our clinical trials in accordance with current good manufacturing practices, or cGMP, requirements and regulations or applicable comparable regulatory guidelines in other countries; and</w:t>
      </w:r>
    </w:p>
    <w:p>
      <w:pPr>
        <w:spacing w:after="0" w:line="181" w:lineRule="exact"/>
        <w:rPr>
          <w:rFonts w:ascii="Arial" w:cs="Arial" w:eastAsia="Arial" w:hAnsi="Arial"/>
          <w:sz w:val="18"/>
          <w:szCs w:val="18"/>
          <w:color w:val="auto"/>
        </w:rPr>
      </w:pPr>
    </w:p>
    <w:p>
      <w:pPr>
        <w:ind w:left="980" w:right="120" w:hanging="329"/>
        <w:spacing w:after="0" w:line="308"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delays in manufacturing, testing, releasing, validating or importing/exporting sufficient stable quantities of our product candidates for use in clinical trials or the inability to do any of the foregoing.</w:t>
      </w:r>
    </w:p>
    <w:p>
      <w:pPr>
        <w:spacing w:after="0" w:line="14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Many of the factors that cause, or lead to, a delay in the commencement or completion of clinical trials may also ultimately lead to the delay or denial of regulatory approval of our product candidates.</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If we experience delays in the commencement or completion of any clinical trial of our product candidates or any clinical trial of our product candidates is terminated, the commercial prospects of our product candidates may be harmed, and our ability to generate product revenues from our product candidates, if any, will be delayed. Moreover, any delays in completing our clinical trials will increase our costs, slow down the development and approval process of our product candidates and jeopardize our ability to commence product sales and generate revenue, if any. Clinical trial delays could also allow our competitors to bring products to market before we do or shorten any periods during which we have the exclusive right to commercialize our product candidates and could impair our ability to commercialize our product candidates. In addition, many of the factors that cause, or lead to, a delay in the commencement or completion of clinical trials may also ultimately lead to the denial of regulatory approval of our product candidates or us deciding to modify or cease development of our product candidates.</w:t>
      </w:r>
    </w:p>
    <w:p>
      <w:pPr>
        <w:spacing w:after="0" w:line="195" w:lineRule="exact"/>
        <w:rPr>
          <w:sz w:val="20"/>
          <w:szCs w:val="20"/>
          <w:color w:val="auto"/>
        </w:rPr>
      </w:pPr>
    </w:p>
    <w:p>
      <w:pPr>
        <w:ind w:right="40" w:firstLine="648"/>
        <w:spacing w:after="0" w:line="217" w:lineRule="exact"/>
        <w:rPr>
          <w:sz w:val="20"/>
          <w:szCs w:val="20"/>
          <w:color w:val="auto"/>
        </w:rPr>
      </w:pPr>
      <w:r>
        <w:rPr>
          <w:rFonts w:ascii="Arial" w:cs="Arial" w:eastAsia="Arial" w:hAnsi="Arial"/>
          <w:sz w:val="16"/>
          <w:szCs w:val="16"/>
          <w:color w:val="auto"/>
        </w:rPr>
        <w:t>Furthermore, clinical trials must be conducted in accordance with the laws, rules and regulations, guidelines and other requirements of the FDA, European Union, or EU, and other applicable regulatory authorities outside of those jurisdictions and are subject to oversight by these regulatory authorities and IRBs at the medical institutions where the clinical trials are conducted. Further, conducting global clinical trials</w:t>
      </w:r>
      <w:r>
        <w:rPr>
          <w:rFonts w:ascii="Arial" w:cs="Arial" w:eastAsia="Arial" w:hAnsi="Arial"/>
          <w:sz w:val="16"/>
          <w:szCs w:val="16"/>
          <w:color w:val="262626"/>
        </w:rPr>
        <w:t>, as we do for certain of our product candidates,</w:t>
      </w:r>
      <w:r>
        <w:rPr>
          <w:rFonts w:ascii="Arial" w:cs="Arial" w:eastAsia="Arial" w:hAnsi="Arial"/>
          <w:sz w:val="16"/>
          <w:szCs w:val="16"/>
          <w:color w:val="auto"/>
        </w:rPr>
        <w:t xml:space="preserve"> may require that we coordinate among the legal requirements and guidelines of regulatory authorities across a number of jurisdictions, including the United States, EU and countries outside of those jurisdictions, which could require that we amend clinical trial protocols or determine not to conduct a trial in one or more jurisdiction or to run separate trials in various jurisdictions due to the inability, cost or delay in harmonizing divergent requests from such regulatory authorities, all of which could increase costs. In addition, clinical trials that are conducted in countries outside the United States and the EU may subject us to risks associated with the engagement of non-United States and non</w:t>
      </w:r>
      <w:r>
        <w:rPr>
          <w:rFonts w:ascii="MS PGothic" w:cs="MS PGothic" w:eastAsia="MS PGothic" w:hAnsi="MS PGothic"/>
          <w:sz w:val="16"/>
          <w:szCs w:val="16"/>
          <w:color w:val="auto"/>
        </w:rPr>
        <w:t>‑</w:t>
      </w:r>
      <w:r>
        <w:rPr>
          <w:rFonts w:ascii="Arial" w:cs="Arial" w:eastAsia="Arial" w:hAnsi="Arial"/>
          <w:sz w:val="16"/>
          <w:szCs w:val="16"/>
          <w:color w:val="auto"/>
        </w:rPr>
        <w:t>EU CROs, clinical investigators who are unknown to the FDA or the EMA, and may have different standards of diagnosis, screening and medical care, as well as risks associated with further delays and expenses as a result of increased shipment costs (including as a result of local quality release or in-country testing of a product candidate supply produced in a different jurisdiction for our clinical trials) and political and economic risks relevant to such countries outside the United States and the EU.</w:t>
      </w:r>
    </w:p>
    <w:p>
      <w:pPr>
        <w:spacing w:after="0" w:line="20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Clinical trial delays could also shorten any periods during which our products have patent protection and may allow our competitors to bring products to market before we do, which could impair our ability to obtain orphan exclusivity for our products that potentially qualify for this designation and to successfully commercialize our product candidates, and may harm our business and results of operations. Any inability to successfully complete preclinical and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clinical development could result in additional costs to us or impair our ability to generate revenue and harm our business, financial condition and prospects significantly.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in a timely manner given the limited number of patients who have the diseases for which our product candidates are being studied, as well as particular enrollment criteria or competing clinical studies in the same patient population. Difficulty in enrolling patients could delay or prevent completion of our clinical trials of our product candidates, and our research and development efforts could be adversely affected.</w:t>
      </w:r>
    </w:p>
    <w:p>
      <w:pPr>
        <w:spacing w:after="0" w:line="18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our clinical trials depends in part on the speed at which we can recruit a sufficient number of patients to participate in testing our product candidates, particularly given that many of the conditions for which we are evaluating our current product candidates or may plan to evaluate them in the future are in small disease populations. In addition, the eligibility criteria of our clinical trials will further limit the pool of available trial participants, as we will require patients to have specific characteristics that we can evaluate based on the primary and secondary endpoints of the study.</w:t>
      </w:r>
    </w:p>
    <w:p>
      <w:pPr>
        <w:spacing w:after="0" w:line="16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Further, our clinical trials may compete with other clinical trials for product candidates that are in the same therapeutic areas as our product candidates, and this competition may further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clinical trial site.</w:t>
      </w:r>
    </w:p>
    <w:p>
      <w:pPr>
        <w:spacing w:after="0" w:line="17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Accordingly if we encounter these or other difficulties in enrollment we may experience delays or be prevented from completing our clinical trials. Patient enrollment depends on many factors, including:</w:t>
      </w:r>
    </w:p>
    <w:p>
      <w:pPr>
        <w:spacing w:after="0" w:line="170" w:lineRule="exact"/>
        <w:rPr>
          <w:sz w:val="20"/>
          <w:szCs w:val="20"/>
          <w:color w:val="auto"/>
        </w:rPr>
      </w:pPr>
    </w:p>
    <w:p>
      <w:pPr>
        <w:ind w:left="1360" w:hanging="331"/>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rFonts w:ascii="Arial" w:cs="Arial" w:eastAsia="Arial" w:hAnsi="Arial"/>
          <w:sz w:val="18"/>
          <w:szCs w:val="18"/>
          <w:color w:val="auto"/>
        </w:rPr>
      </w:pPr>
    </w:p>
    <w:p>
      <w:pPr>
        <w:ind w:left="1360" w:hanging="331"/>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severity of the disease being studied;</w:t>
      </w:r>
    </w:p>
    <w:p>
      <w:pPr>
        <w:spacing w:after="0" w:line="225" w:lineRule="exact"/>
        <w:rPr>
          <w:rFonts w:ascii="Arial" w:cs="Arial" w:eastAsia="Arial" w:hAnsi="Arial"/>
          <w:sz w:val="18"/>
          <w:szCs w:val="18"/>
          <w:color w:val="auto"/>
        </w:rPr>
      </w:pPr>
    </w:p>
    <w:p>
      <w:pPr>
        <w:ind w:left="1360" w:hanging="331"/>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25" w:lineRule="exact"/>
        <w:rPr>
          <w:rFonts w:ascii="Arial" w:cs="Arial" w:eastAsia="Arial" w:hAnsi="Arial"/>
          <w:sz w:val="18"/>
          <w:szCs w:val="18"/>
          <w:color w:val="auto"/>
        </w:rPr>
      </w:pPr>
    </w:p>
    <w:p>
      <w:pPr>
        <w:ind w:left="1360" w:hanging="331"/>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patient eligibility criteria for the clinical trial;</w:t>
      </w:r>
    </w:p>
    <w:p>
      <w:pPr>
        <w:spacing w:after="0" w:line="225" w:lineRule="exact"/>
        <w:rPr>
          <w:rFonts w:ascii="Arial" w:cs="Arial" w:eastAsia="Arial" w:hAnsi="Arial"/>
          <w:sz w:val="18"/>
          <w:szCs w:val="18"/>
          <w:color w:val="auto"/>
        </w:rPr>
      </w:pPr>
    </w:p>
    <w:p>
      <w:pPr>
        <w:ind w:left="1360" w:hanging="331"/>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proximity of patients to clinical sites;</w:t>
      </w:r>
    </w:p>
    <w:p>
      <w:pPr>
        <w:spacing w:after="0" w:line="225" w:lineRule="exact"/>
        <w:rPr>
          <w:rFonts w:ascii="Arial" w:cs="Arial" w:eastAsia="Arial" w:hAnsi="Arial"/>
          <w:sz w:val="18"/>
          <w:szCs w:val="18"/>
          <w:color w:val="auto"/>
        </w:rPr>
      </w:pPr>
    </w:p>
    <w:p>
      <w:pPr>
        <w:ind w:left="1360" w:hanging="331"/>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complexity of the design and nature of the clinical protocol and trial;</w:t>
      </w:r>
    </w:p>
    <w:p>
      <w:pPr>
        <w:spacing w:after="0" w:line="225" w:lineRule="exact"/>
        <w:rPr>
          <w:rFonts w:ascii="Arial" w:cs="Arial" w:eastAsia="Arial" w:hAnsi="Arial"/>
          <w:sz w:val="18"/>
          <w:szCs w:val="18"/>
          <w:color w:val="auto"/>
        </w:rPr>
      </w:pPr>
    </w:p>
    <w:p>
      <w:pPr>
        <w:ind w:left="1360" w:hanging="331"/>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and nature of competing clinical trials;</w:t>
      </w:r>
    </w:p>
    <w:p>
      <w:pPr>
        <w:spacing w:after="0" w:line="225" w:lineRule="exact"/>
        <w:rPr>
          <w:rFonts w:ascii="Arial" w:cs="Arial" w:eastAsia="Arial" w:hAnsi="Arial"/>
          <w:sz w:val="18"/>
          <w:szCs w:val="18"/>
          <w:color w:val="auto"/>
        </w:rPr>
      </w:pPr>
    </w:p>
    <w:p>
      <w:pPr>
        <w:ind w:left="1360" w:right="900" w:hanging="331"/>
        <w:spacing w:after="0" w:line="277" w:lineRule="auto"/>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standard of care or new drugs approved for the indication the clinical trial is investigating;</w:t>
      </w:r>
    </w:p>
    <w:p>
      <w:pPr>
        <w:spacing w:after="0" w:line="170" w:lineRule="exact"/>
        <w:rPr>
          <w:rFonts w:ascii="Arial" w:cs="Arial" w:eastAsia="Arial" w:hAnsi="Arial"/>
          <w:sz w:val="18"/>
          <w:szCs w:val="18"/>
          <w:color w:val="auto"/>
        </w:rPr>
      </w:pPr>
    </w:p>
    <w:p>
      <w:pPr>
        <w:ind w:left="1360" w:hanging="331"/>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obtain and maintain patient consents;</w:t>
      </w:r>
    </w:p>
    <w:p>
      <w:pPr>
        <w:spacing w:after="0" w:line="225" w:lineRule="exact"/>
        <w:rPr>
          <w:rFonts w:ascii="Arial" w:cs="Arial" w:eastAsia="Arial" w:hAnsi="Arial"/>
          <w:sz w:val="18"/>
          <w:szCs w:val="18"/>
          <w:color w:val="auto"/>
        </w:rPr>
      </w:pPr>
    </w:p>
    <w:p>
      <w:pPr>
        <w:ind w:left="1360" w:hanging="331"/>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applicable competencies and experience;</w:t>
      </w:r>
    </w:p>
    <w:p>
      <w:pPr>
        <w:spacing w:after="0" w:line="225" w:lineRule="exact"/>
        <w:rPr>
          <w:rFonts w:ascii="Arial" w:cs="Arial" w:eastAsia="Arial" w:hAnsi="Arial"/>
          <w:sz w:val="18"/>
          <w:szCs w:val="18"/>
          <w:color w:val="auto"/>
        </w:rPr>
      </w:pPr>
    </w:p>
    <w:p>
      <w:pPr>
        <w:ind w:left="1360" w:right="140" w:hanging="331"/>
        <w:spacing w:after="0" w:line="264" w:lineRule="auto"/>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withdraw from the trials before completion of their treatment or follow-up period (in either case including as a result of trial demands on participants among other things);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60" w:right="380" w:hanging="331"/>
        <w:spacing w:after="0" w:line="277" w:lineRule="auto"/>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clinicians’ and patients’ perceptions as to the safety and potential advantages of the product candidate being studied in relation to other available therapies; and</w:t>
      </w:r>
    </w:p>
    <w:p>
      <w:pPr>
        <w:spacing w:after="0" w:line="170" w:lineRule="exact"/>
        <w:rPr>
          <w:rFonts w:ascii="Arial" w:cs="Arial" w:eastAsia="Arial" w:hAnsi="Arial"/>
          <w:sz w:val="18"/>
          <w:szCs w:val="18"/>
          <w:color w:val="auto"/>
        </w:rPr>
      </w:pPr>
    </w:p>
    <w:p>
      <w:pPr>
        <w:ind w:left="1360" w:hanging="331"/>
        <w:spacing w:after="0"/>
        <w:tabs>
          <w:tab w:leader="none" w:pos="13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occurrence of adverse events, or AEs, or undesirable side effects attributable to our product candidates.</w:t>
      </w:r>
    </w:p>
    <w:p>
      <w:pPr>
        <w:spacing w:after="0" w:line="24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process of finding and enrolling patients may prove costly, especially since we are looking to identify a subset of the patients eligible for our studies from a relatively small patient population for many of the diseases we are studying. If patients are unable or unwilling to participate in our clinical trials for any reason, or we experience difficulties in patient enrollment for any other reasons, our costs and the timeline for recruiting patients, conducting trials and obtaining regulatory approval of our product candidates may be delayed or prevented, the commercial prospects of our product candidates may be harmed, and our ability to commence product sales and generate product revenue from any of these product candidates could be delayed or prevented. Any of these occurrences may harm our business, financial condition and prospects significantly.</w:t>
      </w:r>
    </w:p>
    <w:p>
      <w:pPr>
        <w:spacing w:after="0" w:line="167"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safety risks that could delay or prevent their regulatory approval, limit the commercial profile of an approved label or result in significant negative consequences, including withdrawal of approval, following any potential marketing approval.</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Treatment with our product candidates may produce undesirable side effects or adverse reactions or events. Undesirable side effects caused by our product candidates could cause us or regulatory authorities to interrupt, delay or halt clinical trials and could result in more restrictive labels or the delay or denial of regulatory approvals by the FDA or other comparable regulatory authorities outside of the United States.</w:t>
      </w:r>
    </w:p>
    <w:p>
      <w:pPr>
        <w:spacing w:after="0" w:line="187"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Our product candidates modulate the immune system and carry risks associated with immunosuppression, including the risk of serious infections and other potential serious health risks. For example, some common side effects of rilonacept include, cold symptoms, nausea, stomach pain, diarrhea, numbness or tingly feeling and injection</w:t>
      </w:r>
      <w:r>
        <w:rPr>
          <w:rFonts w:ascii="MS PGothic" w:cs="MS PGothic" w:eastAsia="MS PGothic" w:hAnsi="MS PGothic"/>
          <w:sz w:val="17"/>
          <w:szCs w:val="17"/>
          <w:color w:val="auto"/>
        </w:rPr>
        <w:t>‑</w:t>
      </w:r>
      <w:r>
        <w:rPr>
          <w:rFonts w:ascii="Arial" w:cs="Arial" w:eastAsia="Arial" w:hAnsi="Arial"/>
          <w:sz w:val="17"/>
          <w:szCs w:val="17"/>
          <w:color w:val="auto"/>
        </w:rPr>
        <w:t>site reaction. IL</w:t>
      </w:r>
      <w:r>
        <w:rPr>
          <w:rFonts w:ascii="MS PGothic" w:cs="MS PGothic" w:eastAsia="MS PGothic" w:hAnsi="MS PGothic"/>
          <w:sz w:val="17"/>
          <w:szCs w:val="17"/>
          <w:color w:val="auto"/>
        </w:rPr>
        <w:t>‑</w:t>
      </w:r>
      <w:r>
        <w:rPr>
          <w:rFonts w:ascii="Arial" w:cs="Arial" w:eastAsia="Arial" w:hAnsi="Arial"/>
          <w:sz w:val="17"/>
          <w:szCs w:val="17"/>
          <w:color w:val="auto"/>
        </w:rPr>
        <w:t>1 blockade may interfere with immune response to or to delay symptomatology and diagnosis of infections. Serious, life</w:t>
      </w:r>
      <w:r>
        <w:rPr>
          <w:rFonts w:ascii="MS PGothic" w:cs="MS PGothic" w:eastAsia="MS PGothic" w:hAnsi="MS PGothic"/>
          <w:sz w:val="17"/>
          <w:szCs w:val="17"/>
          <w:color w:val="auto"/>
        </w:rPr>
        <w:t>‑</w:t>
      </w:r>
      <w:r>
        <w:rPr>
          <w:rFonts w:ascii="Arial" w:cs="Arial" w:eastAsia="Arial" w:hAnsi="Arial"/>
          <w:sz w:val="17"/>
          <w:szCs w:val="17"/>
          <w:color w:val="auto"/>
        </w:rPr>
        <w:t>threatening infections have been reported in patients taking rilonacept. In our open-label Phase 2 proof-of-concept clinical trial of rilonacept for recurrent pericarditis, the most common AEs were gastrointestinal disorders and injection site reactions. There was one treatment</w:t>
      </w:r>
      <w:r>
        <w:rPr>
          <w:rFonts w:ascii="MS PGothic" w:cs="MS PGothic" w:eastAsia="MS PGothic" w:hAnsi="MS PGothic"/>
          <w:sz w:val="17"/>
          <w:szCs w:val="17"/>
          <w:color w:val="auto"/>
        </w:rPr>
        <w:t>‑</w:t>
      </w:r>
      <w:r>
        <w:rPr>
          <w:rFonts w:ascii="Arial" w:cs="Arial" w:eastAsia="Arial" w:hAnsi="Arial"/>
          <w:sz w:val="17"/>
          <w:szCs w:val="17"/>
          <w:color w:val="auto"/>
        </w:rPr>
        <w:t>related serious AE which resulted in discontinuation: a skin abscess which responded to medical treatment.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mavrilimumab, there is a theoretical risk for the development of pulmonary alveolar proteinosis, or PAP. PAP is</w:t>
      </w:r>
    </w:p>
    <w:p>
      <w:pPr>
        <w:spacing w:after="0" w:line="4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 rare lung disorder in which surfactant</w:t>
      </w:r>
      <w:r>
        <w:rPr>
          <w:rFonts w:ascii="MS PGothic" w:cs="MS PGothic" w:eastAsia="MS PGothic" w:hAnsi="MS PGothic"/>
          <w:sz w:val="16"/>
          <w:szCs w:val="16"/>
          <w:color w:val="auto"/>
        </w:rPr>
        <w:t>‑</w:t>
      </w:r>
      <w:r>
        <w:rPr>
          <w:rFonts w:ascii="Arial" w:cs="Arial" w:eastAsia="Arial" w:hAnsi="Arial"/>
          <w:sz w:val="16"/>
          <w:szCs w:val="16"/>
          <w:color w:val="auto"/>
        </w:rPr>
        <w:t>derived lipoproteins accumulate excessively within pulmonary alveoli due to loss of</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262626"/>
        </w:rPr>
        <w:t xml:space="preserve">granulocyte macrophage colony stimulating factor, or </w:t>
      </w:r>
      <w:r>
        <w:rPr>
          <w:rFonts w:ascii="Arial" w:cs="Arial" w:eastAsia="Arial" w:hAnsi="Arial"/>
          <w:sz w:val="18"/>
          <w:szCs w:val="18"/>
          <w:color w:val="000000"/>
        </w:rPr>
        <w:t>GM</w:t>
      </w:r>
      <w:r>
        <w:rPr>
          <w:rFonts w:ascii="MS PGothic" w:cs="MS PGothic" w:eastAsia="MS PGothic" w:hAnsi="MS PGothic"/>
          <w:sz w:val="18"/>
          <w:szCs w:val="18"/>
          <w:color w:val="000000"/>
        </w:rPr>
        <w:t>‑</w:t>
      </w:r>
      <w:r>
        <w:rPr>
          <w:rFonts w:ascii="Arial" w:cs="Arial" w:eastAsia="Arial" w:hAnsi="Arial"/>
          <w:sz w:val="18"/>
          <w:szCs w:val="18"/>
          <w:color w:val="000000"/>
        </w:rPr>
        <w:t>CSF, function. The disease can range in severity from a</w:t>
      </w:r>
    </w:p>
    <w:p>
      <w:pPr>
        <w:spacing w:after="0" w:line="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sub</w:t>
      </w:r>
      <w:r>
        <w:rPr>
          <w:rFonts w:ascii="MS PGothic" w:cs="MS PGothic" w:eastAsia="MS PGothic" w:hAnsi="MS PGothic"/>
          <w:sz w:val="17"/>
          <w:szCs w:val="17"/>
          <w:color w:val="auto"/>
        </w:rPr>
        <w:t>‑</w:t>
      </w:r>
      <w:r>
        <w:rPr>
          <w:rFonts w:ascii="Arial" w:cs="Arial" w:eastAsia="Arial" w:hAnsi="Arial"/>
          <w:sz w:val="17"/>
          <w:szCs w:val="17"/>
          <w:color w:val="auto"/>
        </w:rPr>
        <w:t>clinical reduction in diffusion capacity to significant dyspnea during mild exertion. In preclinical studies conducted by</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MedImmune, certain effects were observed in the lungs of non</w:t>
      </w:r>
      <w:r>
        <w:rPr>
          <w:rFonts w:ascii="MS PGothic" w:cs="MS PGothic" w:eastAsia="MS PGothic" w:hAnsi="MS PGothic"/>
          <w:sz w:val="16"/>
          <w:szCs w:val="16"/>
          <w:color w:val="auto"/>
        </w:rPr>
        <w:t>‑</w:t>
      </w:r>
      <w:r>
        <w:rPr>
          <w:rFonts w:ascii="Arial" w:cs="Arial" w:eastAsia="Arial" w:hAnsi="Arial"/>
          <w:sz w:val="16"/>
          <w:szCs w:val="16"/>
          <w:color w:val="auto"/>
        </w:rPr>
        <w:t>human primates, which led the FDA to issue a clinical hold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MedImmune’s proposed clinical trial in RA. Preclinical data generated to-date suggest mavrilimumab does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reach the lungs in sufficient quantities to induce PAP at clinically relevant doses and human trials thus far have not shown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clinical effect on pulmonary function tests attributable to mavrilimumab. However, if the results of our clinical trials reveal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unacceptable severity and prevalence of these or other side effects, the FDA or applicable regulatory authority outside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United States may suspend or terminate our clinical trials, or not authorize us to initiate further trials. In addition, if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anti-GM-CSF molecules in development by third parties show these or similar side effects, it could have an impact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entire class of anti-GM-CSF molecules in development and the applicable regulatory agency may suspend or terminate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clinical trials, or not authorize us to initiate further trials. The FDA or comparable regulatory authorities outside of the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States could order us to cease further development of, or deny or withdraw any approval of, any of our product candidates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or all targeted indications.</w:t>
      </w:r>
    </w:p>
    <w:p>
      <w:pPr>
        <w:spacing w:after="0" w:line="21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262626"/>
        </w:rPr>
        <w:t>In addition, subsequent to MedImmune’s original IND submission for RA and the availability of additional clinical safety data that MedImmune generated in human clinical trials conducted outside of the United States for RA, the FDA provided feedback that the risk-benefit assessment for investigation of mavrilimumab in a clinical trial may differ depending on the patient population studied. Specifically, the FDA acknowledged that the risk-benefit assessment for initiation of a clinical trial may be considered favorable in a patient population with high morbidity and limited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62626"/>
        </w:rPr>
        <w:t>effective treatment options. Further, we anticipate that other potential indications for mavrilimumab would need to be in serious or life-threatening diseases where the burden of the disease is sufficient to justify the risk-benefit of mavrilimumab to be studied in such indications. In addition, based on FDA feedback we received in connection with its review and authorization of an IND for our global Phase 2 clinical trial of mavrilimumab in GCA, we anticipate that to help inform the risk-benefit profile for the use of mavrilimumab in GCA, we will need to demonstrate the safety and effectiveness of mavrilimumab at the 26 weeks of dosing stipulated in our Phase 2 clinical trial, and eventually demonstrate safety and effectiveness of mavrilimumab beyond 26 weeks as well as evaluate its pharmacokinetic profile and the effectiveness of mavrilimumab at different doses in GCA.</w:t>
      </w:r>
    </w:p>
    <w:p>
      <w:pPr>
        <w:spacing w:after="0" w:line="19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262626"/>
        </w:rPr>
        <w:t>In our repeated-single-dose Phase 1b clinical trial of KPL-716, there were no serious AEs. However, there were more atopic dermatitis flares in the KPL-716-treated population versus placebo (47.6% versus 4.5%) through the 12-week treatment period; all subjects who experienced a flare were successfully managed with topical corticosteroids. KPL-716 was otherwise well-tolerated by all subjects.</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Additionally, </w:t>
      </w:r>
      <w:r>
        <w:rPr>
          <w:rFonts w:ascii="Arial" w:cs="Arial" w:eastAsia="Arial" w:hAnsi="Arial"/>
          <w:sz w:val="17"/>
          <w:szCs w:val="17"/>
          <w:color w:val="262626"/>
        </w:rPr>
        <w:t>clinical trials by their nature utilize a sample of the potential patient population. With a limited</w:t>
      </w:r>
      <w:r>
        <w:rPr>
          <w:rFonts w:ascii="Arial" w:cs="Arial" w:eastAsia="Arial" w:hAnsi="Arial"/>
          <w:sz w:val="17"/>
          <w:szCs w:val="17"/>
          <w:color w:val="auto"/>
        </w:rPr>
        <w:t xml:space="preserve"> </w:t>
      </w:r>
      <w:r>
        <w:rPr>
          <w:rFonts w:ascii="Arial" w:cs="Arial" w:eastAsia="Arial" w:hAnsi="Arial"/>
          <w:sz w:val="17"/>
          <w:szCs w:val="17"/>
          <w:color w:val="262626"/>
        </w:rPr>
        <w:t xml:space="preserve">number of patients, certain rare and severe side effects associated with our product candidates may only be uncovered with a significantly larger number of patients exposed to the product candidates. If </w:t>
      </w:r>
      <w:r>
        <w:rPr>
          <w:rFonts w:ascii="Arial" w:cs="Arial" w:eastAsia="Arial" w:hAnsi="Arial"/>
          <w:sz w:val="17"/>
          <w:szCs w:val="17"/>
          <w:color w:val="000000"/>
        </w:rPr>
        <w:t>one or more of our product candidates receives</w:t>
      </w:r>
      <w:r>
        <w:rPr>
          <w:rFonts w:ascii="Arial" w:cs="Arial" w:eastAsia="Arial" w:hAnsi="Arial"/>
          <w:sz w:val="17"/>
          <w:szCs w:val="17"/>
          <w:color w:val="262626"/>
        </w:rPr>
        <w:t xml:space="preserve"> </w:t>
      </w:r>
      <w:r>
        <w:rPr>
          <w:rFonts w:ascii="Arial" w:cs="Arial" w:eastAsia="Arial" w:hAnsi="Arial"/>
          <w:sz w:val="17"/>
          <w:szCs w:val="17"/>
          <w:color w:val="000000"/>
        </w:rPr>
        <w:t>marketing approval, and we or others later identify undesirable side effects caused by the product, a number of potentially significant negative consequences could result, including but not limited to:</w:t>
      </w:r>
    </w:p>
    <w:p>
      <w:pPr>
        <w:spacing w:after="0" w:line="173" w:lineRule="exact"/>
        <w:rPr>
          <w:sz w:val="20"/>
          <w:szCs w:val="20"/>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it off the market;</w:t>
      </w:r>
    </w:p>
    <w:p>
      <w:pPr>
        <w:spacing w:after="0" w:line="225" w:lineRule="exact"/>
        <w:rPr>
          <w:rFonts w:ascii="Arial" w:cs="Arial" w:eastAsia="Arial" w:hAnsi="Arial"/>
          <w:sz w:val="18"/>
          <w:szCs w:val="18"/>
          <w:color w:val="auto"/>
        </w:rPr>
      </w:pPr>
    </w:p>
    <w:p>
      <w:pPr>
        <w:ind w:left="980" w:right="220" w:hanging="329"/>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contraindications or field alerts to physicians and pharmacies;</w:t>
      </w:r>
    </w:p>
    <w:p>
      <w:pPr>
        <w:spacing w:after="0" w:line="170" w:lineRule="exact"/>
        <w:rPr>
          <w:rFonts w:ascii="Arial" w:cs="Arial" w:eastAsia="Arial" w:hAnsi="Arial"/>
          <w:sz w:val="18"/>
          <w:szCs w:val="18"/>
          <w:color w:val="auto"/>
        </w:rPr>
      </w:pPr>
    </w:p>
    <w:p>
      <w:pPr>
        <w:ind w:left="980" w:right="140" w:hanging="329"/>
        <w:spacing w:after="0" w:line="26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required to create a registry or a REMS plan, which could include a medication guide outlining the risks of such side effects for distribution to patients, a communication plan for healthcare providers or other elements to assure safe use;</w:t>
      </w:r>
    </w:p>
    <w:p>
      <w:pPr>
        <w:spacing w:after="0" w:line="181" w:lineRule="exact"/>
        <w:rPr>
          <w:rFonts w:ascii="Arial" w:cs="Arial" w:eastAsia="Arial" w:hAnsi="Arial"/>
          <w:sz w:val="18"/>
          <w:szCs w:val="18"/>
          <w:color w:val="auto"/>
        </w:rPr>
      </w:pPr>
    </w:p>
    <w:p>
      <w:pPr>
        <w:ind w:left="980" w:right="160" w:hanging="329"/>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clinical trials or change the labeling of the product;</w:t>
      </w:r>
    </w:p>
    <w:p>
      <w:pPr>
        <w:spacing w:after="0" w:line="170" w:lineRule="exact"/>
        <w:rPr>
          <w:rFonts w:ascii="Arial" w:cs="Arial" w:eastAsia="Arial" w:hAnsi="Arial"/>
          <w:sz w:val="18"/>
          <w:szCs w:val="18"/>
          <w:color w:val="auto"/>
        </w:rPr>
      </w:pPr>
    </w:p>
    <w:p>
      <w:pPr>
        <w:ind w:left="980" w:right="700" w:hanging="329"/>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subject to limitations on how we promote the product, or sales of the product may decrease significantly;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 and could significantly harm our business, results of operations and prospects.</w:t>
      </w:r>
    </w:p>
    <w:p>
      <w:pPr>
        <w:spacing w:after="0" w:line="14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i w:val="1"/>
          <w:iCs w:val="1"/>
          <w:color w:val="auto"/>
        </w:rPr>
        <w:t>Prior to our in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license or acquisition of rilonacept, mavrilimumab, and KPL</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716, we were not involved in the development of these product candidates and, as a result, we are dependent on Regeneron, MedImmune, and Biogen having accurately reported the results and correctly collected and interpreted the data from all preclinical and clinical trials conducted prior to our in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license or acquisition.</w:t>
      </w:r>
    </w:p>
    <w:p>
      <w:pPr>
        <w:spacing w:after="0" w:line="204" w:lineRule="exact"/>
        <w:rPr>
          <w:sz w:val="20"/>
          <w:szCs w:val="20"/>
          <w:color w:val="auto"/>
        </w:rPr>
      </w:pPr>
    </w:p>
    <w:p>
      <w:pPr>
        <w:ind w:right="160" w:firstLine="648"/>
        <w:spacing w:after="0" w:line="220" w:lineRule="exact"/>
        <w:rPr>
          <w:sz w:val="20"/>
          <w:szCs w:val="20"/>
          <w:color w:val="auto"/>
        </w:rPr>
      </w:pPr>
      <w:r>
        <w:rPr>
          <w:rFonts w:ascii="Arial" w:cs="Arial" w:eastAsia="Arial" w:hAnsi="Arial"/>
          <w:sz w:val="16"/>
          <w:szCs w:val="16"/>
          <w:color w:val="auto"/>
        </w:rPr>
        <w:t>We had no involvement with or control over the preclinical and clinical development of any of our product candidates prior to our in</w:t>
      </w:r>
      <w:r>
        <w:rPr>
          <w:rFonts w:ascii="MS PGothic" w:cs="MS PGothic" w:eastAsia="MS PGothic" w:hAnsi="MS PGothic"/>
          <w:sz w:val="16"/>
          <w:szCs w:val="16"/>
          <w:color w:val="auto"/>
        </w:rPr>
        <w:t>‑</w:t>
      </w:r>
      <w:r>
        <w:rPr>
          <w:rFonts w:ascii="Arial" w:cs="Arial" w:eastAsia="Arial" w:hAnsi="Arial"/>
          <w:sz w:val="16"/>
          <w:szCs w:val="16"/>
          <w:color w:val="auto"/>
        </w:rPr>
        <w:t>license or acquisition of them. We are dependent on Regeneron, MedImmune, and Biogen having conducted their research and development in accordance with the applicable protocols and legal, regulatory and scientific standards; having accurately reported the results of all preclinical studies and clinical trials conducted prior to</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21" w:lineRule="exact"/>
        <w:rPr>
          <w:sz w:val="20"/>
          <w:szCs w:val="20"/>
          <w:color w:val="auto"/>
        </w:rPr>
      </w:pPr>
      <w:r>
        <w:rPr>
          <w:rFonts w:ascii="Arial" w:cs="Arial" w:eastAsia="Arial" w:hAnsi="Arial"/>
          <w:sz w:val="17"/>
          <w:szCs w:val="17"/>
          <w:color w:val="auto"/>
        </w:rPr>
        <w:t>our in</w:t>
      </w:r>
      <w:r>
        <w:rPr>
          <w:rFonts w:ascii="MS PGothic" w:cs="MS PGothic" w:eastAsia="MS PGothic" w:hAnsi="MS PGothic"/>
          <w:sz w:val="17"/>
          <w:szCs w:val="17"/>
          <w:color w:val="auto"/>
        </w:rPr>
        <w:t>‑</w:t>
      </w:r>
      <w:r>
        <w:rPr>
          <w:rFonts w:ascii="Arial" w:cs="Arial" w:eastAsia="Arial" w:hAnsi="Arial"/>
          <w:sz w:val="17"/>
          <w:szCs w:val="17"/>
          <w:color w:val="auto"/>
        </w:rPr>
        <w:t>license or acquisition; and having correctly collected, interpreted, and completely transferred the data from these trials or other studies to us. If these activities were not compliant, accurate or correct, the clinical development, regulatory approval, or commercialization of one or more of our product candidates will be adversely affected.</w:t>
      </w:r>
    </w:p>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If we cannot replicate positive results from earlier preclinical studies and clinical trials conducted by us or the companies from whom we have licensed or acquired, or may in the future license or acquire, our product candidates in our later clinical trials, we may be unable to successfully develop, obtain regulatory approval for and commercialize our product candidates.</w:t>
      </w:r>
    </w:p>
    <w:p>
      <w:pPr>
        <w:spacing w:after="0" w:line="187" w:lineRule="exact"/>
        <w:rPr>
          <w:sz w:val="20"/>
          <w:szCs w:val="20"/>
          <w:color w:val="auto"/>
        </w:rPr>
      </w:pPr>
    </w:p>
    <w:p>
      <w:pPr>
        <w:ind w:right="60" w:firstLine="648"/>
        <w:spacing w:after="0" w:line="217" w:lineRule="exact"/>
        <w:rPr>
          <w:sz w:val="20"/>
          <w:szCs w:val="20"/>
          <w:color w:val="auto"/>
        </w:rPr>
      </w:pPr>
      <w:r>
        <w:rPr>
          <w:rFonts w:ascii="Arial" w:cs="Arial" w:eastAsia="Arial" w:hAnsi="Arial"/>
          <w:sz w:val="16"/>
          <w:szCs w:val="16"/>
          <w:color w:val="auto"/>
        </w:rPr>
        <w:t>Positive results from our preclinical studies and any positive results we may obtain from our early clinical trials of our product candidates, or from the clinical trials conducted by the companies from whom we in</w:t>
      </w:r>
      <w:r>
        <w:rPr>
          <w:rFonts w:ascii="MS PGothic" w:cs="MS PGothic" w:eastAsia="MS PGothic" w:hAnsi="MS PGothic"/>
          <w:sz w:val="16"/>
          <w:szCs w:val="16"/>
          <w:color w:val="auto"/>
        </w:rPr>
        <w:t>‑</w:t>
      </w:r>
      <w:r>
        <w:rPr>
          <w:rFonts w:ascii="Arial" w:cs="Arial" w:eastAsia="Arial" w:hAnsi="Arial"/>
          <w:sz w:val="16"/>
          <w:szCs w:val="16"/>
          <w:color w:val="auto"/>
        </w:rPr>
        <w:t>licensed or acquired or may in the future in</w:t>
      </w:r>
      <w:r>
        <w:rPr>
          <w:rFonts w:ascii="MS PGothic" w:cs="MS PGothic" w:eastAsia="MS PGothic" w:hAnsi="MS PGothic"/>
          <w:sz w:val="16"/>
          <w:szCs w:val="16"/>
          <w:color w:val="auto"/>
        </w:rPr>
        <w:t>‑</w:t>
      </w:r>
      <w:r>
        <w:rPr>
          <w:rFonts w:ascii="Arial" w:cs="Arial" w:eastAsia="Arial" w:hAnsi="Arial"/>
          <w:sz w:val="16"/>
          <w:szCs w:val="16"/>
          <w:color w:val="auto"/>
        </w:rPr>
        <w:t>license or acquire our product candidates, may not be predictive of the results from any required later preclinical studies and clinical trials. Similarly, the positive results from the preclinical studies and clinical trials of our product candidates may not be replicated in our subsequent preclinical studies or clinical trial results. The mechanisms of action of our product candidates may not prove to be safe or effective to treat the diseases that we are studying. Further, the safety and efficacy of our product candidates have not been established for the indications in which we are developing them, and we cannot provide any assurance that their development will be successful. For example, although rilonacept is FDA approved for the treatment of CAPS, and mavrilimumab has been studied in Phase 2 clinical trials for the treatment of RA, their safety and efficacy have not been determined in the indications we are pursuing, recurrent pericarditis or GCA, respectively, and each may fail to receive regulatory approval for those indications.</w:t>
      </w:r>
    </w:p>
    <w:p>
      <w:pPr>
        <w:spacing w:after="0" w:line="207"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Many companies in the pharmaceutical and biotechnology industries have suffered significant setbacks in later</w:t>
      </w:r>
      <w:r>
        <w:rPr>
          <w:rFonts w:ascii="MS PGothic" w:cs="MS PGothic" w:eastAsia="MS PGothic" w:hAnsi="MS PGothic"/>
          <w:sz w:val="17"/>
          <w:szCs w:val="17"/>
          <w:color w:val="auto"/>
        </w:rPr>
        <w:t>‑</w:t>
      </w:r>
      <w:r>
        <w:rPr>
          <w:rFonts w:ascii="Arial" w:cs="Arial" w:eastAsia="Arial" w:hAnsi="Arial"/>
          <w:sz w:val="17"/>
          <w:szCs w:val="17"/>
          <w:color w:val="auto"/>
        </w:rPr>
        <w:t>stage clinical trials after achieving positive results in early</w:t>
      </w:r>
      <w:r>
        <w:rPr>
          <w:rFonts w:ascii="MS PGothic" w:cs="MS PGothic" w:eastAsia="MS PGothic" w:hAnsi="MS PGothic"/>
          <w:sz w:val="17"/>
          <w:szCs w:val="17"/>
          <w:color w:val="auto"/>
        </w:rPr>
        <w:t>‑</w:t>
      </w:r>
      <w:r>
        <w:rPr>
          <w:rFonts w:ascii="Arial" w:cs="Arial" w:eastAsia="Arial" w:hAnsi="Arial"/>
          <w:sz w:val="17"/>
          <w:szCs w:val="17"/>
          <w:color w:val="auto"/>
        </w:rPr>
        <w:t xml:space="preserve">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AEs previously unreported </w:t>
      </w:r>
      <w:r>
        <w:rPr>
          <w:rFonts w:ascii="Arial" w:cs="Arial" w:eastAsia="Arial" w:hAnsi="Arial"/>
          <w:sz w:val="17"/>
          <w:szCs w:val="17"/>
          <w:color w:val="262626"/>
        </w:rPr>
        <w:t>in earlier studies and trials of our product candidates and favorable safety and efficacy observed in earlier studies</w:t>
      </w:r>
      <w:r>
        <w:rPr>
          <w:rFonts w:ascii="Arial" w:cs="Arial" w:eastAsia="Arial" w:hAnsi="Arial"/>
          <w:sz w:val="17"/>
          <w:szCs w:val="17"/>
          <w:color w:val="auto"/>
        </w:rPr>
        <w:t xml:space="preserve"> </w:t>
      </w:r>
      <w:r>
        <w:rPr>
          <w:rFonts w:ascii="Arial" w:cs="Arial" w:eastAsia="Arial" w:hAnsi="Arial"/>
          <w:sz w:val="17"/>
          <w:szCs w:val="17"/>
          <w:color w:val="262626"/>
        </w:rPr>
        <w:t>and trials not replicated in later studies or trials</w:t>
      </w:r>
      <w:r>
        <w:rPr>
          <w:rFonts w:ascii="Arial" w:cs="Arial" w:eastAsia="Arial" w:hAnsi="Arial"/>
          <w:sz w:val="17"/>
          <w:szCs w:val="17"/>
          <w:color w:val="000000"/>
        </w:rPr>
        <w:t>. Moreover, preclinical and clinical data are often susceptible to varying</w:t>
      </w:r>
      <w:r>
        <w:rPr>
          <w:rFonts w:ascii="Arial" w:cs="Arial" w:eastAsia="Arial" w:hAnsi="Arial"/>
          <w:sz w:val="17"/>
          <w:szCs w:val="17"/>
          <w:color w:val="262626"/>
        </w:rPr>
        <w:t xml:space="preserve"> </w:t>
      </w:r>
      <w:r>
        <w:rPr>
          <w:rFonts w:ascii="Arial" w:cs="Arial" w:eastAsia="Arial" w:hAnsi="Arial"/>
          <w:sz w:val="17"/>
          <w:szCs w:val="17"/>
          <w:color w:val="000000"/>
        </w:rPr>
        <w:t>interpretations and analyses and many companies that believed their product candidates performed satisfactorily in preclinical studies and clinical trials nonetheless failed to obtain FDA or EMA approval. Furthermore, the approval policies or regulations of the FDA or the applicable regulatory authorities outside of the United States may significantly change in a manner rendering our clinical data insufficient for approval, which may lead to the FDA or such other regulatory authorities delaying, limiting or denying approval of our product candidates.</w:t>
      </w:r>
    </w:p>
    <w:p>
      <w:pPr>
        <w:spacing w:after="0" w:line="210" w:lineRule="exact"/>
        <w:rPr>
          <w:sz w:val="20"/>
          <w:szCs w:val="20"/>
          <w:color w:val="auto"/>
        </w:rPr>
      </w:pPr>
    </w:p>
    <w:p>
      <w:pPr>
        <w:ind w:right="320"/>
        <w:spacing w:after="0" w:line="221" w:lineRule="exact"/>
        <w:rPr>
          <w:sz w:val="20"/>
          <w:szCs w:val="20"/>
          <w:color w:val="auto"/>
        </w:rPr>
      </w:pPr>
      <w:r>
        <w:rPr>
          <w:rFonts w:ascii="Arial" w:cs="Arial" w:eastAsia="Arial" w:hAnsi="Arial"/>
          <w:sz w:val="18"/>
          <w:szCs w:val="18"/>
          <w:b w:val="1"/>
          <w:bCs w:val="1"/>
          <w:i w:val="1"/>
          <w:iCs w:val="1"/>
          <w:color w:val="auto"/>
        </w:rPr>
        <w:t>Preliminary, interim and “top</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line” data from our clinical trials that we announce or publish from time to time may change as more patient data become available and are subject to audit and verification procedures that could result in material changes in the final data.</w:t>
      </w:r>
    </w:p>
    <w:p>
      <w:pPr>
        <w:spacing w:after="0" w:line="20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6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From time to time, we may also disclose interim data from our preclinical studies and clinical trials. For example, we expect to release interim data from cohorts of the Phase 2 clinical trial of KPL-716 in diseases characterized by chronic pruritus in the first half of 2020.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business prospects. Further, disclosure of interim data by us or by our competitors could result in volatility in the price of our Class A common shares.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62626"/>
        </w:rPr>
        <w:t>Risks Related to Marketing Approval and Regulatory Matters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Regulatory approval processes are lengthy, time consuming and inherently unpredictable. If we are not able to obtain, or if there are delays in obtaining, required regulatory approvals for our product candidates or we fail or otherwise cease to advance their development, we will be delayed in commercializing or will not be able to commercialize, our product candidates and our ability to generate revenue will be materially impaired.</w:t>
      </w:r>
    </w:p>
    <w:p>
      <w:pPr>
        <w:spacing w:after="0" w:line="171"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trial design, testing, manufacture, safety, efficacy, recordkeeping, labeling, storage, approval, advertising, promotion, pricing,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or clearance to market any of our product candidates from regulatory authorities in any jurisdiction and it is possible that none of our product candidates or any product candidates we may seek to develop in the future will ever obtain regulatory approval or clearance. We have only limited experience in filing and supporting the applications necessary to gain regulatory approvals and may need to rely on third</w:t>
      </w:r>
      <w:r>
        <w:rPr>
          <w:rFonts w:ascii="MS PGothic" w:cs="MS PGothic" w:eastAsia="MS PGothic" w:hAnsi="MS PGothic"/>
          <w:sz w:val="16"/>
          <w:szCs w:val="16"/>
          <w:color w:val="auto"/>
        </w:rPr>
        <w:t>‑</w:t>
      </w:r>
      <w:r>
        <w:rPr>
          <w:rFonts w:ascii="Arial" w:cs="Arial" w:eastAsia="Arial" w:hAnsi="Arial"/>
          <w:sz w:val="16"/>
          <w:szCs w:val="16"/>
          <w:color w:val="auto"/>
        </w:rPr>
        <w:t>party CROs and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biologic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 The FDA and other regulatory authorities have substantial discretion in the approval process, and determining when or whether regulatory approval will be obtained for a product candidate. Even if we believe the data collected from clinical trials are promising, such data may not be sufficient to support approval by the FDA or any other regulatory authority. In addition to the United States, we may seek regulatory approval to commercialize our product candidates in other jurisdictions. While the scope of regulatory approval is similar in many countries, to obtain separate regulatory approval in multiple countries will require us to comply with numerous and varying regulatory requirements of each such country or jurisdiction regarding safety and efficacy and governing, among other things, clinical trials and commercial sales, pricing and distribution, and we cannot predict success in any such jurisdictions.</w:t>
      </w:r>
    </w:p>
    <w:p>
      <w:pPr>
        <w:spacing w:after="0" w:line="214"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The process of obtaining regulatory approvals, both in the United States and in other countries, is time consuming,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trials.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addition, we plan to have Regeneron transfer its BLA for rilonacept in the United States for the treatment of CAPS following positive clinical data readout, if any, from our global, pivotal Phase 3 clinical trial, RHAPSODY to enable us to file an sBLA with the FDA to seek approval for the commercial marketing of rilonacept in the United States for the treatment of recurrent pericarditis. The rights with respect to CAPS would remain with Regeneron until the date that we receive such approval from the FDA, if at all. In order for the BLA to be transferred to us, we must coordinate numerous activities with Regeneron in advance and take over certain responsibilities and obligations with respect to owning the BLA. The process to transfer a BLA is complex and resource intensive, and may be more so than we anticipate. Further, if Regeneron or we do not perform in accordance with our expectations, or we are not ready to assume the responsibilities on a timely basis, or the timing of the BLA transfer is otherwise delayed, our ability to file an sBLA with the FDA may be delayed, which could delay FDA approval or our commercialization of rilonacept, and our ability to generate revenue from rilonacept could be materially impaired.</w:t>
      </w:r>
    </w:p>
    <w:p>
      <w:pPr>
        <w:spacing w:after="0" w:line="183"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Approval by the FDA in the United States, if obtained, does not ensure approval by regulatory authorities in other countries or jurisdictions. Our product candidates could be delayed in receiving, or fail to receive, regulatory approval or we may fail or cease to advance their development for many reasons, including the following:</w:t>
      </w:r>
    </w:p>
    <w:p>
      <w:pPr>
        <w:spacing w:after="0" w:line="166" w:lineRule="exact"/>
        <w:rPr>
          <w:sz w:val="20"/>
          <w:szCs w:val="20"/>
          <w:color w:val="auto"/>
        </w:rPr>
      </w:pPr>
    </w:p>
    <w:p>
      <w:pPr>
        <w:ind w:left="980" w:right="28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regulatory authorities in other jurisdictions may disagree with the number, design or implementation of our clinical trials to support further development or approval;</w:t>
      </w:r>
    </w:p>
    <w:p>
      <w:pPr>
        <w:spacing w:after="0" w:line="170" w:lineRule="exact"/>
        <w:rPr>
          <w:rFonts w:ascii="Arial" w:cs="Arial" w:eastAsia="Arial" w:hAnsi="Arial"/>
          <w:sz w:val="18"/>
          <w:szCs w:val="18"/>
          <w:color w:val="auto"/>
        </w:rPr>
      </w:pPr>
    </w:p>
    <w:p>
      <w:pPr>
        <w:ind w:left="980" w:right="220" w:hanging="329"/>
        <w:spacing w:after="0" w:line="308"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or comparable regulatory authorities in other jurisdictions that a product candidate is safe and effective for its proposed indication;</w:t>
      </w:r>
    </w:p>
    <w:p>
      <w:pPr>
        <w:spacing w:after="0" w:line="146" w:lineRule="exact"/>
        <w:rPr>
          <w:rFonts w:ascii="Arial" w:cs="Arial" w:eastAsia="Arial" w:hAnsi="Arial"/>
          <w:sz w:val="17"/>
          <w:szCs w:val="17"/>
          <w:color w:val="auto"/>
        </w:rPr>
      </w:pPr>
    </w:p>
    <w:p>
      <w:pPr>
        <w:ind w:left="980" w:right="40" w:hanging="329"/>
        <w:spacing w:after="0" w:line="26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clinical trials may produce negative, inconclusive or uncompetitive results, which may result in us deciding, or regulators requiring us, to conduct additional clinical trials or to modify or cease development programs for our product candidates;</w:t>
      </w:r>
    </w:p>
    <w:p>
      <w:pPr>
        <w:spacing w:after="0" w:line="181" w:lineRule="exact"/>
        <w:rPr>
          <w:rFonts w:ascii="Arial" w:cs="Arial" w:eastAsia="Arial" w:hAnsi="Arial"/>
          <w:sz w:val="18"/>
          <w:szCs w:val="18"/>
          <w:color w:val="auto"/>
        </w:rPr>
      </w:pPr>
    </w:p>
    <w:p>
      <w:pPr>
        <w:ind w:left="980" w:right="20" w:hanging="329"/>
        <w:spacing w:after="0" w:line="342"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results of clinical trials may not meet the primary or secondary endpoints of the applicable study or the level of statistical significance required by the FDA or comparable regulatory authorities in other jurisdictions;</w:t>
      </w:r>
    </w:p>
    <w:p>
      <w:pPr>
        <w:spacing w:after="0" w:line="123" w:lineRule="exact"/>
        <w:rPr>
          <w:rFonts w:ascii="Arial" w:cs="Arial" w:eastAsia="Arial" w:hAnsi="Arial"/>
          <w:sz w:val="16"/>
          <w:szCs w:val="16"/>
          <w:color w:val="auto"/>
        </w:rPr>
      </w:pPr>
    </w:p>
    <w:p>
      <w:pPr>
        <w:ind w:left="980" w:hanging="329"/>
        <w:spacing w:after="0"/>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be unable to demonstrate that a product candidate’s clinical and other benefits outweigh its safety risks;</w:t>
      </w:r>
    </w:p>
    <w:p>
      <w:pPr>
        <w:spacing w:after="0" w:line="248" w:lineRule="exact"/>
        <w:rPr>
          <w:rFonts w:ascii="Arial" w:cs="Arial" w:eastAsia="Arial" w:hAnsi="Arial"/>
          <w:sz w:val="16"/>
          <w:szCs w:val="16"/>
          <w:color w:val="auto"/>
        </w:rPr>
      </w:pPr>
    </w:p>
    <w:p>
      <w:pPr>
        <w:ind w:left="980" w:right="6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regulatory authorities in other jurisdictions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980" w:right="520" w:hanging="329"/>
        <w:spacing w:after="0" w:line="26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regulatory authorities in other jurisdictions may disagree that we have provided sufficient safety data or adequately demonstrated clinical benefit in a patient population or subpopulation studied in the clinical trial;</w:t>
      </w:r>
    </w:p>
    <w:p>
      <w:pPr>
        <w:spacing w:after="0" w:line="181" w:lineRule="exact"/>
        <w:rPr>
          <w:rFonts w:ascii="Arial" w:cs="Arial" w:eastAsia="Arial" w:hAnsi="Arial"/>
          <w:sz w:val="18"/>
          <w:szCs w:val="18"/>
          <w:color w:val="auto"/>
        </w:rPr>
      </w:pPr>
    </w:p>
    <w:p>
      <w:pPr>
        <w:ind w:left="980" w:right="120" w:hanging="329"/>
        <w:spacing w:after="0" w:line="342"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BLA or other submission or to obtain regulatory approval in the United States or elsewhere;</w:t>
      </w:r>
    </w:p>
    <w:p>
      <w:pPr>
        <w:spacing w:after="0" w:line="123" w:lineRule="exact"/>
        <w:rPr>
          <w:rFonts w:ascii="Arial" w:cs="Arial" w:eastAsia="Arial" w:hAnsi="Arial"/>
          <w:sz w:val="16"/>
          <w:szCs w:val="16"/>
          <w:color w:val="auto"/>
        </w:rPr>
      </w:pPr>
    </w:p>
    <w:p>
      <w:pPr>
        <w:ind w:left="980" w:hanging="329"/>
        <w:spacing w:after="0" w:line="273"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FDA or comparable regulatory authorities in other jurisdictions could require us to collect additional data or conduct additional clinical studies, for example, based on FDA feedback, we anticipate that to help inform the risk-benefit profile for the use of mavrilimumab in GCA, we will need to demonstrate the effectiveness and safety of mavrilimumab at the 26 weeks of dosing stipulated in our global Phase 2 clinical trial, and eventually demonstrate effectiveness and safety of mavrilimumab beyond 26 weeks as well as evaluate its pharmacokinetic profile and the effectiveness of mavrilimumab at different doses;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40" w:hanging="329"/>
        <w:spacing w:after="0" w:line="342"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FDA or comparable regulatory authorities in other jurisdictions could require us to conduct additional clinical studies to compare our product candidates to other therapies for the treatment of the same indication;</w:t>
      </w:r>
    </w:p>
    <w:p>
      <w:pPr>
        <w:spacing w:after="0" w:line="123" w:lineRule="exact"/>
        <w:rPr>
          <w:rFonts w:ascii="Arial" w:cs="Arial" w:eastAsia="Arial" w:hAnsi="Arial"/>
          <w:sz w:val="16"/>
          <w:szCs w:val="16"/>
          <w:color w:val="auto"/>
        </w:rPr>
      </w:pPr>
    </w:p>
    <w:p>
      <w:pPr>
        <w:ind w:left="980" w:right="160" w:hanging="329"/>
        <w:spacing w:after="0" w:line="312"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we may fail to recruit suitable patients to participate in a trial;</w:t>
      </w:r>
    </w:p>
    <w:p>
      <w:pPr>
        <w:spacing w:after="0" w:line="146" w:lineRule="exact"/>
        <w:rPr>
          <w:rFonts w:ascii="Arial" w:cs="Arial" w:eastAsia="Arial" w:hAnsi="Arial"/>
          <w:sz w:val="16"/>
          <w:szCs w:val="16"/>
          <w:color w:val="auto"/>
        </w:rPr>
      </w:pPr>
    </w:p>
    <w:p>
      <w:pPr>
        <w:ind w:left="980" w:right="840" w:hanging="329"/>
        <w:spacing w:after="0" w:line="223" w:lineRule="exact"/>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contractors may fail to comply with regulatory requirements or meet their contractual obligations to us in a timely manner, or at all;</w:t>
      </w:r>
    </w:p>
    <w:p>
      <w:pPr>
        <w:spacing w:after="0" w:line="203" w:lineRule="exact"/>
        <w:rPr>
          <w:rFonts w:ascii="Arial" w:cs="Arial" w:eastAsia="Arial" w:hAnsi="Arial"/>
          <w:sz w:val="18"/>
          <w:szCs w:val="18"/>
          <w:color w:val="auto"/>
        </w:rPr>
      </w:pPr>
    </w:p>
    <w:p>
      <w:pPr>
        <w:ind w:left="980" w:right="60" w:hanging="329"/>
        <w:spacing w:after="0" w:line="220" w:lineRule="exact"/>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FDA or comparable regulatory authorities in other jurisdictions may not believe that we have sufficiently demonstrated our ability to manufacture the products to the requisite level of quality standards, or they may fail to approve our manufacturing processes or facilities, or the manufacturing processes or facilities of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with which we contract for clinical and commercial supplies;</w:t>
      </w:r>
    </w:p>
    <w:p>
      <w:pPr>
        <w:spacing w:after="0" w:line="204" w:lineRule="exact"/>
        <w:rPr>
          <w:rFonts w:ascii="Arial" w:cs="Arial" w:eastAsia="Arial" w:hAnsi="Arial"/>
          <w:sz w:val="17"/>
          <w:szCs w:val="17"/>
          <w:color w:val="auto"/>
        </w:rPr>
      </w:pPr>
    </w:p>
    <w:p>
      <w:pPr>
        <w:ind w:left="980" w:right="400" w:hanging="329"/>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70" w:lineRule="exact"/>
        <w:rPr>
          <w:rFonts w:ascii="Arial" w:cs="Arial" w:eastAsia="Arial" w:hAnsi="Arial"/>
          <w:sz w:val="18"/>
          <w:szCs w:val="18"/>
          <w:color w:val="auto"/>
        </w:rPr>
      </w:pPr>
    </w:p>
    <w:p>
      <w:pPr>
        <w:ind w:left="980" w:right="40" w:hanging="329"/>
        <w:spacing w:after="0" w:line="308" w:lineRule="auto"/>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product candidates may have undesirable side effects, toxicities or other unexpected characteristics, causing us or our investigators, regulators or IRBs to reject, suspend or terminate the clinical trials; and</w:t>
      </w:r>
    </w:p>
    <w:p>
      <w:pPr>
        <w:spacing w:after="0" w:line="146" w:lineRule="exact"/>
        <w:rPr>
          <w:rFonts w:ascii="Arial" w:cs="Arial" w:eastAsia="Arial" w:hAnsi="Arial"/>
          <w:sz w:val="17"/>
          <w:szCs w:val="17"/>
          <w:color w:val="auto"/>
        </w:rPr>
      </w:pPr>
    </w:p>
    <w:p>
      <w:pPr>
        <w:ind w:left="980" w:right="120" w:hanging="329"/>
        <w:spacing w:after="0" w:line="264"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regulatory authorities in other jurisdictions may significantly change in a manner rendering our clinical data</w:t>
      </w:r>
      <w:r>
        <w:rPr>
          <w:rFonts w:ascii="Arial" w:cs="Arial" w:eastAsia="Arial" w:hAnsi="Arial"/>
          <w:sz w:val="18"/>
          <w:szCs w:val="18"/>
          <w:color w:val="262626"/>
        </w:rPr>
        <w:t>, biologic manufacturing process, and other</w:t>
      </w:r>
      <w:r>
        <w:rPr>
          <w:rFonts w:ascii="Arial" w:cs="Arial" w:eastAsia="Arial" w:hAnsi="Arial"/>
          <w:sz w:val="18"/>
          <w:szCs w:val="18"/>
          <w:color w:val="auto"/>
        </w:rPr>
        <w:t xml:space="preserve"> </w:t>
      </w:r>
      <w:r>
        <w:rPr>
          <w:rFonts w:ascii="Arial" w:cs="Arial" w:eastAsia="Arial" w:hAnsi="Arial"/>
          <w:sz w:val="18"/>
          <w:szCs w:val="18"/>
          <w:color w:val="262626"/>
        </w:rPr>
        <w:t xml:space="preserve">supporting information </w:t>
      </w:r>
      <w:r>
        <w:rPr>
          <w:rFonts w:ascii="Arial" w:cs="Arial" w:eastAsia="Arial" w:hAnsi="Arial"/>
          <w:sz w:val="18"/>
          <w:szCs w:val="18"/>
          <w:color w:val="000000"/>
        </w:rPr>
        <w:t>insufficient for approval.</w:t>
      </w:r>
    </w:p>
    <w:p>
      <w:pPr>
        <w:spacing w:after="0" w:line="181"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In addition, even if we were to obtain approval for one or more of our product candidates, regulatory authorities may approve any of our product candidates for fewer or more limited indications than we request. For example, in connection with our KPL</w:t>
      </w:r>
      <w:r>
        <w:rPr>
          <w:rFonts w:ascii="MS PGothic" w:cs="MS PGothic" w:eastAsia="MS PGothic" w:hAnsi="MS PGothic"/>
          <w:sz w:val="18"/>
          <w:szCs w:val="18"/>
          <w:color w:val="auto"/>
        </w:rPr>
        <w:t>‑</w:t>
      </w:r>
      <w:r>
        <w:rPr>
          <w:rFonts w:ascii="Arial" w:cs="Arial" w:eastAsia="Arial" w:hAnsi="Arial"/>
          <w:sz w:val="18"/>
          <w:szCs w:val="18"/>
          <w:color w:val="auto"/>
        </w:rPr>
        <w:t>716 program, regulatory authorities may recognize a narrower patient population as having prurigo nodularis or define the disease differently than we do. Furthermore, regulatory authorities may not approve the price we intend to charge,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may impose certain post</w:t>
      </w:r>
      <w:r>
        <w:rPr>
          <w:rFonts w:ascii="MS PGothic" w:cs="MS PGothic" w:eastAsia="MS PGothic" w:hAnsi="MS PGothic"/>
          <w:sz w:val="18"/>
          <w:szCs w:val="18"/>
          <w:color w:val="auto"/>
        </w:rPr>
        <w:t>‑</w:t>
      </w:r>
      <w:r>
        <w:rPr>
          <w:rFonts w:ascii="Arial" w:cs="Arial" w:eastAsia="Arial" w:hAnsi="Arial"/>
          <w:sz w:val="18"/>
          <w:szCs w:val="18"/>
          <w:color w:val="auto"/>
        </w:rPr>
        <w:t>marketing requirements that impose limits on our marketing and distribution activities,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0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If we experience delays in obtaining approval or if we fail to obtain approval of or to advance our product candidates, the commercial prospects for our product candidates may be harmed and our ability to generate revenue will be materially impaired.</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current product candidates and any of our future product candidates regulated as biologics in the United States may face biosimilar competition sooner than anticipated.</w:t>
      </w:r>
    </w:p>
    <w:p>
      <w:pPr>
        <w:spacing w:after="0" w:line="170"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In the United States, the Biologics Price Competition and Innovation Act of 2009, or BPCIA, created an abbreviated approval pathway for biological products that are biosimilar to or interchangeable with an FDA</w:t>
      </w:r>
      <w:r>
        <w:rPr>
          <w:rFonts w:ascii="MS PGothic" w:cs="MS PGothic" w:eastAsia="MS PGothic" w:hAnsi="MS PGothic"/>
          <w:sz w:val="17"/>
          <w:szCs w:val="17"/>
          <w:color w:val="auto"/>
        </w:rPr>
        <w:t>‑</w:t>
      </w:r>
      <w:r>
        <w:rPr>
          <w:rFonts w:ascii="Arial" w:cs="Arial" w:eastAsia="Arial" w:hAnsi="Arial"/>
          <w:sz w:val="17"/>
          <w:szCs w:val="17"/>
          <w:color w:val="auto"/>
        </w:rPr>
        <w:t>licensed reference biological product. Under the BPCIA, an application for a biosimilar product may not be submitted to the FDA until four years following the date that the reference product was first approved under a BLA by the FDA. In addition, the approval of a biosimilar product may not be made effective by the FDA until 12 years from the date on which the reference product was first licensed. During this 12</w:t>
      </w:r>
      <w:r>
        <w:rPr>
          <w:rFonts w:ascii="MS PGothic" w:cs="MS PGothic" w:eastAsia="MS PGothic" w:hAnsi="MS PGothic"/>
          <w:sz w:val="17"/>
          <w:szCs w:val="17"/>
          <w:color w:val="auto"/>
        </w:rPr>
        <w:t>‑</w:t>
      </w:r>
      <w:r>
        <w:rPr>
          <w:rFonts w:ascii="Arial" w:cs="Arial" w:eastAsia="Arial" w:hAnsi="Arial"/>
          <w:sz w:val="17"/>
          <w:szCs w:val="17"/>
          <w:color w:val="auto"/>
        </w:rPr>
        <w:t xml:space="preserve">year period of exclusivity, another company may still market a competing version of the reference product </w:t>
      </w:r>
      <w:r>
        <w:rPr>
          <w:rFonts w:ascii="Arial" w:cs="Arial" w:eastAsia="Arial" w:hAnsi="Arial"/>
          <w:sz w:val="17"/>
          <w:szCs w:val="17"/>
          <w:color w:val="262626"/>
        </w:rPr>
        <w:t>for the same therapeutic indication</w:t>
      </w:r>
      <w:r>
        <w:rPr>
          <w:rFonts w:ascii="Arial" w:cs="Arial" w:eastAsia="Arial" w:hAnsi="Arial"/>
          <w:sz w:val="17"/>
          <w:szCs w:val="17"/>
          <w:color w:val="auto"/>
        </w:rPr>
        <w:t xml:space="preserve"> if the FDA approves a full BLA for the competing product containing the sponsor’s own preclinical data and data from adequate and well</w:t>
      </w:r>
      <w:r>
        <w:rPr>
          <w:rFonts w:ascii="MS PGothic" w:cs="MS PGothic" w:eastAsia="MS PGothic" w:hAnsi="MS PGothic"/>
          <w:sz w:val="17"/>
          <w:szCs w:val="17"/>
          <w:color w:val="auto"/>
        </w:rPr>
        <w:t>‑</w:t>
      </w:r>
      <w:r>
        <w:rPr>
          <w:rFonts w:ascii="Arial" w:cs="Arial" w:eastAsia="Arial" w:hAnsi="Arial"/>
          <w:sz w:val="17"/>
          <w:szCs w:val="17"/>
          <w:color w:val="auto"/>
        </w:rPr>
        <w:t>controlled clinical trials to demonstrate the safety, purity and potency of their product. The law is complex and is still being interpreted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implemented by the FDA. As a result, its ultimate impact, implementation and meaning are subject to uncertainty. While it is uncertain when processes intended to implement the BPCIA may be fully adopted by the FDA, any such processes could have a material adverse effect on the future commercial prospects of our product candidates.</w:t>
      </w:r>
    </w:p>
    <w:p>
      <w:pPr>
        <w:spacing w:after="0" w:line="166"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For example, rilonacept was approved as a biological product under a BLA for the treatment of CAPS in 2008, and we believe it should qualify for the 12</w:t>
      </w:r>
      <w:r>
        <w:rPr>
          <w:rFonts w:ascii="MS PGothic" w:cs="MS PGothic" w:eastAsia="MS PGothic" w:hAnsi="MS PGothic"/>
          <w:sz w:val="17"/>
          <w:szCs w:val="17"/>
          <w:color w:val="auto"/>
        </w:rPr>
        <w:t>‑</w:t>
      </w:r>
      <w:r>
        <w:rPr>
          <w:rFonts w:ascii="Arial" w:cs="Arial" w:eastAsia="Arial" w:hAnsi="Arial"/>
          <w:sz w:val="17"/>
          <w:szCs w:val="17"/>
          <w:color w:val="auto"/>
        </w:rPr>
        <w:t>year period of exclusivity against any biosimilars. However, there is a risk that this exclusivity could be shortened due to Congressional action or otherwise, or that the FDA will not consider rilonacept, or any of our other product candidates, to be reference products for competing products, potentially creating the opportunity for generic competition sooner than anticipated. In addition, if our clinical trials are successful, we plan to submit a supplemental BLA for rilonacept for the treatment of recurrent pericarditis, and the 12</w:t>
      </w:r>
      <w:r>
        <w:rPr>
          <w:rFonts w:ascii="MS PGothic" w:cs="MS PGothic" w:eastAsia="MS PGothic" w:hAnsi="MS PGothic"/>
          <w:sz w:val="17"/>
          <w:szCs w:val="17"/>
          <w:color w:val="auto"/>
        </w:rPr>
        <w:t>‑</w:t>
      </w:r>
      <w:r>
        <w:rPr>
          <w:rFonts w:ascii="Arial" w:cs="Arial" w:eastAsia="Arial" w:hAnsi="Arial"/>
          <w:sz w:val="17"/>
          <w:szCs w:val="17"/>
          <w:color w:val="auto"/>
        </w:rPr>
        <w:t xml:space="preserve">year exclusivity period does not attach to the approval of a supplemental BLA, </w:t>
      </w:r>
      <w:r>
        <w:rPr>
          <w:rFonts w:ascii="Arial" w:cs="Arial" w:eastAsia="Arial" w:hAnsi="Arial"/>
          <w:sz w:val="17"/>
          <w:szCs w:val="17"/>
          <w:color w:val="262626"/>
        </w:rPr>
        <w:t>potentially creating the opportunity for biosimilar competition</w:t>
      </w:r>
      <w:r>
        <w:rPr>
          <w:rFonts w:ascii="Arial" w:cs="Arial" w:eastAsia="Arial" w:hAnsi="Arial"/>
          <w:sz w:val="17"/>
          <w:szCs w:val="17"/>
          <w:color w:val="auto"/>
        </w:rPr>
        <w:t>.</w:t>
      </w:r>
    </w:p>
    <w:p>
      <w:pPr>
        <w:spacing w:after="0" w:line="206" w:lineRule="exact"/>
        <w:rPr>
          <w:sz w:val="20"/>
          <w:szCs w:val="20"/>
          <w:color w:val="auto"/>
        </w:rPr>
      </w:pPr>
    </w:p>
    <w:p>
      <w:pPr>
        <w:ind w:right="60" w:firstLine="648"/>
        <w:spacing w:after="0" w:line="220" w:lineRule="exact"/>
        <w:rPr>
          <w:sz w:val="20"/>
          <w:szCs w:val="20"/>
          <w:color w:val="auto"/>
        </w:rPr>
      </w:pPr>
      <w:r>
        <w:rPr>
          <w:rFonts w:ascii="Arial" w:cs="Arial" w:eastAsia="Arial" w:hAnsi="Arial"/>
          <w:sz w:val="17"/>
          <w:szCs w:val="17"/>
          <w:color w:val="auto"/>
        </w:rPr>
        <w:t>Other aspects of the BPCIA, some of which may impact the BPCIA exclusivity provisions, have also been the subject of recent litigation. Moreover, the extent to which a biosimilar, once approved, will be substituted for a reference product in a way that is similar to traditional generic substitution for non</w:t>
      </w:r>
      <w:r>
        <w:rPr>
          <w:rFonts w:ascii="MS PGothic" w:cs="MS PGothic" w:eastAsia="MS PGothic" w:hAnsi="MS PGothic"/>
          <w:sz w:val="17"/>
          <w:szCs w:val="17"/>
          <w:color w:val="auto"/>
        </w:rPr>
        <w:t>‑</w:t>
      </w:r>
      <w:r>
        <w:rPr>
          <w:rFonts w:ascii="Arial" w:cs="Arial" w:eastAsia="Arial" w:hAnsi="Arial"/>
          <w:sz w:val="17"/>
          <w:szCs w:val="17"/>
          <w:color w:val="auto"/>
        </w:rPr>
        <w:t>biological products is not yet clear, and will depend on a number of marketplace and regulatory factors that are still developing.</w:t>
      </w:r>
    </w:p>
    <w:p>
      <w:pPr>
        <w:spacing w:after="0" w:line="20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b w:val="1"/>
          <w:bCs w:val="1"/>
          <w:i w:val="1"/>
          <w:iCs w:val="1"/>
          <w:color w:val="auto"/>
        </w:rPr>
        <w:t>Even if we obtain marketing approval of our product candidates in a major pharmaceutical market such as the United States or the EU, we may not seek or obtain approval or commercialize our product candidates in other markets, which would limit our ability to realize their full market potential.</w:t>
      </w:r>
    </w:p>
    <w:p>
      <w:pPr>
        <w:spacing w:after="0" w:line="18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order to market any products in a country or territory, we must establish and comply with numerous and varying regulatory requirements of such country or territory regarding safety and efficacy. Regulatory requirements can vary widely from country to country, and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and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w:t>
      </w:r>
    </w:p>
    <w:p>
      <w:pPr>
        <w:spacing w:after="0" w:line="16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 for any product candidate for which we obtain orphan drug designation.</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part of our business strategy, we may seek orphan drug designation for certain of our product candidates, and ultimately we may be unsuccessful or unable to maintain the associated benefits. Regulatory authorities in some jurisdictions, including the United States and Europe, may designate drugs or biologics intended to treat relatively small patient populations as orphan drug products. Under the U.S. Orphan Drug Act, the FDA may designate a drug or biologic as an orphan drug if it is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the EU, the European Commission grants orphan drug designation after receiving the opinion of the EMA’s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Committee for Orphan Medicinal Products on an Orphan Drug Designation application. In the EU, orphan drug designation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 intended to promote the development of drugs that are intended for the diagnosis, prevention or treatment of</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life</w:t>
      </w:r>
      <w:r>
        <w:rPr>
          <w:rFonts w:ascii="MS PGothic" w:cs="MS PGothic" w:eastAsia="MS PGothic" w:hAnsi="MS PGothic"/>
          <w:sz w:val="16"/>
          <w:szCs w:val="16"/>
          <w:color w:val="auto"/>
        </w:rPr>
        <w:t>‑</w:t>
      </w:r>
      <w:r>
        <w:rPr>
          <w:rFonts w:ascii="Arial" w:cs="Arial" w:eastAsia="Arial" w:hAnsi="Arial"/>
          <w:sz w:val="16"/>
          <w:szCs w:val="16"/>
          <w:color w:val="auto"/>
        </w:rPr>
        <w:t>threatening or chronically debilitating conditions affecting not more than five in 10,000 persons in the EU and for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 satisfactory method of diagnosis, prevention, or treatment has been authorized (or the product would be a significant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benefit to those affected). Additionally, orphan drug designation is granted for drugs intended for the diagnosis, prevention or</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treatment of a life</w:t>
      </w:r>
      <w:r>
        <w:rPr>
          <w:rFonts w:ascii="MS PGothic" w:cs="MS PGothic" w:eastAsia="MS PGothic" w:hAnsi="MS PGothic"/>
          <w:sz w:val="18"/>
          <w:szCs w:val="18"/>
          <w:color w:val="auto"/>
        </w:rPr>
        <w:t>‑</w:t>
      </w:r>
      <w:r>
        <w:rPr>
          <w:rFonts w:ascii="Arial" w:cs="Arial" w:eastAsia="Arial" w:hAnsi="Arial"/>
          <w:sz w:val="18"/>
          <w:szCs w:val="18"/>
          <w:color w:val="auto"/>
        </w:rPr>
        <w:t>threatening, seriously debilitating or serious and chronic condition when,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without incentives, it is unlikely that sales of the drug in the EU would be sufficient to justify the necessary investment in developing the drug. In the EU, orphan drug designation entitles a party to financial incentives such as reduction of fees or fee waivers, as well as potential marketing exclusivity.</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addition, if a drug or biologic with an orphan drug designation subsequently receives the first marketing approval for the indication for which it has such designation, the drug or biologic is entitled to a period of marketing exclusivity, which precludes the FDA from approving another marketing application for the same drug and indication for that time period, except in limited circumstances. If our competitors are able to obtain orphan drug exclusivity prior to us, for products that constitute the “same drug” and treat the same indications as our product candidates, we may not be able to have competing products approved by the applicable regulatory authority for a significant period of time. The applicable period is seven years in the United States and ten years in the EU. The EU exclusivity period can be reduced to six years if a drug no longer meets the criteria for orphan drug designation or if the drug is sufficiently profitable so that market exclusivity is no longer justified.</w:t>
      </w:r>
    </w:p>
    <w:p>
      <w:pPr>
        <w:spacing w:after="0" w:line="166"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Even if we obtain orphan drug exclusivity for any of our product candidates, that exclusivity may not effectively protect those product candidates from competition because different drugs can be approved for the same condition, and orphan drug exclusivity does not prevent the FDA from approving the same or a different drug in another indication. Even after an orphan drug is approved, the FDA can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w:t>
      </w:r>
      <w:r>
        <w:rPr>
          <w:rFonts w:ascii="MS PGothic" w:cs="MS PGothic" w:eastAsia="MS PGothic" w:hAnsi="MS PGothic"/>
          <w:sz w:val="16"/>
          <w:szCs w:val="16"/>
          <w:color w:val="auto"/>
        </w:rPr>
        <w:t>‑</w:t>
      </w:r>
      <w:r>
        <w:rPr>
          <w:rFonts w:ascii="Arial" w:cs="Arial" w:eastAsia="Arial" w:hAnsi="Arial"/>
          <w:sz w:val="16"/>
          <w:szCs w:val="16"/>
          <w:color w:val="auto"/>
        </w:rPr>
        <w:t>drug</w:t>
      </w:r>
      <w:r>
        <w:rPr>
          <w:rFonts w:ascii="MS PGothic" w:cs="MS PGothic" w:eastAsia="MS PGothic" w:hAnsi="MS PGothic"/>
          <w:sz w:val="16"/>
          <w:szCs w:val="16"/>
          <w:color w:val="auto"/>
        </w:rPr>
        <w:t>‑</w:t>
      </w:r>
      <w:r>
        <w:rPr>
          <w:rFonts w:ascii="Arial" w:cs="Arial" w:eastAsia="Arial" w:hAnsi="Arial"/>
          <w:sz w:val="16"/>
          <w:szCs w:val="16"/>
          <w:color w:val="auto"/>
        </w:rPr>
        <w:t>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 While we may pursue orphan drug designation for certain of our product candidates, we may never receive such designation. Even if we do receive such designation, there is no guarantee that we will enjoy the benefits of such designation.</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may seek Breakthrough Therapy designation or Fast Track designation by the FDA for one or more of our product candidates, but we may not receive such designation. Such designation may not lead to a faster development or regulatory review or approval process and does not increase the likelihood that our product candidates will receive marketing approval.</w:t>
      </w:r>
    </w:p>
    <w:p>
      <w:pPr>
        <w:spacing w:after="0" w:line="187"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In the third quarter of 2019, we received Breakthrough Therapy designation for rilonacept for the treatment of for recurrent pericarditis and we may seek Breakthrough Therapy or Fast Track designation for some of our other product candidates. A Breakthrough Therapy is defined as a drug that is intended, alone or in combination with one or more other drugs or biologics,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In addition, if a product candidate is intended for the treatment of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condition and clinical or preclinical data demonstrate the potential to address unmet medical needs for this condition, the sponsor may apply for Fast Track designation.</w:t>
      </w:r>
    </w:p>
    <w:p>
      <w:pPr>
        <w:spacing w:after="0" w:line="203"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The FDA has broad discretion whether or not to grant Fast Track and Breakthrough Therapy designations, and even if we believe a particular product candidate is eligible for this designation, we cannot be certain that the FDA would decide to grant it. Even if we obtain such designations for one or more of our product candidates, we may not experience a faster development process, review or approval compared to non</w:t>
      </w:r>
      <w:r>
        <w:rPr>
          <w:rFonts w:ascii="MS PGothic" w:cs="MS PGothic" w:eastAsia="MS PGothic" w:hAnsi="MS PGothic"/>
          <w:sz w:val="18"/>
          <w:szCs w:val="18"/>
          <w:color w:val="auto"/>
        </w:rPr>
        <w:t>‑</w:t>
      </w:r>
      <w:r>
        <w:rPr>
          <w:rFonts w:ascii="Arial" w:cs="Arial" w:eastAsia="Arial" w:hAnsi="Arial"/>
          <w:sz w:val="18"/>
          <w:szCs w:val="18"/>
          <w:color w:val="auto"/>
        </w:rPr>
        <w:t>expedited FDA review procedures. In addition, the FDA may withdraw Fast Track or Breakthrough Therapy designations if it believes that such designations are no longer supported. Although products receiving Fast Track and Breakthrough Therapy designation are generally eligible for the FDA’s priority review procedures, receiving such designations does not guarantee that the BLA for such products will receive priority review.</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Whether to grant Breakthrough Therapy or Fast Track designation is within the discretion of the FDA. Accordingly, even if we believe one of our product candidates meets the criteria for these designations, the FDA may disagree and instead determine not to make such designation. In any event, the receipt of either of these designations for a product candidate may not result in a faster development process, review or approval compared to product candidates considered for approval under non</w:t>
      </w:r>
      <w:r>
        <w:rPr>
          <w:rFonts w:ascii="MS PGothic" w:cs="MS PGothic" w:eastAsia="MS PGothic" w:hAnsi="MS PGothic"/>
          <w:sz w:val="17"/>
          <w:szCs w:val="17"/>
          <w:color w:val="auto"/>
        </w:rPr>
        <w:t>‑</w:t>
      </w:r>
      <w:r>
        <w:rPr>
          <w:rFonts w:ascii="Arial" w:cs="Arial" w:eastAsia="Arial" w:hAnsi="Arial"/>
          <w:sz w:val="17"/>
          <w:szCs w:val="17"/>
          <w:color w:val="auto"/>
        </w:rPr>
        <w:t>expedited FDA review procedures and does not assure ultimate approval by the FDA. In addition, even if one or more of our product candidates qualify for either of these designations, the FDA may later decide that the product candidate no longer meets the conditions for qualification.</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have never completed a pivotal clinical trial or obtained marketing approval for any product candidate, and we may be unable to successfully do so for any of our product candidates. Failure to successfully complete any of these activities in a timely manner for any of our product candidates could have a material adverse impact on our business and financial performance.</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Conducting pivotal clinical trials and preparing, and obtaining marketing approval for, a product candidate is a complicated process. Although members of our management team have participated in pivotal trials and obtained marketing approvals for product candidates in the past while employed at other companies, we as a company have not done so. As a result, such activities may require more time and cost more than we anticipate. Failure to successfully complete, or delays in, our global, pivotal Phase 3 clinical trial in rilonacept or any of our eventual other pivotal trials or related regulatory submissions would prevent us from, or delay us in, obtaining regulatory approval for, or clearance of, our product candidates. In addition, it is possible that the FDA or other government agencies may refuse to accept for substantive review any regulatory submissions that we submit for our product candidates or may conclude after review of our applications that they are insufficient to obtain marketing approval or clearance of our product candidates. If the FDA or other government agencies do not accept our applications or issue marketing authorizations for our product candidates, they may require that we conduct additional clinical, preclinical or manufacturing validation trials and submit that data before they will reconsider our applications. Depending on the extent of these or any other required trials, approval or receipt of any marketing authorization may be delayed by several years or may require us to expend more resources than we have available. It is also possible that additional trials, if performed and completed, may not be considered sufficient by the FDA or other government agencies to approve or grant marketing authorizations. Any delay in obtaining, or an inability to obtain, marketing approvals would delay or prevent us from commercializing our product candidates, generating revenues and achieving and sustaining profitability. If any of these outcomes occur, we may be forced to modify or cease our development efforts for our product candidates, which could significantly harm our business.</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81"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ability of the FDA or other government agencies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Disruptions at the FDA and other government agencies may also slow the time necessary for new drugs to be reviewed 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Manufacturing and Our Reliance on Third Parties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b w:val="1"/>
          <w:bCs w:val="1"/>
          <w:i w:val="1"/>
          <w:iCs w:val="1"/>
          <w:color w:val="auto"/>
        </w:rPr>
        <w:t>We contract with third parties for manufacturing our product candidates and for certain research and other preclinical and clinical development and expect to continue to do so for our commercial supply. This reliance on third parties increases the risk that we may not have sufficient quantities of our product candidates or such quantities at an acceptable cost, which could delay, prevent or impair our development or commercialization efforts.</w:t>
      </w:r>
    </w:p>
    <w:p>
      <w:pPr>
        <w:spacing w:after="0" w:line="15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do not currently own or operate any late-stage manufacturing facilities. Although we have built a development and manufacturing facility to produce drug substance to support certain research and other preclinical and early clinical development for our product candidates, we rely, and expect to continue to rely, on third parties for the manufacture of our late-stage product candidates and certain of our early-stage product candidates for the majority of our clinical development efforts, as well as for the potential commercial manufacture of our product candidates, if approved, as well as label and packaging activities. We rely on these third parties to develop the processes necessary to produce our product candidates at sufficient quality and quantity to support our development and commercialization efforts. Our reliance increases the risk that we will have insufficient quantities of our product candidates or that our product candidates are not produced at an acceptable cost or quality, which could delay, prevent or impair our development or commercialization efforts.</w:t>
      </w:r>
    </w:p>
    <w:p>
      <w:pPr>
        <w:spacing w:after="0" w:line="167"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For example, we have a contract with Regeneron to produce rilonacept on an exclusive basis for a period of time. Although Regeneron has produced rilonacept for commercial use for over ten years, the FDA or other applicable regulatory authorities in other jurisdictions might reevaluate rilonacept’s current manufacturing process or route of administration in connection with evaluating whether to approve rilonacept for a new indication, such as recurrent pericarditis. We also have CMOs manufacture KPL</w:t>
      </w:r>
      <w:r>
        <w:rPr>
          <w:rFonts w:ascii="MS PGothic" w:cs="MS PGothic" w:eastAsia="MS PGothic" w:hAnsi="MS PGothic"/>
          <w:sz w:val="17"/>
          <w:szCs w:val="17"/>
          <w:color w:val="auto"/>
        </w:rPr>
        <w:t>‑</w:t>
      </w:r>
      <w:r>
        <w:rPr>
          <w:rFonts w:ascii="Arial" w:cs="Arial" w:eastAsia="Arial" w:hAnsi="Arial"/>
          <w:sz w:val="17"/>
          <w:szCs w:val="17"/>
          <w:color w:val="auto"/>
        </w:rPr>
        <w:t>716 drug substance and drug product and entered into an agreement with a CMO to produce mavrilimumab beyond our current inventory. While we have built a manufacturing facility to support early development for our product candidates, we and our CMOs may not be able to produce sufficient quantities of our product candidates or produce them at an acceptable quality, which could delay, prevent or impair our development or commercialization efforts and increase costs.</w:t>
      </w:r>
    </w:p>
    <w:p>
      <w:pPr>
        <w:spacing w:after="0" w:line="20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If we make manufacturing or formulation changes to our product candidates or change manufacturers or manufacturing processes, we may be unsuccessful in producing the product as compared to the process or manufacturer used in prior clinical trials and therefore may need to conduct additional trials to bridge our modified product candidates to earlier versions, which could impact the timing of commencing or completing our clinical trials. Moreover, there is no assurance that future clinical trials utilizing a new formulation of a product candidate manufactured by different manufacturers or pursuant to a new process will result in the favorable result, if any, observed in the prior clinical trials of such product candidates. For example, while we have transferred the technology to manufacture mavrilimumab to the CMO, the CMO may be required to adopt different manufacturing protocols or processes. The CMO will need to produce mavrilimumab using different media and feed compared to the processes that were used by MedImmune to develop our existing inventory. We cannot provide any assurance that the technology transfer was successful, or that the process development or the CMO will be successful in producing mavrilimumab in sufficient quantities or of acceptable quality, if at all, which would delay, prevent or impair the development of mavrilimumab.</w:t>
      </w:r>
    </w:p>
    <w:p>
      <w:pPr>
        <w:spacing w:after="0" w:line="16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facilities used by our CMOs to manufacture our product candidates may be inspected by the FDA and other comparable regulatory authorities in connection with the submission of our marketing applications to, and review by, the FDA or other comparable regulatory authorities or based on their work for other clinical trial sponsors. While we provide oversight of manufacturing activities, we do not and will not control the manufacturing process of, and will be completely dependent on, our CMOs for compliance with cGMPs and other regulatory requirements in connection with the manufacture of our product candidates. If our CMOs cannot successfully manufacture material that conforms to our specifications and the strict regulatory requirements of the FDA or other applicable regulatory authorities in other jurisdictions, they will not be able to secure or maintain regulatory approval for their manufacturing facilities. While we may review the compliance history and performance of our CMOs, we have no control over the ability of our CMOs to maintain adequate quality control, quality assurance and qualified personnel. If the FDA or comparable regulatory authorities in other jurisdictions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20" w:lineRule="exact"/>
        <w:rPr>
          <w:sz w:val="20"/>
          <w:szCs w:val="20"/>
          <w:color w:val="auto"/>
        </w:rPr>
      </w:pPr>
      <w:r>
        <w:rPr>
          <w:rFonts w:ascii="Arial" w:cs="Arial" w:eastAsia="Arial" w:hAnsi="Arial"/>
          <w:sz w:val="16"/>
          <w:szCs w:val="16"/>
          <w:color w:val="auto"/>
        </w:rPr>
        <w:t>Further, our failure, or the failure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to comply with applicable regulations could result in sanctions being imposed on us, including clinical holds, fines, injunctions, civil penalties, delays, suspension or withdrawal of approvals, license revocation, seizures or recalls of product candidates, if approved, operating restrictions and criminal prosecutions, any of which could significantly and adversely affect our business and supplies of our product candidates.</w:t>
      </w:r>
    </w:p>
    <w:p>
      <w:pPr>
        <w:spacing w:after="0" w:line="203" w:lineRule="exact"/>
        <w:rPr>
          <w:sz w:val="20"/>
          <w:szCs w:val="20"/>
          <w:color w:val="auto"/>
        </w:rPr>
      </w:pPr>
    </w:p>
    <w:p>
      <w:pPr>
        <w:ind w:right="120" w:firstLine="648"/>
        <w:spacing w:after="0" w:line="220" w:lineRule="exact"/>
        <w:rPr>
          <w:sz w:val="20"/>
          <w:szCs w:val="20"/>
          <w:color w:val="auto"/>
        </w:rPr>
      </w:pPr>
      <w:r>
        <w:rPr>
          <w:rFonts w:ascii="Arial" w:cs="Arial" w:eastAsia="Arial" w:hAnsi="Arial"/>
          <w:sz w:val="18"/>
          <w:szCs w:val="18"/>
          <w:color w:val="auto"/>
        </w:rPr>
        <w:t>Although we have entered into certain agreements for the manufacture of clinical material for our product candidates, we may be unable to establish new agreements on acceptable terms, if at all,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for those product candidates. Even if we are able to establish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reliance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entails additional risks, including:</w:t>
      </w:r>
    </w:p>
    <w:p>
      <w:pPr>
        <w:spacing w:after="0" w:line="204" w:lineRule="exact"/>
        <w:rPr>
          <w:sz w:val="20"/>
          <w:szCs w:val="20"/>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25"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and</w:t>
      </w:r>
    </w:p>
    <w:p>
      <w:pPr>
        <w:spacing w:after="0" w:line="236" w:lineRule="exact"/>
        <w:rPr>
          <w:rFonts w:ascii="Arial" w:cs="Arial" w:eastAsia="Arial" w:hAnsi="Arial"/>
          <w:sz w:val="17"/>
          <w:szCs w:val="17"/>
          <w:color w:val="auto"/>
        </w:rPr>
      </w:pPr>
    </w:p>
    <w:p>
      <w:pPr>
        <w:ind w:left="980" w:right="920" w:hanging="329"/>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product candidates may compete with other product candidates and approved products for access to manufacturing facilities. There are a limited number of manufacturers that operate under cGMP regulations and that might be capable of manufacturing for us.</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If our current CMOs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 Further, Regeneron has an exclusive right to produce rilonacept for a period of time, which could impact our ability to find a replacement manufacturer for rilonacept in a short-period of time if needed.</w:t>
      </w:r>
    </w:p>
    <w:p>
      <w:pPr>
        <w:spacing w:after="0" w:line="178" w:lineRule="exact"/>
        <w:rPr>
          <w:sz w:val="20"/>
          <w:szCs w:val="20"/>
          <w:color w:val="auto"/>
        </w:rPr>
      </w:pPr>
    </w:p>
    <w:p>
      <w:pPr>
        <w:ind w:right="80" w:firstLine="648"/>
        <w:spacing w:after="0" w:line="219" w:lineRule="exact"/>
        <w:rPr>
          <w:sz w:val="20"/>
          <w:szCs w:val="20"/>
          <w:color w:val="auto"/>
        </w:rPr>
      </w:pPr>
      <w:r>
        <w:rPr>
          <w:rFonts w:ascii="Arial" w:cs="Arial" w:eastAsia="Arial" w:hAnsi="Arial"/>
          <w:sz w:val="18"/>
          <w:szCs w:val="18"/>
          <w:color w:val="auto"/>
        </w:rPr>
        <w:t>Finding new CMOs or third</w:t>
      </w:r>
      <w:r>
        <w:rPr>
          <w:rFonts w:ascii="MS PGothic" w:cs="MS PGothic" w:eastAsia="MS PGothic" w:hAnsi="MS PGothic"/>
          <w:sz w:val="18"/>
          <w:szCs w:val="18"/>
          <w:color w:val="auto"/>
        </w:rPr>
        <w:t>‑</w:t>
      </w:r>
      <w:r>
        <w:rPr>
          <w:rFonts w:ascii="Arial" w:cs="Arial" w:eastAsia="Arial" w:hAnsi="Arial"/>
          <w:sz w:val="18"/>
          <w:szCs w:val="18"/>
          <w:color w:val="auto"/>
        </w:rPr>
        <w:t>party suppliers involves additional cost and requires our management’s time and focus. In addition, there is typically a transition period when a new CMO commences work. Although we generally do not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w:t>
      </w:r>
    </w:p>
    <w:p>
      <w:pPr>
        <w:spacing w:after="0" w:line="20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may adversely affect our future profit margins and our ability to commercialize any products that receive marketing approval on a timely and competitive basis.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We built a manufacturing facility to support the early development of our product candidates, and we may be unsuccessful in manufacturing product candidates in a timely, economic or compliant manner, which could delay or prevent the commencement of our planned preclinical and early clinical studies for these product candidates.</w:t>
      </w:r>
    </w:p>
    <w:p>
      <w:pPr>
        <w:spacing w:after="0" w:line="14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built a manufacturing facility to support early development of our product candidates. We may not be able to continually manufacture our product candidates economically or in compliance with cGMPs and other regulatory requirements, or at all, and we may not be able to build or procure additional capacity in the required timeframe to meet our estimated timelines to commence our studies. As a result, our business, prospects, operating results, and financial condition could be materially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23" w:lineRule="exact"/>
        <w:rPr>
          <w:sz w:val="20"/>
          <w:szCs w:val="20"/>
          <w:color w:val="auto"/>
        </w:rPr>
      </w:pPr>
      <w:r>
        <w:rPr>
          <w:rFonts w:ascii="Arial" w:cs="Arial" w:eastAsia="Arial" w:hAnsi="Arial"/>
          <w:sz w:val="15"/>
          <w:szCs w:val="15"/>
          <w:b w:val="1"/>
          <w:bCs w:val="1"/>
          <w:i w:val="1"/>
          <w:iCs w:val="1"/>
          <w:color w:val="auto"/>
        </w:rPr>
        <w:t>Our business involves the use of hazardous materials and we and our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manufacturers and suppliers must comply with environmental laws and regulations, which can be expensive and restrict how we do business.</w:t>
      </w:r>
    </w:p>
    <w:p>
      <w:pPr>
        <w:spacing w:after="0" w:line="203"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Our research and development activities and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and suppliers’ activities involve the controlled storage, use and disposal of hazardous materials owned by us,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and suppliers’ facilities pending their use and disposal. We cannot eliminate the risk of contamination, which could cause an interruption of our commercialization efforts, research and development efforts and business operations, environmental damage resulting in costly clean</w:t>
      </w:r>
      <w:r>
        <w:rPr>
          <w:rFonts w:ascii="MS PGothic" w:cs="MS PGothic" w:eastAsia="MS PGothic" w:hAnsi="MS PGothic"/>
          <w:sz w:val="16"/>
          <w:szCs w:val="16"/>
          <w:color w:val="auto"/>
        </w:rPr>
        <w:t>‑</w:t>
      </w:r>
      <w:r>
        <w:rPr>
          <w:rFonts w:ascii="Arial" w:cs="Arial" w:eastAsia="Arial" w:hAnsi="Arial"/>
          <w:sz w:val="16"/>
          <w:szCs w:val="16"/>
          <w:color w:val="auto"/>
        </w:rPr>
        <w:t>up and liabilities under applicable laws and regulations governing the use, storage, handling and disposal of these materials and specified waste products. Although we believe that the safety procedures utilized by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202" w:lineRule="exact"/>
        <w:rPr>
          <w:sz w:val="20"/>
          <w:szCs w:val="20"/>
          <w:color w:val="auto"/>
        </w:rPr>
      </w:pPr>
    </w:p>
    <w:p>
      <w:pPr>
        <w:ind w:right="20"/>
        <w:spacing w:after="0" w:line="221" w:lineRule="exact"/>
        <w:rPr>
          <w:sz w:val="20"/>
          <w:szCs w:val="20"/>
          <w:color w:val="auto"/>
        </w:rPr>
      </w:pPr>
      <w:r>
        <w:rPr>
          <w:rFonts w:ascii="Arial" w:cs="Arial" w:eastAsia="Arial" w:hAnsi="Arial"/>
          <w:sz w:val="18"/>
          <w:szCs w:val="18"/>
          <w:b w:val="1"/>
          <w:bCs w:val="1"/>
          <w:i w:val="1"/>
          <w:iCs w:val="1"/>
          <w:color w:val="auto"/>
        </w:rPr>
        <w:t>Manufacturing issues at our facility and the facilities of our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service providers could cause product shortages, disrupt or delay our clinical trials or regulatory approvals, delay or stop commercialization of our product candidates, and adversely affect our business.</w:t>
      </w:r>
    </w:p>
    <w:p>
      <w:pPr>
        <w:spacing w:after="0" w:line="202" w:lineRule="exact"/>
        <w:rPr>
          <w:sz w:val="20"/>
          <w:szCs w:val="20"/>
          <w:color w:val="auto"/>
        </w:rPr>
      </w:pPr>
    </w:p>
    <w:p>
      <w:pPr>
        <w:ind w:right="40" w:firstLine="648"/>
        <w:spacing w:after="0" w:line="217" w:lineRule="exact"/>
        <w:rPr>
          <w:sz w:val="20"/>
          <w:szCs w:val="20"/>
          <w:color w:val="auto"/>
        </w:rPr>
      </w:pPr>
      <w:r>
        <w:rPr>
          <w:rFonts w:ascii="Arial" w:cs="Arial" w:eastAsia="Arial" w:hAnsi="Arial"/>
          <w:sz w:val="16"/>
          <w:szCs w:val="16"/>
          <w:color w:val="auto"/>
        </w:rPr>
        <w:t>The manufacture of our product candidates is highly regulated, complex and difficult, requiring a multi</w:t>
      </w:r>
      <w:r>
        <w:rPr>
          <w:rFonts w:ascii="MS PGothic" w:cs="MS PGothic" w:eastAsia="MS PGothic" w:hAnsi="MS PGothic"/>
          <w:sz w:val="16"/>
          <w:szCs w:val="16"/>
          <w:color w:val="auto"/>
        </w:rPr>
        <w:t>‑</w:t>
      </w:r>
      <w:r>
        <w:rPr>
          <w:rFonts w:ascii="Arial" w:cs="Arial" w:eastAsia="Arial" w:hAnsi="Arial"/>
          <w:sz w:val="16"/>
          <w:szCs w:val="16"/>
          <w:color w:val="auto"/>
        </w:rPr>
        <w:t>step and controlled process, and even minor problems or deviations could result in the product candidates being out-of-spec, failed batches or other failures, such as defective products or manufacturing failures. We have limited experience overseeing the manufacturing processes of mavrilimumab, KPL</w:t>
      </w:r>
      <w:r>
        <w:rPr>
          <w:rFonts w:ascii="MS PGothic" w:cs="MS PGothic" w:eastAsia="MS PGothic" w:hAnsi="MS PGothic"/>
          <w:sz w:val="16"/>
          <w:szCs w:val="16"/>
          <w:color w:val="auto"/>
        </w:rPr>
        <w:t>‑</w:t>
      </w:r>
      <w:r>
        <w:rPr>
          <w:rFonts w:ascii="Arial" w:cs="Arial" w:eastAsia="Arial" w:hAnsi="Arial"/>
          <w:sz w:val="16"/>
          <w:szCs w:val="16"/>
          <w:color w:val="auto"/>
        </w:rPr>
        <w:t xml:space="preserve">716, </w:t>
      </w:r>
      <w:r>
        <w:rPr>
          <w:rFonts w:ascii="Arial" w:cs="Arial" w:eastAsia="Arial" w:hAnsi="Arial"/>
          <w:sz w:val="16"/>
          <w:szCs w:val="16"/>
          <w:color w:val="262626"/>
        </w:rPr>
        <w:t>KPL-404</w:t>
      </w:r>
      <w:r>
        <w:rPr>
          <w:rFonts w:ascii="Arial" w:cs="Arial" w:eastAsia="Arial" w:hAnsi="Arial"/>
          <w:sz w:val="16"/>
          <w:szCs w:val="16"/>
          <w:color w:val="auto"/>
        </w:rPr>
        <w:t xml:space="preserve"> and our preclinical product candidate and no experience overseeing the manufacturing process of rilonacept. Due to the highly technical requirements of manufacturing our product candidates and the strict quality and control specifications, we and our third</w:t>
      </w:r>
      <w:r>
        <w:rPr>
          <w:rFonts w:ascii="MS PGothic" w:cs="MS PGothic" w:eastAsia="MS PGothic" w:hAnsi="MS PGothic"/>
          <w:sz w:val="16"/>
          <w:szCs w:val="16"/>
          <w:color w:val="auto"/>
        </w:rPr>
        <w:t>‑</w:t>
      </w:r>
      <w:r>
        <w:rPr>
          <w:rFonts w:ascii="Arial" w:cs="Arial" w:eastAsia="Arial" w:hAnsi="Arial"/>
          <w:sz w:val="16"/>
          <w:szCs w:val="16"/>
          <w:color w:val="auto"/>
        </w:rPr>
        <w:t>party providers may be unable to manufacture or supply our product candidates despite our and their efforts. Failure to produce sufficient quantities of our product candidates could delay their development, result in supply shortages for our patients, result in lost revenue, if any, and diminish our potential profitability, which may lead to lawsuits or could delay the introduction of our product candidates to the market.</w:t>
      </w:r>
    </w:p>
    <w:p>
      <w:pPr>
        <w:spacing w:after="0" w:line="208"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The manufacture of our product candidates is at high risk of product loss due to contamination, equipment malfunctions, human error or raw material shortages. Deviations from established manufacturing processes could result in reduced production yields, failed batches and other supply disruptions. If microbial, viral or other contaminations are discovered in our product candidates or manufacturing facilities, any related production lot could be lost and the relevant manufacturing facilities may need to close for an extended period of time to investigate and remediate the contaminant. Many additional factors could cause production interruptions at our facilities or at the facilities of our third</w:t>
      </w:r>
      <w:r>
        <w:rPr>
          <w:rFonts w:ascii="MS PGothic" w:cs="MS PGothic" w:eastAsia="MS PGothic" w:hAnsi="MS PGothic"/>
          <w:sz w:val="17"/>
          <w:szCs w:val="17"/>
          <w:color w:val="auto"/>
        </w:rPr>
        <w:t>‑</w:t>
      </w:r>
      <w:r>
        <w:rPr>
          <w:rFonts w:ascii="Arial" w:cs="Arial" w:eastAsia="Arial" w:hAnsi="Arial"/>
          <w:sz w:val="17"/>
          <w:szCs w:val="17"/>
          <w:color w:val="auto"/>
        </w:rPr>
        <w:t>party providers, including natural disasters, outbreak of disease, accidents, boycotts, labor disputes, political and economic instability, including acts of terrorism or war. The occurrence of any such event could adversely affect our ability to satisfy the required supply for any of our product candidates or successfully complete preclinical and clinical development, which would result in additional costs to us or impair our ability to generate revenue and would harm our business, financial condition and prospects significantly.</w:t>
      </w:r>
    </w:p>
    <w:p>
      <w:pPr>
        <w:spacing w:after="0" w:line="210" w:lineRule="exact"/>
        <w:rPr>
          <w:sz w:val="20"/>
          <w:szCs w:val="20"/>
          <w:color w:val="auto"/>
        </w:rPr>
      </w:pPr>
    </w:p>
    <w:p>
      <w:pPr>
        <w:ind w:right="40" w:firstLine="648"/>
        <w:spacing w:after="0" w:line="219" w:lineRule="exact"/>
        <w:rPr>
          <w:sz w:val="20"/>
          <w:szCs w:val="20"/>
          <w:color w:val="auto"/>
        </w:rPr>
      </w:pPr>
      <w:r>
        <w:rPr>
          <w:rFonts w:ascii="Arial" w:cs="Arial" w:eastAsia="Arial" w:hAnsi="Arial"/>
          <w:sz w:val="17"/>
          <w:szCs w:val="17"/>
          <w:color w:val="auto"/>
        </w:rPr>
        <w:t>We and our third</w:t>
      </w:r>
      <w:r>
        <w:rPr>
          <w:rFonts w:ascii="MS PGothic" w:cs="MS PGothic" w:eastAsia="MS PGothic" w:hAnsi="MS PGothic"/>
          <w:sz w:val="17"/>
          <w:szCs w:val="17"/>
          <w:color w:val="auto"/>
        </w:rPr>
        <w:t>‑</w:t>
      </w:r>
      <w:r>
        <w:rPr>
          <w:rFonts w:ascii="Arial" w:cs="Arial" w:eastAsia="Arial" w:hAnsi="Arial"/>
          <w:sz w:val="17"/>
          <w:szCs w:val="17"/>
          <w:color w:val="auto"/>
        </w:rPr>
        <w:t>party providers are required to maintain compliance with cGMP and other stringent requirements and are subject to inspections by the FDA and comparable agencies in other jurisdictions to confirm such compliance. If we or any of our third</w:t>
      </w:r>
      <w:r>
        <w:rPr>
          <w:rFonts w:ascii="MS PGothic" w:cs="MS PGothic" w:eastAsia="MS PGothic" w:hAnsi="MS PGothic"/>
          <w:sz w:val="17"/>
          <w:szCs w:val="17"/>
          <w:color w:val="auto"/>
        </w:rPr>
        <w:t>‑</w:t>
      </w:r>
      <w:r>
        <w:rPr>
          <w:rFonts w:ascii="Arial" w:cs="Arial" w:eastAsia="Arial" w:hAnsi="Arial"/>
          <w:sz w:val="17"/>
          <w:szCs w:val="17"/>
          <w:color w:val="auto"/>
        </w:rPr>
        <w:t>party providers are not able to establish and maintain procedures and processes sufficient to satisfy cGMP standards, we could experience a delay, interruption or other issues in our manufacture, fill</w:t>
      </w:r>
      <w:r>
        <w:rPr>
          <w:rFonts w:ascii="MS PGothic" w:cs="MS PGothic" w:eastAsia="MS PGothic" w:hAnsi="MS PGothic"/>
          <w:sz w:val="17"/>
          <w:szCs w:val="17"/>
          <w:color w:val="auto"/>
        </w:rPr>
        <w:t>‑</w:t>
      </w:r>
      <w:r>
        <w:rPr>
          <w:rFonts w:ascii="Arial" w:cs="Arial" w:eastAsia="Arial" w:hAnsi="Arial"/>
          <w:sz w:val="17"/>
          <w:szCs w:val="17"/>
          <w:color w:val="auto"/>
        </w:rPr>
        <w:t>finish, packaging, storage or delivery of our product candidates, and any related failure of the facilities or operations of third parties to pass any regulatory agency inspection could significantly impair our ability to supply our products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product candidates. Significant noncompliance could also result in the imposition of monetary penalties or other civil or criminal sanctions and damage our reputation.</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addition, we plan to have Regeneron transfer its BLA for rilonacept in the United States for the treatment of CAPS following positive clinical data readout, if any, from our global, pivotal Phase 3 clinical trial, RHAPSODY to enable us to file an sBLA with the FDA to seek approval for the commercial marketing of rilonacept in the United States for the treatment of recurrent pericarditis. The rights with respect to CAPS would remain with Regeneron until the date that we receive such approval from the FDA, if at all. In order for the BLA to be transferred to us, we must coordinate numerous activities with Regeneron in advance and take over certain responsibilities and obligations with respect to owning the BLA. The process to transfer a BLA is complex and resource intensive, and may be more so than we anticipate. Further, if Regeneron or we do not perform in accordance with our expectations, or we are not ready to assume the responsibilities on a timely basis, or the timing of the BLA transfer is otherwise delayed, our ability to file an sBLA with the FDA may be delayed, which could delay FDA approval or our commercialization of rilonacept, and our ability to generate revenue from rilonacept could be materially impaired.</w:t>
      </w:r>
    </w:p>
    <w:p>
      <w:pPr>
        <w:spacing w:after="0" w:line="183"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Any adverse developments affecting the operations of our third</w:t>
      </w:r>
      <w:r>
        <w:rPr>
          <w:rFonts w:ascii="MS PGothic" w:cs="MS PGothic" w:eastAsia="MS PGothic" w:hAnsi="MS PGothic"/>
          <w:sz w:val="18"/>
          <w:szCs w:val="18"/>
          <w:color w:val="auto"/>
        </w:rPr>
        <w:t>‑</w:t>
      </w:r>
      <w:r>
        <w:rPr>
          <w:rFonts w:ascii="Arial" w:cs="Arial" w:eastAsia="Arial" w:hAnsi="Arial"/>
          <w:sz w:val="18"/>
          <w:szCs w:val="18"/>
          <w:color w:val="auto"/>
        </w:rPr>
        <w:t>party providers could result in a product shortage of clinical or commercial requirements, withdrawal of our product candidates or any approved products, shipment delays, lot failures or recalls. We may also have to write off inventory and incur other charges and expenses for products that fail to meet specifications, undertake costly remediation efforts or seek more costly manufacturing alternatives. Such manufacturing issues could increase our cost of goods, cause us to lose potential revenue, reduce our potential profitability or damage our reputation.</w:t>
      </w:r>
    </w:p>
    <w:p>
      <w:pPr>
        <w:spacing w:after="0" w:line="203"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The third parties upon whom we rely for the supply of the drug substance and drug product used in our product candidates are our sole source of supply, and the loss of any of these suppliers could significantly harm our business.</w:t>
      </w:r>
    </w:p>
    <w:p>
      <w:pPr>
        <w:spacing w:after="0" w:line="101" w:lineRule="exact"/>
        <w:rPr>
          <w:sz w:val="20"/>
          <w:szCs w:val="20"/>
          <w:color w:val="auto"/>
        </w:rPr>
      </w:pPr>
    </w:p>
    <w:p>
      <w:pPr>
        <w:ind w:right="20" w:firstLine="648"/>
        <w:spacing w:after="0" w:line="218" w:lineRule="exact"/>
        <w:rPr>
          <w:sz w:val="20"/>
          <w:szCs w:val="20"/>
          <w:color w:val="auto"/>
        </w:rPr>
      </w:pPr>
      <w:r>
        <w:rPr>
          <w:rFonts w:ascii="Arial" w:cs="Arial" w:eastAsia="Arial" w:hAnsi="Arial"/>
          <w:sz w:val="18"/>
          <w:szCs w:val="18"/>
          <w:color w:val="auto"/>
        </w:rPr>
        <w:t>The drug substance and drug product used in rilonacept, mavrilimumab and KPL</w:t>
      </w:r>
      <w:r>
        <w:rPr>
          <w:rFonts w:ascii="MS PGothic" w:cs="MS PGothic" w:eastAsia="MS PGothic" w:hAnsi="MS PGothic"/>
          <w:sz w:val="18"/>
          <w:szCs w:val="18"/>
          <w:color w:val="auto"/>
        </w:rPr>
        <w:t>‑</w:t>
      </w:r>
      <w:r>
        <w:rPr>
          <w:rFonts w:ascii="Arial" w:cs="Arial" w:eastAsia="Arial" w:hAnsi="Arial"/>
          <w:sz w:val="18"/>
          <w:szCs w:val="18"/>
          <w:color w:val="auto"/>
        </w:rPr>
        <w:t>716 are supplied to us from single</w:t>
      </w:r>
      <w:r>
        <w:rPr>
          <w:rFonts w:ascii="MS PGothic" w:cs="MS PGothic" w:eastAsia="MS PGothic" w:hAnsi="MS PGothic"/>
          <w:sz w:val="18"/>
          <w:szCs w:val="18"/>
          <w:color w:val="auto"/>
        </w:rPr>
        <w:t>‑</w:t>
      </w:r>
      <w:r>
        <w:rPr>
          <w:rFonts w:ascii="Arial" w:cs="Arial" w:eastAsia="Arial" w:hAnsi="Arial"/>
          <w:sz w:val="18"/>
          <w:szCs w:val="18"/>
          <w:color w:val="auto"/>
        </w:rPr>
        <w:t>source suppliers. For example, Regeneron has a contractual right to be our sole source manufacturer of the product unless they have a persistent failure to satisfy our supply needs. Our ability to successfully develop our product candidates, and to ultimately supply our commercial products in quantities sufficient to meet the market demand, depends in part on our ability to obtain the drug substance and drug product for these product candidates in accordance with regulatory requirements and in sufficient quantities for commercialization and clinical testing. We do not currently have arrangements in place for a redundant or second</w:t>
      </w:r>
      <w:r>
        <w:rPr>
          <w:rFonts w:ascii="MS PGothic" w:cs="MS PGothic" w:eastAsia="MS PGothic" w:hAnsi="MS PGothic"/>
          <w:sz w:val="18"/>
          <w:szCs w:val="18"/>
          <w:color w:val="auto"/>
        </w:rPr>
        <w:t>‑</w:t>
      </w:r>
      <w:r>
        <w:rPr>
          <w:rFonts w:ascii="Arial" w:cs="Arial" w:eastAsia="Arial" w:hAnsi="Arial"/>
          <w:sz w:val="18"/>
          <w:szCs w:val="18"/>
          <w:color w:val="auto"/>
        </w:rPr>
        <w:t>source supply of any such drug substance and drug product in the event any of our current suppliers of such drug substance and drug product cease their operations or stop offering us sufficient quantities of these materials for any reason.</w:t>
      </w:r>
    </w:p>
    <w:p>
      <w:pPr>
        <w:spacing w:after="0" w:line="205"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We are not certain that our single</w:t>
      </w:r>
      <w:r>
        <w:rPr>
          <w:rFonts w:ascii="MS PGothic" w:cs="MS PGothic" w:eastAsia="MS PGothic" w:hAnsi="MS PGothic"/>
          <w:sz w:val="18"/>
          <w:szCs w:val="18"/>
          <w:color w:val="auto"/>
        </w:rPr>
        <w:t>‑</w:t>
      </w:r>
      <w:r>
        <w:rPr>
          <w:rFonts w:ascii="Arial" w:cs="Arial" w:eastAsia="Arial" w:hAnsi="Arial"/>
          <w:sz w:val="18"/>
          <w:szCs w:val="18"/>
          <w:color w:val="auto"/>
        </w:rPr>
        <w:t>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on a timely basis in the past, they may subordinate our needs in the future to their other customers.</w:t>
      </w:r>
    </w:p>
    <w:p>
      <w:pPr>
        <w:spacing w:after="0" w:line="206"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In addition, to manufacturing rilonacept, mavrilimumab and KPL</w:t>
      </w:r>
      <w:r>
        <w:rPr>
          <w:rFonts w:ascii="MS PGothic" w:cs="MS PGothic" w:eastAsia="MS PGothic" w:hAnsi="MS PGothic"/>
          <w:sz w:val="16"/>
          <w:szCs w:val="16"/>
          <w:color w:val="auto"/>
        </w:rPr>
        <w:t>‑</w:t>
      </w:r>
      <w:r>
        <w:rPr>
          <w:rFonts w:ascii="Arial" w:cs="Arial" w:eastAsia="Arial" w:hAnsi="Arial"/>
          <w:sz w:val="16"/>
          <w:szCs w:val="16"/>
          <w:color w:val="auto"/>
        </w:rPr>
        <w:t>716 in the quantities that we believe would be required to meet anticipated market demand,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may need to increase manufacturing capacity and, in some cases, alternative sources of commercial supply may need to be secured, which could involve significant challenges and may require additional regulatory approvals. In addition, the development of commercial</w:t>
      </w:r>
      <w:r>
        <w:rPr>
          <w:rFonts w:ascii="MS PGothic" w:cs="MS PGothic" w:eastAsia="MS PGothic" w:hAnsi="MS PGothic"/>
          <w:sz w:val="16"/>
          <w:szCs w:val="16"/>
          <w:color w:val="auto"/>
        </w:rPr>
        <w:t>‑</w:t>
      </w:r>
      <w:r>
        <w:rPr>
          <w:rFonts w:ascii="Arial" w:cs="Arial" w:eastAsia="Arial" w:hAnsi="Arial"/>
          <w:sz w:val="16"/>
          <w:szCs w:val="16"/>
          <w:color w:val="auto"/>
        </w:rPr>
        <w:t>scale manufacturing capabilities may require us and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to invest substantial additional funds and hire and retain the technical personnel who have the necessary manufacturing experience. Neither we nor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may successfully complete any required increase to existing manufacturing capacity in a timely manner, or at all.</w:t>
      </w:r>
    </w:p>
    <w:p>
      <w:pPr>
        <w:spacing w:after="0" w:line="205" w:lineRule="exact"/>
        <w:rPr>
          <w:sz w:val="20"/>
          <w:szCs w:val="20"/>
          <w:color w:val="auto"/>
        </w:rPr>
      </w:pPr>
    </w:p>
    <w:p>
      <w:pPr>
        <w:ind w:right="120" w:firstLine="648"/>
        <w:spacing w:after="0" w:line="220" w:lineRule="exact"/>
        <w:rPr>
          <w:sz w:val="20"/>
          <w:szCs w:val="20"/>
          <w:color w:val="auto"/>
        </w:rPr>
      </w:pPr>
      <w:r>
        <w:rPr>
          <w:rFonts w:ascii="Arial" w:cs="Arial" w:eastAsia="Arial" w:hAnsi="Arial"/>
          <w:sz w:val="17"/>
          <w:szCs w:val="17"/>
          <w:color w:val="auto"/>
        </w:rPr>
        <w:t>Moreover, if there is a disruption to one or more of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suppliers’ relevant operations the supply of the related product candidate will be delayed until such manufacturer or supplier restores the affected facilities or we or they procure alternative manufacturing facilities or sources of supply. Our ability to progress our preclinical and clinical programs could be materially and adversely impacted if any of the third</w:t>
      </w:r>
      <w:r>
        <w:rPr>
          <w:rFonts w:ascii="MS PGothic" w:cs="MS PGothic" w:eastAsia="MS PGothic" w:hAnsi="MS PGothic"/>
          <w:sz w:val="17"/>
          <w:szCs w:val="17"/>
          <w:color w:val="auto"/>
        </w:rPr>
        <w:t>‑</w:t>
      </w:r>
      <w:r>
        <w:rPr>
          <w:rFonts w:ascii="Arial" w:cs="Arial" w:eastAsia="Arial" w:hAnsi="Arial"/>
          <w:sz w:val="17"/>
          <w:szCs w:val="17"/>
          <w:color w:val="auto"/>
        </w:rPr>
        <w:t>party suppliers upon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which we rely for preclinical and clinical stage product candidate supply were to experience a significant business challenge, disruption or failure due to issues such as financial difficulties or bankruptcy, issues relating to other customers such as regulatory or quality compliance issues, or other financial, legal, regulatory or reputational issues. Additionally, any damage to or destruction of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or suppliers’ facilities or equipment may significantly impair our ability to manufacture our product candidates on a timely basis.</w:t>
      </w:r>
    </w:p>
    <w:p>
      <w:pPr>
        <w:spacing w:after="0" w:line="20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Establishing additional or replacement suppliers for the drug substance and drug product used in our product candidates, if required, is unlikely to be accomplished quickly and can take several years, if at all. Furthermore, despite our efforts, we may be unable to procure a replacement supplier or do so on commercially reasonable terms, which could have a material adverse impact upon our business. If we are able to find a replacement supplier, such replacement supplier would need to be qualified and may require additional regulatory approval, which could result in further delay. While we seek to maintain adequate inventory of the drug substance and drug product used in our product candidates, any interruption or delay in the supply of components or materials, or our inability to obtain such drug substance and drug product from alternate sources of comparable quality at acceptable prices in a timely manner could impede, delay, limit or prevent our development efforts, which could harm our business, results of operations, financial condition and prospects.</w:t>
      </w:r>
    </w:p>
    <w:p>
      <w:pPr>
        <w:spacing w:after="0" w:line="167"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Certain of the materials required in the manufacture and the formulation of our product candidates are derived from biological sources. Such materials are difficult to procure and may be subject to contamination or recall. Access to and supply of sufficient quantities of raw materials which meet the technical specifications for the production process is challenging, and often limited to single</w:t>
      </w:r>
      <w:r>
        <w:rPr>
          <w:rFonts w:ascii="MS PGothic" w:cs="MS PGothic" w:eastAsia="MS PGothic" w:hAnsi="MS PGothic"/>
          <w:sz w:val="17"/>
          <w:szCs w:val="17"/>
          <w:color w:val="auto"/>
        </w:rPr>
        <w:t>‑</w:t>
      </w:r>
      <w:r>
        <w:rPr>
          <w:rFonts w:ascii="Arial" w:cs="Arial" w:eastAsia="Arial" w:hAnsi="Arial"/>
          <w:sz w:val="17"/>
          <w:szCs w:val="17"/>
          <w:color w:val="auto"/>
        </w:rPr>
        <w:t>source suppliers. Finding an alternative supplier could take a significant amount of time and involve significant expense due to the nature of the products and the need to obtain regulatory approvals. If we or our manufacturers are unable to purchase the materials necessary for the manufacture of our product candidates on acceptable terms, in a timely manner, at sufficient quality levels, or in adequate quantities, if at all, our ability to produce sufficient quantities of our products for clinical or commercial requirements would be negatively impacted. A material shortage, contamination, recall or restriction on the use of certain biologically derived substances or any other material used in the manufacture of our product candidates could adversely impact or disrupt manufacturing, which would impair our ability to generate revenues from the sale of such product candidates, if approved.</w:t>
      </w:r>
    </w:p>
    <w:p>
      <w:pPr>
        <w:spacing w:after="0" w:line="2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investigators and CROs, to conduct our research, preclinical studies, clinical trials and other trials for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88"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We rely on medical institutions, clinical investigators, contract laboratories and other third parties, such as CROs, to conduct or otherwise support our GLP</w:t>
      </w:r>
      <w:r>
        <w:rPr>
          <w:rFonts w:ascii="MS PGothic" w:cs="MS PGothic" w:eastAsia="MS PGothic" w:hAnsi="MS PGothic"/>
          <w:sz w:val="16"/>
          <w:szCs w:val="16"/>
          <w:color w:val="auto"/>
        </w:rPr>
        <w:t>‑</w:t>
      </w:r>
      <w:r>
        <w:rPr>
          <w:rFonts w:ascii="Arial" w:cs="Arial" w:eastAsia="Arial" w:hAnsi="Arial"/>
          <w:sz w:val="16"/>
          <w:szCs w:val="16"/>
          <w:color w:val="auto"/>
        </w:rPr>
        <w:t>compliant preclinical studies and GCP</w:t>
      </w:r>
      <w:r>
        <w:rPr>
          <w:rFonts w:ascii="MS PGothic" w:cs="MS PGothic" w:eastAsia="MS PGothic" w:hAnsi="MS PGothic"/>
          <w:sz w:val="16"/>
          <w:szCs w:val="16"/>
          <w:color w:val="auto"/>
        </w:rPr>
        <w:t>‑</w:t>
      </w:r>
      <w:r>
        <w:rPr>
          <w:rFonts w:ascii="Arial" w:cs="Arial" w:eastAsia="Arial" w:hAnsi="Arial"/>
          <w:sz w:val="16"/>
          <w:szCs w:val="16"/>
          <w:color w:val="auto"/>
        </w:rPr>
        <w:t>compliant clinical trials for our product candidates properly and on time. We also rely on third parties to conduct other research related to our product candidates. We expect to rely heavily on these parties for execution of clinical trials for our product candidates. While we have agreements governing their activities, we control only certain aspects of these parties’ activities and have limited influence over their actual performance. The third parties with whom we contract for execution of our GLP</w:t>
      </w:r>
      <w:r>
        <w:rPr>
          <w:rFonts w:ascii="MS PGothic" w:cs="MS PGothic" w:eastAsia="MS PGothic" w:hAnsi="MS PGothic"/>
          <w:sz w:val="16"/>
          <w:szCs w:val="16"/>
          <w:color w:val="auto"/>
        </w:rPr>
        <w:t>‑</w:t>
      </w:r>
      <w:r>
        <w:rPr>
          <w:rFonts w:ascii="Arial" w:cs="Arial" w:eastAsia="Arial" w:hAnsi="Arial"/>
          <w:sz w:val="16"/>
          <w:szCs w:val="16"/>
          <w:color w:val="auto"/>
        </w:rPr>
        <w:t>compliant preclinical studies and our GCP</w:t>
      </w:r>
      <w:r>
        <w:rPr>
          <w:rFonts w:ascii="MS PGothic" w:cs="MS PGothic" w:eastAsia="MS PGothic" w:hAnsi="MS PGothic"/>
          <w:sz w:val="16"/>
          <w:szCs w:val="16"/>
          <w:color w:val="auto"/>
        </w:rPr>
        <w:t>‑</w:t>
      </w:r>
      <w:r>
        <w:rPr>
          <w:rFonts w:ascii="Arial" w:cs="Arial" w:eastAsia="Arial" w:hAnsi="Arial"/>
          <w:sz w:val="16"/>
          <w:szCs w:val="16"/>
          <w:color w:val="auto"/>
        </w:rPr>
        <w:t>compliant clinical trials play a significant role in the conduct of these trials and the subsequent collection and analysis of data. These third parties are not our employees and, except for restrictions imposed by our contracts with such third parties, we have limited ability to control the amount or timing of resources that they devote to our programs. Although we rely on these third parties to conduct our GLP</w:t>
      </w:r>
      <w:r>
        <w:rPr>
          <w:rFonts w:ascii="MS PGothic" w:cs="MS PGothic" w:eastAsia="MS PGothic" w:hAnsi="MS PGothic"/>
          <w:sz w:val="16"/>
          <w:szCs w:val="16"/>
          <w:color w:val="auto"/>
        </w:rPr>
        <w:t>‑</w:t>
      </w:r>
      <w:r>
        <w:rPr>
          <w:rFonts w:ascii="Arial" w:cs="Arial" w:eastAsia="Arial" w:hAnsi="Arial"/>
          <w:sz w:val="16"/>
          <w:szCs w:val="16"/>
          <w:color w:val="auto"/>
        </w:rPr>
        <w:t>compliant preclinical studies and GCP</w:t>
      </w:r>
      <w:r>
        <w:rPr>
          <w:rFonts w:ascii="MS PGothic" w:cs="MS PGothic" w:eastAsia="MS PGothic" w:hAnsi="MS PGothic"/>
          <w:sz w:val="16"/>
          <w:szCs w:val="16"/>
          <w:color w:val="auto"/>
        </w:rPr>
        <w:t>‑</w:t>
      </w:r>
      <w:r>
        <w:rPr>
          <w:rFonts w:ascii="Arial" w:cs="Arial" w:eastAsia="Arial" w:hAnsi="Arial"/>
          <w:sz w:val="16"/>
          <w:szCs w:val="16"/>
          <w:color w:val="auto"/>
        </w:rPr>
        <w:t>compliant clinical trials, we remain responsible for ensuring that each of our clinical trials is conducted in accordance with the applicable protocol, legal and regulatory requirements and scientific standards, and our reliance on these third parties does not and will not relieve us of our regulatory responsibilities. For any violations of laws and regulations during the conduct of our clinical trials, we could be subject to warning letters or enforcement actions that may include civil penalties and criminal prosecution.</w:t>
      </w:r>
    </w:p>
    <w:p>
      <w:pPr>
        <w:spacing w:after="0" w:line="204"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their rights are protected. These regulations are enforced by the FDA, the Competent Authorities of the Member States of the European Economic Area, or EEA, and comparable regulatory authorities in other jurisdictions for any products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regulatory authorities in other jurisdictions may require us to perform additional clinical trials before approving our marketing applications. We cannot ensure that, upon inspection, the FDA or comparable regulatory authorities in other jurisdictions will determine that any of our future clinical trials will comply with GCPs. In addition, our clinical trials must be conducted with product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certain clinical trials and post the results of completed clinical trials on a government</w:t>
      </w:r>
      <w:r>
        <w:rPr>
          <w:rFonts w:ascii="MS PGothic" w:cs="MS PGothic" w:eastAsia="MS PGothic" w:hAnsi="MS PGothic"/>
          <w:sz w:val="16"/>
          <w:szCs w:val="16"/>
          <w:color w:val="auto"/>
        </w:rPr>
        <w:t>‑</w:t>
      </w:r>
      <w:r>
        <w:rPr>
          <w:rFonts w:ascii="Arial" w:cs="Arial" w:eastAsia="Arial" w:hAnsi="Arial"/>
          <w:sz w:val="16"/>
          <w:szCs w:val="16"/>
          <w:color w:val="auto"/>
        </w:rPr>
        <w:t>sponsored database within certain timeframes. Failure to do so when required can result in fines, adverse publicity and civil and criminal sanctions.</w:t>
      </w:r>
    </w:p>
    <w:p>
      <w:pPr>
        <w:spacing w:after="0" w:line="20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Although we have and intend to continue to design the clinical trials for our product candidates, CROs will conduct and oversee all of the clinical trials together with the various clinical trial sites that we engage to conduct the studies. As a result, many important aspects of our development programs for our product candidates,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8" w:lineRule="exact"/>
        <w:rPr>
          <w:sz w:val="20"/>
          <w:szCs w:val="20"/>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difficulty with or controlling the performance of their subcontractors;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clinical trials and may subject us to unexpected cost increases that are beyond our control. If the CROs, their subcontractors or the clinical trial sites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CROs, their subcontractors or the clinical trial sites, we could be required to repeat, extend the duration of or increase the size of any clinical trials we conduct and this could significantly delay commercialization and require significantly greater expenditures.</w:t>
      </w:r>
    </w:p>
    <w:p>
      <w:pPr>
        <w:spacing w:after="0" w:line="166" w:lineRule="exact"/>
        <w:rPr>
          <w:sz w:val="20"/>
          <w:szCs w:val="20"/>
          <w:color w:val="auto"/>
        </w:rPr>
      </w:pPr>
    </w:p>
    <w:p>
      <w:pPr>
        <w:ind w:right="20" w:firstLine="648"/>
        <w:spacing w:after="0" w:line="219" w:lineRule="exact"/>
        <w:rPr>
          <w:sz w:val="20"/>
          <w:szCs w:val="20"/>
          <w:color w:val="auto"/>
        </w:rPr>
      </w:pPr>
      <w:r>
        <w:rPr>
          <w:rFonts w:ascii="Arial" w:cs="Arial" w:eastAsia="Arial" w:hAnsi="Arial"/>
          <w:sz w:val="18"/>
          <w:szCs w:val="18"/>
          <w:color w:val="auto"/>
        </w:rPr>
        <w:t>These third parties are not our employees and we are not able to control, other than by contract, the amount of resources, including time, which they devote to our clinical trials. If our CROs, their subcontractors or the clinical trial sites fail to devote sufficient resources to the development of our product candidates, or if their performance is substandard, it may delay or compromise the prospects for approval and commercialization of our product candidates. In addition, the use of third</w:t>
      </w:r>
      <w:r>
        <w:rPr>
          <w:rFonts w:ascii="MS PGothic" w:cs="MS PGothic" w:eastAsia="MS PGothic" w:hAnsi="MS PGothic"/>
          <w:sz w:val="18"/>
          <w:szCs w:val="18"/>
          <w:color w:val="auto"/>
        </w:rPr>
        <w:t>‑</w:t>
      </w:r>
      <w:r>
        <w:rPr>
          <w:rFonts w:ascii="Arial" w:cs="Arial" w:eastAsia="Arial" w:hAnsi="Arial"/>
          <w:sz w:val="18"/>
          <w:szCs w:val="18"/>
          <w:color w:val="auto"/>
        </w:rPr>
        <w:t>party service providers requires us to disclose our proprietary information to these parties, which could increase the risk that this information is misappropriated.</w:t>
      </w:r>
    </w:p>
    <w:p>
      <w:pPr>
        <w:spacing w:after="0" w:line="203"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If the third parties conducting our preclinical studies or our clinical trials do not perform their contractual duties or obligations, experience significant business challenges, disruptions or failures, do not meet expected deadlines,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terminate their agreements with us or need to be replaced, or if the quality or accuracy of the data they obtain is compromised due to their failure to adhere to our protocols or to GCPs, or for any other reason, we may need to enter into new arrangements with alternative third parties. This could be difficult, costly or impossible, and our preclinical studies or clinical trials may need to be extended, delayed, terminated or repeated. As a result, we may not be able to obtain regulatory approval in a timely fashion, or at all, for the applicable product candidate, our financial results and the commercial prospects for our product candidates would be harmed, our costs could increase, and our ability to generate revenues could be delayed.</w:t>
      </w:r>
    </w:p>
    <w:p>
      <w:pPr>
        <w:spacing w:after="0" w:line="165"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If any of our relationships with these third</w:t>
      </w:r>
      <w:r>
        <w:rPr>
          <w:rFonts w:ascii="MS PGothic" w:cs="MS PGothic" w:eastAsia="MS PGothic" w:hAnsi="MS PGothic"/>
          <w:sz w:val="17"/>
          <w:szCs w:val="17"/>
          <w:color w:val="auto"/>
        </w:rPr>
        <w:t>‑</w:t>
      </w:r>
      <w:r>
        <w:rPr>
          <w:rFonts w:ascii="Arial" w:cs="Arial" w:eastAsia="Arial" w:hAnsi="Arial"/>
          <w:sz w:val="17"/>
          <w:szCs w:val="17"/>
          <w:color w:val="auto"/>
        </w:rPr>
        <w:t>party CROs terminate, we may not be able to enter into arrangements with alternative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at all or on commercially reasonable terms. If CROs, their subcontractors or the clinical trial sites do not successfully carry out their contractual duties or obligations or meet expected deadlines, if they need to be replaced or if the quality or accuracy of the clinical data they obtain is compromised due to their failure to adhere to our clinical protocols, regulatory requirements or for other reasons, any clinical trials such CROs, subcontractors or clinical trial sites are associated with may be extended, delayed or terminated, and we may not be able to obtain regulatory approval for or successfully commercialize our product candidates. As a result, our financial results and the commercial prospects for our product candidates in the subject indication would be harmed, our costs could increase and our ability to generate revenue could be delayed.</w:t>
      </w:r>
    </w:p>
    <w:p>
      <w:pPr>
        <w:spacing w:after="0" w:line="2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70"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w:t>
      </w:r>
      <w:r>
        <w:rPr>
          <w:rFonts w:ascii="MS PGothic" w:cs="MS PGothic" w:eastAsia="MS PGothic" w:hAnsi="MS PGothic"/>
          <w:sz w:val="16"/>
          <w:szCs w:val="16"/>
          <w:color w:val="auto"/>
        </w:rPr>
        <w:t>‑</w:t>
      </w:r>
      <w:r>
        <w:rPr>
          <w:rFonts w:ascii="Arial" w:cs="Arial" w:eastAsia="Arial" w:hAnsi="Arial"/>
          <w:sz w:val="16"/>
          <w:szCs w:val="16"/>
          <w:color w:val="auto"/>
        </w:rPr>
        <w:t>how and trade secrets, a competitor’s discovery of our trade secrets or other unauthorized use or disclosure would impair our competitive position and may harm our business. To the extent that we share trade secrets of third parties that are licensed to us, unauthorized use or disclosure could expose us to liability.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Competition, Executing our Strategy, Retaining Key Employees and Managing Growth</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drugs before or more successfully than we do.</w:t>
      </w:r>
    </w:p>
    <w:p>
      <w:pPr>
        <w:spacing w:after="0" w:line="17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The development and commercialization of new drugs and biologics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biologics or are pursuing the development of therapies in the fields in which we are interested.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7" w:lineRule="exact"/>
        <w:rPr>
          <w:sz w:val="20"/>
          <w:szCs w:val="20"/>
          <w:color w:val="auto"/>
        </w:rPr>
      </w:pPr>
    </w:p>
    <w:p>
      <w:pPr>
        <w:ind w:right="40" w:firstLine="648"/>
        <w:spacing w:after="0" w:line="220" w:lineRule="exact"/>
        <w:rPr>
          <w:sz w:val="20"/>
          <w:szCs w:val="20"/>
          <w:color w:val="auto"/>
        </w:rPr>
      </w:pPr>
      <w:r>
        <w:rPr>
          <w:rFonts w:ascii="Arial" w:cs="Arial" w:eastAsia="Arial" w:hAnsi="Arial"/>
          <w:sz w:val="17"/>
          <w:szCs w:val="17"/>
          <w:color w:val="auto"/>
        </w:rPr>
        <w:t>While we are not aware of any therapies currently approved or actively continuing clinical trials in recurrent pericarditis, there is one product that modulates the signaling of IL</w:t>
      </w:r>
      <w:r>
        <w:rPr>
          <w:rFonts w:ascii="MS PGothic" w:cs="MS PGothic" w:eastAsia="MS PGothic" w:hAnsi="MS PGothic"/>
          <w:sz w:val="17"/>
          <w:szCs w:val="17"/>
          <w:color w:val="auto"/>
        </w:rPr>
        <w:t>‑</w:t>
      </w:r>
      <w:r>
        <w:rPr>
          <w:rFonts w:ascii="Arial" w:cs="Arial" w:eastAsia="Arial" w:hAnsi="Arial"/>
          <w:sz w:val="17"/>
          <w:szCs w:val="17"/>
          <w:color w:val="auto"/>
        </w:rPr>
        <w:t>1α and IL</w:t>
      </w:r>
      <w:r>
        <w:rPr>
          <w:rFonts w:ascii="MS PGothic" w:cs="MS PGothic" w:eastAsia="MS PGothic" w:hAnsi="MS PGothic"/>
          <w:sz w:val="17"/>
          <w:szCs w:val="17"/>
          <w:color w:val="auto"/>
        </w:rPr>
        <w:t>‑</w:t>
      </w:r>
      <w:r>
        <w:rPr>
          <w:rFonts w:ascii="Arial" w:cs="Arial" w:eastAsia="Arial" w:hAnsi="Arial"/>
          <w:sz w:val="17"/>
          <w:szCs w:val="17"/>
          <w:color w:val="auto"/>
        </w:rPr>
        <w:t>1β, anakinra (KINERET), marketed by Swedish Orphan Biovitrum AB, and one product that modulates the signaling of IL</w:t>
      </w:r>
      <w:r>
        <w:rPr>
          <w:rFonts w:ascii="MS PGothic" w:cs="MS PGothic" w:eastAsia="MS PGothic" w:hAnsi="MS PGothic"/>
          <w:sz w:val="17"/>
          <w:szCs w:val="17"/>
          <w:color w:val="auto"/>
        </w:rPr>
        <w:t>‑</w:t>
      </w:r>
      <w:r>
        <w:rPr>
          <w:rFonts w:ascii="Arial" w:cs="Arial" w:eastAsia="Arial" w:hAnsi="Arial"/>
          <w:sz w:val="17"/>
          <w:szCs w:val="17"/>
          <w:color w:val="auto"/>
        </w:rPr>
        <w:t>1β, canakinumab (ILARIS), marketed by Novartis Pharmaceuticals Corporation. There is also another therapy which modulates IL</w:t>
      </w:r>
      <w:r>
        <w:rPr>
          <w:rFonts w:ascii="MS PGothic" w:cs="MS PGothic" w:eastAsia="MS PGothic" w:hAnsi="MS PGothic"/>
          <w:sz w:val="17"/>
          <w:szCs w:val="17"/>
          <w:color w:val="auto"/>
        </w:rPr>
        <w:t>‑</w:t>
      </w:r>
      <w:r>
        <w:rPr>
          <w:rFonts w:ascii="Arial" w:cs="Arial" w:eastAsia="Arial" w:hAnsi="Arial"/>
          <w:sz w:val="17"/>
          <w:szCs w:val="17"/>
          <w:color w:val="auto"/>
        </w:rPr>
        <w:t>1α in clinical</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development for diseases other than recurrent pericarditis from Johnson &amp; Johnson. We expect mavrilimumab, if approved, to experience competitive pressure from tocilizumab (ACTEMRA), marketed by Genentech USA, Inc., which was approved in 2017 for use in GCA as an adjunct to steroid taper. Additional competition may be experienced from Eli Lilly and Company and AbbVie, Inc., which are conducting clinical trials for oral janus kinase inhibitors, Sanofi S.A. and Regeneron, which are recruiting a Phase 3 clinical trial with their anti-IL-6 program, Novartis International AG, which is recruiting a trial with its IL-17 antagonist secukinumab (Cosentyx) and Janssen Biotech, Inc., which is testing ustekinumab (STELARA) in two small studies for GCA. There are multiple other programs targeting GM-CSF antagonism not currently pursuing GCA in clinical trials that could decide in the future to engage in development of therapies for GCA, including GlaxoSmithKline plc, Izana Bioscience and Humanigen, Inc. Multiple therapies are in development for prurigo nodularis and any that receive FDA approval for this indication will be likely competitors to KPL</w:t>
      </w:r>
      <w:r>
        <w:rPr>
          <w:rFonts w:ascii="MS PGothic" w:cs="MS PGothic" w:eastAsia="MS PGothic" w:hAnsi="MS PGothic"/>
          <w:sz w:val="17"/>
          <w:szCs w:val="17"/>
          <w:color w:val="auto"/>
        </w:rPr>
        <w:t>‑</w:t>
      </w:r>
      <w:r>
        <w:rPr>
          <w:rFonts w:ascii="Arial" w:cs="Arial" w:eastAsia="Arial" w:hAnsi="Arial"/>
          <w:sz w:val="17"/>
          <w:szCs w:val="17"/>
          <w:color w:val="auto"/>
        </w:rPr>
        <w:t>716. These products include nemolizumab, serlopitant and nalbuphine ER. There are multiple agents targeting antagonism of the CD40/CD40L interaction across a variety of clinical uses including, Novartis International AG, Biogen Inc. and UCB, Inc., C.H. Boehringer Sohn AG &amp; Ko. KG and Abbvie Inc., Annelixis Therapeutics LLC, ImmuNext Inc. and Sanofi S.A., Viela Bio and Astellas Pharma Inc. Further, the results of clinical trials for our product candidates may produce negative, inconclusive or uncompetitive results compared to those produced by any of these or other companies in the indications we are studying, which may result in us deciding, or regulators requiring us, to conduct additional clinical trials or modify or cease development programs for our product candidates.</w:t>
      </w:r>
    </w:p>
    <w:p>
      <w:pPr>
        <w:spacing w:after="0" w:line="206" w:lineRule="exact"/>
        <w:rPr>
          <w:sz w:val="20"/>
          <w:szCs w:val="20"/>
          <w:color w:val="auto"/>
        </w:rPr>
      </w:pPr>
    </w:p>
    <w:p>
      <w:pPr>
        <w:ind w:right="60" w:firstLine="648"/>
        <w:spacing w:after="0" w:line="218" w:lineRule="exact"/>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Smaller or early</w:t>
      </w:r>
      <w:r>
        <w:rPr>
          <w:rFonts w:ascii="MS PGothic" w:cs="MS PGothic" w:eastAsia="MS PGothic" w:hAnsi="MS PGothic"/>
          <w:sz w:val="18"/>
          <w:szCs w:val="18"/>
          <w:color w:val="auto"/>
        </w:rPr>
        <w:t>‑</w:t>
      </w:r>
      <w:r>
        <w:rPr>
          <w:rFonts w:ascii="Arial" w:cs="Arial" w:eastAsia="Arial" w:hAnsi="Arial"/>
          <w:sz w:val="18"/>
          <w:szCs w:val="18"/>
          <w:color w:val="auto"/>
        </w:rPr>
        <w:t>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5"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drugs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effectiveness of companion diagnostics in guiding the use of related products, market acceptance by physicians and patients, the level of generic competition and the availability of reimbursement from government and other third</w:t>
      </w:r>
      <w:r>
        <w:rPr>
          <w:rFonts w:ascii="MS PGothic" w:cs="MS PGothic" w:eastAsia="MS PGothic" w:hAnsi="MS PGothic"/>
          <w:sz w:val="17"/>
          <w:szCs w:val="17"/>
          <w:color w:val="auto"/>
        </w:rPr>
        <w:t>‑</w:t>
      </w:r>
      <w:r>
        <w:rPr>
          <w:rFonts w:ascii="Arial" w:cs="Arial" w:eastAsia="Arial" w:hAnsi="Arial"/>
          <w:sz w:val="17"/>
          <w:szCs w:val="17"/>
          <w:color w:val="auto"/>
        </w:rPr>
        <w:t>party payors.</w:t>
      </w:r>
    </w:p>
    <w:p>
      <w:pPr>
        <w:spacing w:after="0" w:line="205"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b w:val="1"/>
          <w:bCs w:val="1"/>
          <w:i w:val="1"/>
          <w:iCs w:val="1"/>
          <w:color w:val="auto"/>
        </w:rPr>
        <w:t>We may not be successful in executing our growth strategy to identify, discover, develop, in</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license or acquire additional product candidates or technologies, and our growth strategy may not deliver the anticipated results or we may refine or otherwise alter our growth strategy. We may seek to acquire businesses or undertake business combinations, collaborations, or other strategic transactions which may not be successful or on favorable terms, if at all, and we may not realize the intended benefits of such transactions.</w:t>
      </w:r>
    </w:p>
    <w:p>
      <w:pPr>
        <w:spacing w:after="0" w:line="205"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We have acquired or in</w:t>
      </w:r>
      <w:r>
        <w:rPr>
          <w:rFonts w:ascii="MS PGothic" w:cs="MS PGothic" w:eastAsia="MS PGothic" w:hAnsi="MS PGothic"/>
          <w:sz w:val="17"/>
          <w:szCs w:val="17"/>
          <w:color w:val="auto"/>
        </w:rPr>
        <w:t>‑</w:t>
      </w:r>
      <w:r>
        <w:rPr>
          <w:rFonts w:ascii="Arial" w:cs="Arial" w:eastAsia="Arial" w:hAnsi="Arial"/>
          <w:sz w:val="17"/>
          <w:szCs w:val="17"/>
          <w:color w:val="auto"/>
        </w:rPr>
        <w:t>licensed our existing product candidates, and as part of our strategy we plan to identify new product candidates or technologies that we believe are complementary to our existing product candidates. We may do this through our internal discovery program, or by acquiring the rights to product candidates and technologies through a variety of transaction types, including in</w:t>
      </w:r>
      <w:r>
        <w:rPr>
          <w:rFonts w:ascii="MS PGothic" w:cs="MS PGothic" w:eastAsia="MS PGothic" w:hAnsi="MS PGothic"/>
          <w:sz w:val="17"/>
          <w:szCs w:val="17"/>
          <w:color w:val="auto"/>
        </w:rPr>
        <w:t>‑</w:t>
      </w:r>
      <w:r>
        <w:rPr>
          <w:rFonts w:ascii="Arial" w:cs="Arial" w:eastAsia="Arial" w:hAnsi="Arial"/>
          <w:sz w:val="17"/>
          <w:szCs w:val="17"/>
          <w:color w:val="auto"/>
        </w:rPr>
        <w:t>licensing, strategic transactions, mergers or acquisitions. If we are unable to identify, discover, develop, in</w:t>
      </w:r>
      <w:r>
        <w:rPr>
          <w:rFonts w:ascii="MS PGothic" w:cs="MS PGothic" w:eastAsia="MS PGothic" w:hAnsi="MS PGothic"/>
          <w:sz w:val="17"/>
          <w:szCs w:val="17"/>
          <w:color w:val="auto"/>
        </w:rPr>
        <w:t>‑</w:t>
      </w:r>
      <w:r>
        <w:rPr>
          <w:rFonts w:ascii="Arial" w:cs="Arial" w:eastAsia="Arial" w:hAnsi="Arial"/>
          <w:sz w:val="17"/>
          <w:szCs w:val="17"/>
          <w:color w:val="auto"/>
        </w:rPr>
        <w:t>license or otherwise acquire and integrate product candidates, or their related companies, in accordance with this strategy, our ability to pursue this component of our growth strategy would be limited and we may need to refine or otherwise alter this strategy. We cannot be certain that we will be successful in such efforts, and even if we are successful in such efforts, we cannot be certain that such discovery or transaction will be on favorable terms, or that, following any such discovery or transaction, we will be able to realize the intended benefits of it.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Research programs and business development efforts to identify new product candidates and technologies require substantial technical, financial and human resources. We may focus our efforts and resources on potential product candidates, technologies or businesses that ultimately prove to be unsuccessful. In</w:t>
      </w:r>
      <w:r>
        <w:rPr>
          <w:rFonts w:ascii="MS PGothic" w:cs="MS PGothic" w:eastAsia="MS PGothic" w:hAnsi="MS PGothic"/>
          <w:sz w:val="16"/>
          <w:szCs w:val="16"/>
          <w:color w:val="auto"/>
        </w:rPr>
        <w:t>‑</w:t>
      </w:r>
      <w:r>
        <w:rPr>
          <w:rFonts w:ascii="Arial" w:cs="Arial" w:eastAsia="Arial" w:hAnsi="Arial"/>
          <w:sz w:val="16"/>
          <w:szCs w:val="16"/>
          <w:color w:val="auto"/>
        </w:rPr>
        <w:t>licensing and acquisitions of product candidates, technology or businesses often require significant payments and expenses and consume additional resources. We will need to continue to devote a substantial amount of time and personnel to research, develop and commercialize any such in</w:t>
      </w:r>
      <w:r>
        <w:rPr>
          <w:rFonts w:ascii="MS PGothic" w:cs="MS PGothic" w:eastAsia="MS PGothic" w:hAnsi="MS PGothic"/>
          <w:sz w:val="16"/>
          <w:szCs w:val="16"/>
          <w:color w:val="auto"/>
        </w:rPr>
        <w:t>‑</w:t>
      </w:r>
      <w:r>
        <w:rPr>
          <w:rFonts w:ascii="Arial" w:cs="Arial" w:eastAsia="Arial" w:hAnsi="Arial"/>
          <w:sz w:val="16"/>
          <w:szCs w:val="16"/>
          <w:color w:val="auto"/>
        </w:rPr>
        <w:t>licensed or acquired product candidate or technology, or integrate any new business, and we may decide to reprioritize our efforts even after having expended resources on a particular prospect. Our research programs and business development efforts, including businesses or technology acquisitions, collaborations or licensing attempts, may fail to yield additional complementary or successful product candidates for clinical development and commercialization or successful business combinations for a number of reasons, including, but not limited to, the following:</w:t>
      </w:r>
    </w:p>
    <w:p>
      <w:pPr>
        <w:spacing w:after="0" w:line="207" w:lineRule="exact"/>
        <w:rPr>
          <w:sz w:val="20"/>
          <w:szCs w:val="20"/>
          <w:color w:val="auto"/>
        </w:rPr>
      </w:pPr>
    </w:p>
    <w:p>
      <w:pPr>
        <w:jc w:val="both"/>
        <w:ind w:left="980" w:right="520" w:hanging="329"/>
        <w:spacing w:after="0" w:line="264"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 or businesses with a high probability of success for development progression;</w:t>
      </w:r>
    </w:p>
    <w:p>
      <w:pPr>
        <w:spacing w:after="0" w:line="181" w:lineRule="exact"/>
        <w:rPr>
          <w:rFonts w:ascii="Arial" w:cs="Arial" w:eastAsia="Arial" w:hAnsi="Arial"/>
          <w:sz w:val="18"/>
          <w:szCs w:val="18"/>
          <w:color w:val="auto"/>
        </w:rPr>
      </w:pPr>
    </w:p>
    <w:p>
      <w:pPr>
        <w:ind w:left="980" w:hanging="329"/>
        <w:spacing w:after="0" w:line="221" w:lineRule="exact"/>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or expertise to in</w:t>
      </w:r>
      <w:r>
        <w:rPr>
          <w:rFonts w:ascii="MS PGothic" w:cs="MS PGothic" w:eastAsia="MS PGothic" w:hAnsi="MS PGothic"/>
          <w:sz w:val="18"/>
          <w:szCs w:val="18"/>
          <w:color w:val="auto"/>
        </w:rPr>
        <w:t>‑</w:t>
      </w:r>
      <w:r>
        <w:rPr>
          <w:rFonts w:ascii="Arial" w:cs="Arial" w:eastAsia="Arial" w:hAnsi="Arial"/>
          <w:sz w:val="18"/>
          <w:szCs w:val="18"/>
          <w:color w:val="auto"/>
        </w:rPr>
        <w:t>license, acquire or discover additional product candidates or acquire businesses or undertake business combinations, collaborations, or other strategic transactions;</w:t>
      </w:r>
    </w:p>
    <w:p>
      <w:pPr>
        <w:spacing w:after="0" w:line="201" w:lineRule="exact"/>
        <w:rPr>
          <w:rFonts w:ascii="Arial" w:cs="Arial" w:eastAsia="Arial" w:hAnsi="Arial"/>
          <w:sz w:val="18"/>
          <w:szCs w:val="18"/>
          <w:color w:val="auto"/>
        </w:rPr>
      </w:pPr>
    </w:p>
    <w:p>
      <w:pPr>
        <w:jc w:val="both"/>
        <w:ind w:left="980" w:right="520" w:hanging="329"/>
        <w:spacing w:after="0" w:line="221" w:lineRule="exact"/>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product candidates we seek to in</w:t>
      </w:r>
      <w:r>
        <w:rPr>
          <w:rFonts w:ascii="MS PGothic" w:cs="MS PGothic" w:eastAsia="MS PGothic" w:hAnsi="MS PGothic"/>
          <w:sz w:val="16"/>
          <w:szCs w:val="16"/>
          <w:color w:val="auto"/>
        </w:rPr>
        <w:t>‑</w:t>
      </w:r>
      <w:r>
        <w:rPr>
          <w:rFonts w:ascii="Arial" w:cs="Arial" w:eastAsia="Arial" w:hAnsi="Arial"/>
          <w:sz w:val="16"/>
          <w:szCs w:val="16"/>
          <w:color w:val="auto"/>
        </w:rPr>
        <w:t>license or acquire or for businesses we seek to acquire or undertake business combinations, collaborations or other strategic transactions with, we may not be able to agree to acceptable terms with the licensor or owner of those product candidates or businesses;</w:t>
      </w:r>
    </w:p>
    <w:p>
      <w:pPr>
        <w:spacing w:after="0" w:line="201" w:lineRule="exact"/>
        <w:rPr>
          <w:rFonts w:ascii="Arial" w:cs="Arial" w:eastAsia="Arial" w:hAnsi="Arial"/>
          <w:sz w:val="16"/>
          <w:szCs w:val="16"/>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succeed in formulation or process development;</w:t>
      </w:r>
    </w:p>
    <w:p>
      <w:pPr>
        <w:spacing w:after="0" w:line="225" w:lineRule="exact"/>
        <w:rPr>
          <w:rFonts w:ascii="Arial" w:cs="Arial" w:eastAsia="Arial" w:hAnsi="Arial"/>
          <w:sz w:val="18"/>
          <w:szCs w:val="18"/>
          <w:color w:val="auto"/>
        </w:rPr>
      </w:pPr>
    </w:p>
    <w:p>
      <w:pPr>
        <w:ind w:left="980" w:hanging="329"/>
        <w:spacing w:after="0" w:line="264"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product candidates to which we acquire the rights or that we discover may not succeed in preclinical studies or clinical trials or may be shown to have harmful side effects or may have other characteristics that may make the products unmarketable or unlikely to receive regulatory approval;</w:t>
      </w:r>
    </w:p>
    <w:p>
      <w:pPr>
        <w:spacing w:after="0" w:line="181" w:lineRule="exact"/>
        <w:rPr>
          <w:rFonts w:ascii="Arial" w:cs="Arial" w:eastAsia="Arial" w:hAnsi="Arial"/>
          <w:sz w:val="18"/>
          <w:szCs w:val="18"/>
          <w:color w:val="auto"/>
        </w:rPr>
      </w:pPr>
    </w:p>
    <w:p>
      <w:pPr>
        <w:ind w:left="980" w:right="220" w:hanging="329"/>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competitors may develop alternatives that render any product candidates or technologies to which we acquire the rights or that we discover, obsolete or less attractive;</w:t>
      </w:r>
    </w:p>
    <w:p>
      <w:pPr>
        <w:spacing w:after="0" w:line="170" w:lineRule="exact"/>
        <w:rPr>
          <w:rFonts w:ascii="Arial" w:cs="Arial" w:eastAsia="Arial" w:hAnsi="Arial"/>
          <w:sz w:val="18"/>
          <w:szCs w:val="18"/>
          <w:color w:val="auto"/>
        </w:rPr>
      </w:pPr>
    </w:p>
    <w:p>
      <w:pPr>
        <w:ind w:left="980" w:right="80" w:hanging="329"/>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product candidates or technologies to which we acquire the rights may be covered by third-party patents or other exclusive rights;</w:t>
      </w:r>
    </w:p>
    <w:p>
      <w:pPr>
        <w:spacing w:after="0" w:line="170" w:lineRule="exact"/>
        <w:rPr>
          <w:rFonts w:ascii="Arial" w:cs="Arial" w:eastAsia="Arial" w:hAnsi="Arial"/>
          <w:sz w:val="18"/>
          <w:szCs w:val="18"/>
          <w:color w:val="auto"/>
        </w:rPr>
      </w:pPr>
    </w:p>
    <w:p>
      <w:pPr>
        <w:ind w:left="980" w:right="180" w:hanging="329"/>
        <w:spacing w:after="0" w:line="308"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product candidates or technologies to which we acquire the rights or that we discover may not allow us to leverage our expertise and our development and commercial infrastructure as currently expected;</w:t>
      </w:r>
    </w:p>
    <w:p>
      <w:pPr>
        <w:spacing w:after="0" w:line="146" w:lineRule="exact"/>
        <w:rPr>
          <w:rFonts w:ascii="Arial" w:cs="Arial" w:eastAsia="Arial" w:hAnsi="Arial"/>
          <w:sz w:val="17"/>
          <w:szCs w:val="17"/>
          <w:color w:val="auto"/>
        </w:rPr>
      </w:pPr>
    </w:p>
    <w:p>
      <w:pPr>
        <w:ind w:left="980" w:right="160" w:hanging="329"/>
        <w:spacing w:after="0" w:line="342"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product candidates or technologies to which we acquire the rights or that we discover will take substantial additional financial resources to develop and commercialize and we may not have sufficient funds to do so;</w:t>
      </w:r>
    </w:p>
    <w:p>
      <w:pPr>
        <w:spacing w:after="0" w:line="123" w:lineRule="exact"/>
        <w:rPr>
          <w:rFonts w:ascii="Arial" w:cs="Arial" w:eastAsia="Arial" w:hAnsi="Arial"/>
          <w:sz w:val="16"/>
          <w:szCs w:val="16"/>
          <w:color w:val="auto"/>
        </w:rPr>
      </w:pPr>
    </w:p>
    <w:p>
      <w:pPr>
        <w:ind w:left="980" w:right="220" w:hanging="329"/>
        <w:spacing w:after="0" w:line="264"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market for any product candidates or technologies to which we acquire the rights or that we discover may change during our program so that such a product or technology may become unreasonable to continue to develop;</w:t>
      </w:r>
    </w:p>
    <w:p>
      <w:pPr>
        <w:spacing w:after="0" w:line="181" w:lineRule="exact"/>
        <w:rPr>
          <w:rFonts w:ascii="Arial" w:cs="Arial" w:eastAsia="Arial" w:hAnsi="Arial"/>
          <w:sz w:val="18"/>
          <w:szCs w:val="18"/>
          <w:color w:val="auto"/>
        </w:rPr>
      </w:pPr>
    </w:p>
    <w:p>
      <w:pPr>
        <w:ind w:left="980" w:right="60" w:hanging="329"/>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product candidate to which we acquire the rights or that we discover may not be capable of being produced in commercial quantities at an acceptable cost, or at all; and</w:t>
      </w:r>
    </w:p>
    <w:p>
      <w:pPr>
        <w:spacing w:after="0" w:line="170" w:lineRule="exact"/>
        <w:rPr>
          <w:rFonts w:ascii="Arial" w:cs="Arial" w:eastAsia="Arial" w:hAnsi="Arial"/>
          <w:sz w:val="18"/>
          <w:szCs w:val="18"/>
          <w:color w:val="auto"/>
        </w:rPr>
      </w:pPr>
    </w:p>
    <w:p>
      <w:pPr>
        <w:ind w:left="980" w:right="500" w:hanging="329"/>
        <w:spacing w:after="0" w:line="223" w:lineRule="exact"/>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product candidate to which we acquire the rights or that we discover may not be accepted as safe and effective by patients, the medical community or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If any of these events occurs, we may not be successful in executing our growth strategy to identify, discover, develop, in-license or acquire additional product candidates or technologies or to acquire businesses or undertake business combinations, collaborations, or other strategic transactions, or our growth strategy or strategic transactions may not deliver the anticipated results or we may refine or otherwise alter this strategy.</w:t>
      </w:r>
    </w:p>
    <w:p>
      <w:pPr>
        <w:spacing w:after="0" w:line="18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consummation or performance of any acquisition, business combination, collaboration or other strategic transaction we may undertake in furtherance of our growth strategy or any refined or otherwise altered strategy, may involve additional risks, such as difficulties in assimilating different cultures, retaining personnel and integrating operations, which may be geographically dispersed, increased costs, exposure to liabilities, incurrence of indebtedness, or use a substantial portion of our available cash for all or a portion of the consideration or cause dilution to our existing shareholders if we issue equity securities for all or a portion of the consideration. If any of these events occurs or we are unable to meet our strategic objectives for any such transaction, we may not be able to achieve the expected benefits from the transaction and our business may be materially harmed.</w:t>
      </w:r>
    </w:p>
    <w:p>
      <w:pPr>
        <w:spacing w:after="0" w:line="179" w:lineRule="exact"/>
        <w:rPr>
          <w:sz w:val="20"/>
          <w:szCs w:val="20"/>
          <w:color w:val="auto"/>
        </w:rPr>
      </w:pPr>
    </w:p>
    <w:p>
      <w:pPr>
        <w:ind w:right="360"/>
        <w:spacing w:after="0" w:line="327" w:lineRule="auto"/>
        <w:rPr>
          <w:sz w:val="20"/>
          <w:szCs w:val="20"/>
          <w:color w:val="auto"/>
        </w:rPr>
      </w:pPr>
      <w:r>
        <w:rPr>
          <w:rFonts w:ascii="Arial" w:cs="Arial" w:eastAsia="Arial" w:hAnsi="Arial"/>
          <w:sz w:val="15"/>
          <w:szCs w:val="15"/>
          <w:b w:val="1"/>
          <w:bCs w:val="1"/>
          <w:i w:val="1"/>
          <w:iCs w:val="1"/>
          <w:color w:val="auto"/>
        </w:rPr>
        <w:t>We may seek to enter into collaboration, licensing or other strategic transactions or arrangements to further develop, commercialize or otherwise attempt to realize value from one or more of our product candidates and any such transactions or arrangements that we may enter into may not be successful or be on favorable terms, which could adversely affect our ability to develop, commercialize or attempt to realize value from our product candidates.</w:t>
      </w:r>
    </w:p>
    <w:p>
      <w:pPr>
        <w:spacing w:after="0" w:line="14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may seek collaboration, licensing or other strategic transactions or arrangements to further develop, commercialize or otherwise attempt to realize value from one or more of our product candidates depending on the merits of retaining rights to develop or commercialize the product candidates ourselves as compared to entering into such transactions or arrangements. In addition, we may seek to jointly develop, commercialize or otherwise exploit one or more of our product candidates with a third party. To the extent that we decide to enter into such transactions or arrangements, we will face significant competition in seeking appropriate collaborators, licensees or other strategic parties. Moreover, these transactions and arrangements are complex and time consuming to negotiate, document, implement and to close or maintain. We may not be successful in our efforts to establish collaborations, licenses or other strategic transactions or arrangements should we so chose to do so. The terms of any such transactions or arrangements that we may establish may not be favorable to us. In addition, our right to grant a sublicense of intellectual property licensed to us under certain of our current agreements requires the consent of the applicable licensor.</w:t>
      </w:r>
    </w:p>
    <w:p>
      <w:pPr>
        <w:spacing w:after="0" w:line="183"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Any future collaborations, licenses or other strategic transactions or arrangements that we enter into may not be successful. The success of these potential collaboration, license arrangements and other strategic transactions or arrangements may depend heavily on the efforts and activities of our collaborators, sublicensees or other strategic parties. Collaborations, licenses or other strategic transactions or arrangements are subject to numerous risks, which may include risks that the collaborator, licensee or other strategic party, as applicable:</w:t>
      </w:r>
    </w:p>
    <w:p>
      <w:pPr>
        <w:spacing w:after="0" w:line="173" w:lineRule="exact"/>
        <w:rPr>
          <w:sz w:val="20"/>
          <w:szCs w:val="20"/>
          <w:color w:val="auto"/>
        </w:rPr>
      </w:pPr>
    </w:p>
    <w:p>
      <w:pPr>
        <w:ind w:left="980" w:hanging="329"/>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may have significant discretion in determining the efforts and resources that they will apply;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may not commit sufficient resources to or otherwise not perform satisfactorily in carrying out its activities;</w:t>
      </w:r>
    </w:p>
    <w:p>
      <w:pPr>
        <w:spacing w:after="0" w:line="236" w:lineRule="exact"/>
        <w:rPr>
          <w:rFonts w:ascii="Arial" w:cs="Arial" w:eastAsia="Arial" w:hAnsi="Arial"/>
          <w:sz w:val="17"/>
          <w:szCs w:val="17"/>
          <w:color w:val="auto"/>
        </w:rPr>
      </w:pPr>
    </w:p>
    <w:p>
      <w:pPr>
        <w:ind w:left="980" w:right="380" w:hanging="329"/>
        <w:spacing w:after="0" w:line="312"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46" w:lineRule="exact"/>
        <w:rPr>
          <w:rFonts w:ascii="Arial" w:cs="Arial" w:eastAsia="Arial" w:hAnsi="Arial"/>
          <w:sz w:val="16"/>
          <w:szCs w:val="16"/>
          <w:color w:val="auto"/>
        </w:rPr>
      </w:pPr>
    </w:p>
    <w:p>
      <w:pPr>
        <w:ind w:left="980" w:right="40" w:hanging="329"/>
        <w:spacing w:after="0" w:line="220" w:lineRule="exact"/>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may own or co</w:t>
      </w:r>
      <w:r>
        <w:rPr>
          <w:rFonts w:ascii="MS PGothic" w:cs="MS PGothic" w:eastAsia="MS PGothic" w:hAnsi="MS PGothic"/>
          <w:sz w:val="16"/>
          <w:szCs w:val="16"/>
          <w:color w:val="auto"/>
        </w:rPr>
        <w:t>‑</w:t>
      </w:r>
      <w:r>
        <w:rPr>
          <w:rFonts w:ascii="Arial" w:cs="Arial" w:eastAsia="Arial" w:hAnsi="Arial"/>
          <w:sz w:val="16"/>
          <w:szCs w:val="16"/>
          <w:color w:val="auto"/>
        </w:rPr>
        <w:t>own intellectual property covering products that results from our arrangement with them, and in such cases, we would not have the exclusive right to develop or commercialize such intellectual property, and even if we are able to license such exclusive rights, we may have to enter into a license agreement that include obligations to make milestone, royalty or other payments under such agreement; and</w:t>
      </w:r>
    </w:p>
    <w:p>
      <w:pPr>
        <w:spacing w:after="0" w:line="203" w:lineRule="exact"/>
        <w:rPr>
          <w:rFonts w:ascii="Arial" w:cs="Arial" w:eastAsia="Arial" w:hAnsi="Arial"/>
          <w:sz w:val="16"/>
          <w:szCs w:val="16"/>
          <w:color w:val="auto"/>
        </w:rPr>
      </w:pPr>
    </w:p>
    <w:p>
      <w:pPr>
        <w:ind w:left="980" w:right="220" w:hanging="329"/>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may conduct sales and marketing activities or other operations that may not be in compliance with applicable laws, resulting in civil or criminal proceedings.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00" w:firstLine="648"/>
        <w:spacing w:after="0" w:line="312" w:lineRule="auto"/>
        <w:rPr>
          <w:sz w:val="20"/>
          <w:szCs w:val="20"/>
          <w:color w:val="auto"/>
        </w:rPr>
      </w:pPr>
      <w:r>
        <w:rPr>
          <w:rFonts w:ascii="Arial" w:cs="Arial" w:eastAsia="Arial" w:hAnsi="Arial"/>
          <w:sz w:val="16"/>
          <w:szCs w:val="16"/>
          <w:color w:val="auto"/>
        </w:rPr>
        <w:t>In addition, disputes may arise with respect to the ownership of any intellectual property developed pursuant to these arrangements. These arrangements may also be terminated, and, if terminated, may result in a need for additional capital to pursue further development or commercialization of the applicable product candidates.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to attract, retain and motivate qualified personnel.</w:t>
      </w:r>
    </w:p>
    <w:p>
      <w:pPr>
        <w:spacing w:after="0" w:line="26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a limited operating history and are highly dependent on the research and development, clinical, commercial and business development expertise of members of our executive and senior management teams, as well as the other principal members of our management, scientific and clinical teams. Although we have entered into employment agreements with our executive officers and certain members of senior management, each of them or we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is also critical to our success. The failure to recruit, or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In November 2019, Stephen Mahoney, our Chief Operating Officer left our company to pursue other opportunities and we expect Chris Heberlig, our Chief Financial Officer, to transition to a consulting role in March 2020. Our EVP, Corporate Development and Operations and Chief Legal Officer, Thomas Beetham, and our SVP, Operations and Chief Commercial Officer, Qasim Rizvi, have taken on additional responsibilities with Mr. Mahoney’s departure. We have also commenced a search for a new Chief Financial Officer, but we may experience difficulties or delays in identifying a qualified replacement. These or other changes in our senior management may be disruptive to our business, and, if we are unable to manage an orderly transition, our business may be adversely affected.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 If we are not able to continue to attract and retain, on acceptable terms, the qualified personnel necessary for the continued development of our business, we may not be able to sustain our operations or growth.</w:t>
      </w:r>
    </w:p>
    <w:p>
      <w:pPr>
        <w:spacing w:after="0" w:line="19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We need to continue to develop our company and expand our scope of operations, and we may encounter difficulties in managing this development and expansion, which could disrupt our operations.</w:t>
      </w:r>
    </w:p>
    <w:p>
      <w:pPr>
        <w:spacing w:after="0" w:line="147" w:lineRule="exact"/>
        <w:rPr>
          <w:sz w:val="20"/>
          <w:szCs w:val="20"/>
          <w:color w:val="auto"/>
        </w:rPr>
      </w:pPr>
    </w:p>
    <w:p>
      <w:pPr>
        <w:ind w:right="60" w:firstLine="648"/>
        <w:spacing w:after="0" w:line="217" w:lineRule="exact"/>
        <w:rPr>
          <w:sz w:val="20"/>
          <w:szCs w:val="20"/>
          <w:color w:val="auto"/>
        </w:rPr>
      </w:pPr>
      <w:r>
        <w:rPr>
          <w:rFonts w:ascii="Arial" w:cs="Arial" w:eastAsia="Arial" w:hAnsi="Arial"/>
          <w:sz w:val="16"/>
          <w:szCs w:val="16"/>
          <w:color w:val="auto"/>
        </w:rPr>
        <w:t>We expect to continue to develop our company and expand the scope of our operations. To manage our anticipated development and expansion, we must continue to implement and improve our managerial, operational and financial systems, expand our facilities and continue to recruit and train qualified personnel. Also, our management may need to divert a disproportionate amount of its attention away from its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activities and devote a substantial amount of time to managing these development and expansion activities. Due to our limited resources, certain employees may need to perform activities that are beyond their regular scope of work, and we may not be able to effectively manage the development of our company, expansion of our operations or recruit and train qualified personnel. This may result in weaknesses of our infrastructure, give rise to operational mistakes, loss of business opportunities, loss of employees and reduced productivity among remaining employees. The expansion of our operations may lead to significant costs and may divert financial resources from other projects, such as the development of one or more of our product candidates. If our management is unable to effectively manage our expected development and expansion, our expenses may increase more than expected, our ability to generate revenue could be reduced and we may not be able to implement our business strategy. Our future financial performance and our ability to commercialize our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product candidates, if approved, and to compete effectively will depend, in part, on our ability to effectively manage the future development of our company and expansion of our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products, if the scope of the patent protection obtained is not sufficiently broad, or if the terms of our patents are insufficient to protect our product candidates for an adequate amount of time, our competitors could develop and commercialize technology and products similar or identical to ours, and our ability to successfully commercialize our technology and products may be materially impaired.</w:t>
      </w:r>
    </w:p>
    <w:p>
      <w:pPr>
        <w:spacing w:after="0" w:line="173" w:lineRule="exact"/>
        <w:rPr>
          <w:sz w:val="20"/>
          <w:szCs w:val="20"/>
          <w:color w:val="auto"/>
        </w:rPr>
      </w:pPr>
    </w:p>
    <w:p>
      <w:pPr>
        <w:ind w:right="160" w:firstLine="648"/>
        <w:spacing w:after="0" w:line="218" w:lineRule="exact"/>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in the United States and other countries for our product candidates, including rilonacept, mavrilimumab and KPL</w:t>
      </w:r>
      <w:r>
        <w:rPr>
          <w:rFonts w:ascii="MS PGothic" w:cs="MS PGothic" w:eastAsia="MS PGothic" w:hAnsi="MS PGothic"/>
          <w:sz w:val="16"/>
          <w:szCs w:val="16"/>
          <w:color w:val="auto"/>
        </w:rPr>
        <w:t>‑</w:t>
      </w:r>
      <w:r>
        <w:rPr>
          <w:rFonts w:ascii="Arial" w:cs="Arial" w:eastAsia="Arial" w:hAnsi="Arial"/>
          <w:sz w:val="16"/>
          <w:szCs w:val="16"/>
          <w:color w:val="auto"/>
        </w:rPr>
        <w:t>716.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w:t>
      </w:r>
      <w:r>
        <w:rPr>
          <w:rFonts w:ascii="MS PGothic" w:cs="MS PGothic" w:eastAsia="MS PGothic" w:hAnsi="MS PGothic"/>
          <w:sz w:val="16"/>
          <w:szCs w:val="16"/>
          <w:color w:val="auto"/>
        </w:rPr>
        <w:t>‑</w:t>
      </w:r>
      <w:r>
        <w:rPr>
          <w:rFonts w:ascii="Arial" w:cs="Arial" w:eastAsia="Arial" w:hAnsi="Arial"/>
          <w:sz w:val="16"/>
          <w:szCs w:val="16"/>
          <w:color w:val="auto"/>
        </w:rPr>
        <w:t>how and continuing technological innovation to develop and maintain our proprietary and intellectual property position.</w:t>
      </w:r>
    </w:p>
    <w:p>
      <w:pPr>
        <w:spacing w:after="0" w:line="206" w:lineRule="exact"/>
        <w:rPr>
          <w:sz w:val="20"/>
          <w:szCs w:val="20"/>
          <w:color w:val="auto"/>
        </w:rPr>
      </w:pPr>
    </w:p>
    <w:p>
      <w:pPr>
        <w:ind w:right="20" w:firstLine="648"/>
        <w:spacing w:after="0" w:line="218" w:lineRule="exact"/>
        <w:rPr>
          <w:sz w:val="20"/>
          <w:szCs w:val="20"/>
          <w:color w:val="auto"/>
        </w:rPr>
      </w:pPr>
      <w:r>
        <w:rPr>
          <w:rFonts w:ascii="Arial" w:cs="Arial" w:eastAsia="Arial" w:hAnsi="Arial"/>
          <w:sz w:val="18"/>
          <w:szCs w:val="18"/>
          <w:color w:val="auto"/>
        </w:rPr>
        <w:t>We acquire, in</w:t>
      </w:r>
      <w:r>
        <w:rPr>
          <w:rFonts w:ascii="MS PGothic" w:cs="MS PGothic" w:eastAsia="MS PGothic" w:hAnsi="MS PGothic"/>
          <w:sz w:val="18"/>
          <w:szCs w:val="18"/>
          <w:color w:val="auto"/>
        </w:rPr>
        <w:t>‑</w:t>
      </w:r>
      <w:r>
        <w:rPr>
          <w:rFonts w:ascii="Arial" w:cs="Arial" w:eastAsia="Arial" w:hAnsi="Arial"/>
          <w:sz w:val="18"/>
          <w:szCs w:val="18"/>
          <w:color w:val="auto"/>
        </w:rPr>
        <w:t>license and file patent applications directed to our product candidates in an effort to establish intellectual property positions directed to their compositions of matter as well as uses of these product candidates in the treatment of diseases. Our intellectual property includes patents and patent applications that we own as well as patents and patent applications that we in</w:t>
      </w:r>
      <w:r>
        <w:rPr>
          <w:rFonts w:ascii="MS PGothic" w:cs="MS PGothic" w:eastAsia="MS PGothic" w:hAnsi="MS PGothic"/>
          <w:sz w:val="18"/>
          <w:szCs w:val="18"/>
          <w:color w:val="auto"/>
        </w:rPr>
        <w:t>‑</w:t>
      </w:r>
      <w:r>
        <w:rPr>
          <w:rFonts w:ascii="Arial" w:cs="Arial" w:eastAsia="Arial" w:hAnsi="Arial"/>
          <w:sz w:val="18"/>
          <w:szCs w:val="18"/>
          <w:color w:val="auto"/>
        </w:rPr>
        <w:t>license. For example, we have a field</w:t>
      </w:r>
      <w:r>
        <w:rPr>
          <w:rFonts w:ascii="MS PGothic" w:cs="MS PGothic" w:eastAsia="MS PGothic" w:hAnsi="MS PGothic"/>
          <w:sz w:val="18"/>
          <w:szCs w:val="18"/>
          <w:color w:val="auto"/>
        </w:rPr>
        <w:t>‑</w:t>
      </w:r>
      <w:r>
        <w:rPr>
          <w:rFonts w:ascii="Arial" w:cs="Arial" w:eastAsia="Arial" w:hAnsi="Arial"/>
          <w:sz w:val="18"/>
          <w:szCs w:val="18"/>
          <w:color w:val="auto"/>
        </w:rPr>
        <w:t>specific exclusive license under a license agreement with Regeneron to patent applications and patents relating to rilonacept, an exclusive license under a license agreement with MedImmune, or the MedImmune Agreement, to patent applications and patents relating to mavrilimumab, and an exclusive license under our license agreement with Beth Israel Deaconess Medical Center to patent applications and patents related to KPL-404.</w:t>
      </w:r>
    </w:p>
    <w:p>
      <w:pPr>
        <w:spacing w:after="0" w:line="206" w:lineRule="exact"/>
        <w:rPr>
          <w:sz w:val="20"/>
          <w:szCs w:val="20"/>
          <w:color w:val="auto"/>
        </w:rPr>
      </w:pPr>
    </w:p>
    <w:p>
      <w:pPr>
        <w:jc w:val="both"/>
        <w:ind w:right="420" w:firstLine="648"/>
        <w:spacing w:after="0" w:line="302" w:lineRule="auto"/>
        <w:rPr>
          <w:sz w:val="20"/>
          <w:szCs w:val="20"/>
          <w:color w:val="auto"/>
        </w:rPr>
      </w:pPr>
      <w:r>
        <w:rPr>
          <w:rFonts w:ascii="Arial" w:cs="Arial" w:eastAsia="Arial" w:hAnsi="Arial"/>
          <w:sz w:val="16"/>
          <w:szCs w:val="16"/>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5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or our licensors have not pursued or maintained, and may not pursue or maintain in the future, patent protection for our products in every country or territory in which we may sell our products. In addition, we cannot be sure that any of our pending patent applications or pending trademark applications will issue or that, if issued, they have or will issue in a form that will be advantageous to us. The United States Patent and Trademark Office, or the USPTO, international patent offices or judicial bodies may deny or significantly narrow claims made under our patent applications and our issued patents may be successfully challenged, may be designed around, or may otherwise be of insufficient scope to provide us with protection for our commercial products. Further, the USPTO, international trademark offices or judicial bodies may deny our trademark applications and, even if published or registered, these trademarks may not effectively protect our brand and goodwill. Like patents, trademarks also may be successfully opposed or challenged.</w:t>
      </w:r>
    </w:p>
    <w:p>
      <w:pPr>
        <w:spacing w:after="0" w:line="167"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product candidates may be unavailable or severely limited in some cases and may not adequately protect our rights or permit us to gain or keep any competitive advantage. We cannot provide any assurances that any of our owned or in</w:t>
      </w:r>
      <w:r>
        <w:rPr>
          <w:rFonts w:ascii="MS PGothic" w:cs="MS PGothic" w:eastAsia="MS PGothic" w:hAnsi="MS PGothic"/>
          <w:sz w:val="16"/>
          <w:szCs w:val="16"/>
          <w:color w:val="auto"/>
        </w:rPr>
        <w:t>‑</w:t>
      </w:r>
      <w:r>
        <w:rPr>
          <w:rFonts w:ascii="Arial" w:cs="Arial" w:eastAsia="Arial" w:hAnsi="Arial"/>
          <w:sz w:val="16"/>
          <w:szCs w:val="16"/>
          <w:color w:val="auto"/>
        </w:rPr>
        <w:t>licensed patents have, or that any of our owned or in</w:t>
      </w:r>
      <w:r>
        <w:rPr>
          <w:rFonts w:ascii="MS PGothic" w:cs="MS PGothic" w:eastAsia="MS PGothic" w:hAnsi="MS PGothic"/>
          <w:sz w:val="16"/>
          <w:szCs w:val="16"/>
          <w:color w:val="auto"/>
        </w:rPr>
        <w:t>‑</w:t>
      </w:r>
      <w:r>
        <w:rPr>
          <w:rFonts w:ascii="Arial" w:cs="Arial" w:eastAsia="Arial" w:hAnsi="Arial"/>
          <w:sz w:val="16"/>
          <w:szCs w:val="16"/>
          <w:color w:val="auto"/>
        </w:rPr>
        <w:t>licensed pending patent applications that mature into issued patents will have, claims with a scope sufficient to protect rilonacept, mavrilimumab, KPL</w:t>
      </w:r>
      <w:r>
        <w:rPr>
          <w:rFonts w:ascii="MS PGothic" w:cs="MS PGothic" w:eastAsia="MS PGothic" w:hAnsi="MS PGothic"/>
          <w:sz w:val="16"/>
          <w:szCs w:val="16"/>
          <w:color w:val="auto"/>
        </w:rPr>
        <w:t>‑</w:t>
      </w:r>
      <w:r>
        <w:rPr>
          <w:rFonts w:ascii="Arial" w:cs="Arial" w:eastAsia="Arial" w:hAnsi="Arial"/>
          <w:sz w:val="16"/>
          <w:szCs w:val="16"/>
          <w:color w:val="auto"/>
        </w:rPr>
        <w:t>716 or our other product candidates. In addition, the laws of other countries may not protect our rights to the same extent as the laws of the United States. Furthermore, patents have a limited lifespan. In the United States, the natural expiration of a patent is generally 20 years after it is filed. Various extensions and adjustments may be available; however, the life of a patent, and the protection it affords, is limited. The actual protection afforded by a patent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21" w:lineRule="exact"/>
        <w:rPr>
          <w:sz w:val="20"/>
          <w:szCs w:val="20"/>
          <w:color w:val="auto"/>
        </w:rPr>
      </w:pPr>
      <w:r>
        <w:rPr>
          <w:rFonts w:ascii="Arial" w:cs="Arial" w:eastAsia="Arial" w:hAnsi="Arial"/>
          <w:sz w:val="18"/>
          <w:szCs w:val="18"/>
          <w:color w:val="auto"/>
        </w:rPr>
        <w:t>varies on a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 basis, from country to country and depends upon many factors, including the type of patent, the scope of its coverage, the availability of regulatory</w:t>
      </w:r>
      <w:r>
        <w:rPr>
          <w:rFonts w:ascii="MS PGothic" w:cs="MS PGothic" w:eastAsia="MS PGothic" w:hAnsi="MS PGothic"/>
          <w:sz w:val="18"/>
          <w:szCs w:val="18"/>
          <w:color w:val="auto"/>
        </w:rPr>
        <w:t>‑</w:t>
      </w:r>
      <w:r>
        <w:rPr>
          <w:rFonts w:ascii="Arial" w:cs="Arial" w:eastAsia="Arial" w:hAnsi="Arial"/>
          <w:sz w:val="18"/>
          <w:szCs w:val="18"/>
          <w:color w:val="auto"/>
        </w:rPr>
        <w:t>related extensions, the availability of legal remedies in a particular country and the validity and enforceability of the patent.</w:t>
      </w:r>
    </w:p>
    <w:p>
      <w:pPr>
        <w:spacing w:after="0" w:line="202" w:lineRule="exact"/>
        <w:rPr>
          <w:sz w:val="20"/>
          <w:szCs w:val="20"/>
          <w:color w:val="auto"/>
        </w:rPr>
      </w:pPr>
    </w:p>
    <w:p>
      <w:pPr>
        <w:ind w:right="60" w:firstLine="648"/>
        <w:spacing w:after="0" w:line="217" w:lineRule="exact"/>
        <w:rPr>
          <w:sz w:val="20"/>
          <w:szCs w:val="20"/>
          <w:color w:val="auto"/>
        </w:rPr>
      </w:pPr>
      <w:r>
        <w:rPr>
          <w:rFonts w:ascii="Arial" w:cs="Arial" w:eastAsia="Arial" w:hAnsi="Arial"/>
          <w:sz w:val="17"/>
          <w:szCs w:val="17"/>
          <w:color w:val="auto"/>
        </w:rPr>
        <w:t>Patents may be eligible for limited patent term extension in the United States under the Drug Price Competition and Patent Term Restoration Act of 1984, referred to as the Hatch</w:t>
      </w:r>
      <w:r>
        <w:rPr>
          <w:rFonts w:ascii="MS PGothic" w:cs="MS PGothic" w:eastAsia="MS PGothic" w:hAnsi="MS PGothic"/>
          <w:sz w:val="17"/>
          <w:szCs w:val="17"/>
          <w:color w:val="auto"/>
        </w:rPr>
        <w:t>‑</w:t>
      </w:r>
      <w:r>
        <w:rPr>
          <w:rFonts w:ascii="Arial" w:cs="Arial" w:eastAsia="Arial" w:hAnsi="Arial"/>
          <w:sz w:val="17"/>
          <w:szCs w:val="17"/>
          <w:color w:val="auto"/>
        </w:rPr>
        <w:t>Waxman Act. Similar patent extensions exist in the EU and Japan, subject to the applicable laws in those jurisdictions. We may not receive an extension if we fail to apply within applicable deadlines or fail to apply prior to expiration of relevant patents. For example, no patent term extension was obtained in the United States following the FDA’s approval of rilonacept for the treatment of CAPS, and the deadline for applying for such extension has passed. Accordingly, patent term extension in the United States based on the FDA’s approval of rilonacept for CAPS, or any other indication for which the FDA may grant approval in the future, is unavailable. Further, while patent term extension was awarded for relevant patents in certain European countries following the EMA’s approval of rilonacept for the treatment of CAPS, in 2012 the marketing authorization for CAPs was withdrawn. Patent term extensions may no longer be in effect or available, subject to the applicable laws in those countries as well as other factors, such as whether a marketing approval for rilonacept is reissued and whether such reissuance is prior to the expiration of the patent’s natural 20</w:t>
      </w:r>
      <w:r>
        <w:rPr>
          <w:rFonts w:ascii="MS PGothic" w:cs="MS PGothic" w:eastAsia="MS PGothic" w:hAnsi="MS PGothic"/>
          <w:sz w:val="17"/>
          <w:szCs w:val="17"/>
          <w:color w:val="auto"/>
        </w:rPr>
        <w:t>‑</w:t>
      </w:r>
      <w:r>
        <w:rPr>
          <w:rFonts w:ascii="Arial" w:cs="Arial" w:eastAsia="Arial" w:hAnsi="Arial"/>
          <w:sz w:val="17"/>
          <w:szCs w:val="17"/>
          <w:color w:val="auto"/>
        </w:rPr>
        <w:t>year patent term.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impacting our revenue.</w:t>
      </w:r>
    </w:p>
    <w:p>
      <w:pPr>
        <w:spacing w:after="0" w:line="208"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thereby limiting protection such patent would afford the respective product and any competitive advantage such patent may provide. In some cases, an in</w:t>
      </w:r>
      <w:r>
        <w:rPr>
          <w:rFonts w:ascii="MS PGothic" w:cs="MS PGothic" w:eastAsia="MS PGothic" w:hAnsi="MS PGothic"/>
          <w:sz w:val="16"/>
          <w:szCs w:val="16"/>
          <w:color w:val="auto"/>
        </w:rPr>
        <w:t>‑</w:t>
      </w:r>
      <w:r>
        <w:rPr>
          <w:rFonts w:ascii="Arial" w:cs="Arial" w:eastAsia="Arial" w:hAnsi="Arial"/>
          <w:sz w:val="16"/>
          <w:szCs w:val="16"/>
          <w:color w:val="auto"/>
        </w:rPr>
        <w:t>licensed patent portfolio may have undergone a considerable loss of patent term prior to our initiation of development and commercialization of the product candidate. For example, the patents covering rilonacept as a composition of matter have a term that expires in 2019 in the United States, not including patent term adjustment (an adjustment to the term of the U.S. patent to compensate the patentee for delays caused by the USPTO during the examination process), and in 2023 in Europe, not including any patent term extensions, and the patents covering mavrilimumab as a composition of matter have a term that expires in 2027 in the United States, not including any patent term adjustments or extensions, and in 2027 in Europe, not including any patent term extensions. As a result, our owned and in</w:t>
      </w:r>
      <w:r>
        <w:rPr>
          <w:rFonts w:ascii="MS PGothic" w:cs="MS PGothic" w:eastAsia="MS PGothic" w:hAnsi="MS PGothic"/>
          <w:sz w:val="16"/>
          <w:szCs w:val="16"/>
          <w:color w:val="auto"/>
        </w:rPr>
        <w:t>‑</w:t>
      </w:r>
      <w:r>
        <w:rPr>
          <w:rFonts w:ascii="Arial" w:cs="Arial" w:eastAsia="Arial" w:hAnsi="Arial"/>
          <w:sz w:val="16"/>
          <w:szCs w:val="16"/>
          <w:color w:val="auto"/>
        </w:rPr>
        <w:t>licensed patent portfolio may not provide us with adequate and continuing patent protection sufficient to exclude others from commercializing products similar or identical to our product candidates. In such cases, we expect to rely on regulatory exclusivity for our product candidates, such as orphan drug exclusivity, which generally grants seven years of marketing exclusivity under the Federal Food, Drug, and Cosmetic Act, and up to ten years of marketing exclusivity in Europe. While, we may pursue orphan drug designation for our product candidates in the United States, we may not be successful in obtaining such designation or we may not be able to maintain the benefits of the designation. Even if we obtain orphan drug exclusivity for any of our product candidates, that exclusivity may not effectively protect those product candidates from competition because different drugs can be approved for the same condition, and orphan drug exclusivity does not prevent the FDA from approving the same or a different drug in another indication. Even after an orphan drug is approved, the FDA can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See “Risk Factors— Risks related to marketing approval and regulatory matters.”</w:t>
      </w:r>
    </w:p>
    <w:p>
      <w:pPr>
        <w:spacing w:after="0" w:line="21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Other parties may have developed or may develop technologies that may be related or competitive to our own, and such parties may have filed or may file patent applications, or may have received or may receive patents, claiming inventions that may overlap or conflict with those claimed in our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owned or licensed patents or pending patent applications, or that we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or our licensors were the first to file for patent protection of such inventions. As a result, the issuance, scope, validity, enforceability and commercial value of our patent rights cannot be predicted with any certainty.</w:t>
      </w:r>
    </w:p>
    <w:p>
      <w:pPr>
        <w:spacing w:after="0" w:line="147"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In addition, the patent prosecution process is expensive and time consuming, and we may not be able to file and prosecute all necessary or desirable patent applications at a reasonable cost or in a timely manner. Patent prosecution is a lengthy process, during which the scope of the claims initially submitted for examination by the USPTO is often significantly narrowed by the time they issue, if at all. The claims of our issued patents or patent applications when issued may not cover our product candidates, proposed commercial technologies or the future products that we develop, or even if such patents provide coverage, the coverage obtained may not provide any competitive advantage. Further, it is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In the case of our field</w:t>
      </w:r>
      <w:r>
        <w:rPr>
          <w:rFonts w:ascii="MS PGothic" w:cs="MS PGothic" w:eastAsia="MS PGothic" w:hAnsi="MS PGothic"/>
          <w:sz w:val="16"/>
          <w:szCs w:val="16"/>
          <w:color w:val="auto"/>
        </w:rPr>
        <w:t>‑</w:t>
      </w:r>
      <w:r>
        <w:rPr>
          <w:rFonts w:ascii="Arial" w:cs="Arial" w:eastAsia="Arial" w:hAnsi="Arial"/>
          <w:sz w:val="16"/>
          <w:szCs w:val="16"/>
          <w:color w:val="auto"/>
        </w:rPr>
        <w:t>limited license from Regeneron, another licensee may have the right to enforce patents covering the product in their field. As a result, we may need to coordinate enforcement with another party, and the other party could enforce the patents in a manner adverse to our interests or otherwise put the patents at risk of invalidation.</w:t>
      </w:r>
    </w:p>
    <w:p>
      <w:pPr>
        <w:spacing w:after="0" w:line="205" w:lineRule="exact"/>
        <w:rPr>
          <w:sz w:val="20"/>
          <w:szCs w:val="20"/>
          <w:color w:val="auto"/>
        </w:rPr>
      </w:pPr>
    </w:p>
    <w:p>
      <w:pPr>
        <w:ind w:right="40" w:firstLine="648"/>
        <w:spacing w:after="0" w:line="217" w:lineRule="exact"/>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or license may fail to result in issued patents in the United States or in other countries. Even if we acquire patent protection that we expect should enable us to maintain a competitive advantage, third parties may challenge the validity, enforceability or scope thereof, which may result in such patents being narrowed, invalidated or held unenforceable. The issuance of a patent is not conclusive as to its inventorship, scope, validity, enforceability or term, and our owned and licensed patents may be challenged in the courts or patent offices in the United States and abroad. For example, we may be subject to a third</w:t>
      </w:r>
      <w:r>
        <w:rPr>
          <w:rFonts w:ascii="MS PGothic" w:cs="MS PGothic" w:eastAsia="MS PGothic" w:hAnsi="MS PGothic"/>
          <w:sz w:val="17"/>
          <w:szCs w:val="17"/>
          <w:color w:val="auto"/>
        </w:rPr>
        <w:t>‑</w:t>
      </w:r>
      <w:r>
        <w:rPr>
          <w:rFonts w:ascii="Arial" w:cs="Arial" w:eastAsia="Arial" w:hAnsi="Arial"/>
          <w:sz w:val="17"/>
          <w:szCs w:val="17"/>
          <w:color w:val="auto"/>
        </w:rPr>
        <w:t>party submission of prior art to the USPTO challenging the priority of an invention claimed within one of our patents, which submissions may also be made prior to a patent’s issuance, precluding the granting of any of our pending patent applications. We may become involved in contested proceedings challenging our patent rights or the patent rights of others from whom we have obtained licenses to such rights. For example, patents granted by the USPTO may be subject to third</w:t>
      </w:r>
      <w:r>
        <w:rPr>
          <w:rFonts w:ascii="MS PGothic" w:cs="MS PGothic" w:eastAsia="MS PGothic" w:hAnsi="MS PGothic"/>
          <w:sz w:val="17"/>
          <w:szCs w:val="17"/>
          <w:color w:val="auto"/>
        </w:rPr>
        <w:t>‑</w:t>
      </w:r>
      <w:r>
        <w:rPr>
          <w:rFonts w:ascii="Arial" w:cs="Arial" w:eastAsia="Arial" w:hAnsi="Arial"/>
          <w:sz w:val="17"/>
          <w:szCs w:val="17"/>
          <w:color w:val="auto"/>
        </w:rPr>
        <w:t>party challenges such as (without limitation) derivation, re</w:t>
      </w:r>
      <w:r>
        <w:rPr>
          <w:rFonts w:ascii="MS PGothic" w:cs="MS PGothic" w:eastAsia="MS PGothic" w:hAnsi="MS PGothic"/>
          <w:sz w:val="17"/>
          <w:szCs w:val="17"/>
          <w:color w:val="auto"/>
        </w:rPr>
        <w:t>‑</w:t>
      </w:r>
      <w:r>
        <w:rPr>
          <w:rFonts w:ascii="Arial" w:cs="Arial" w:eastAsia="Arial" w:hAnsi="Arial"/>
          <w:sz w:val="17"/>
          <w:szCs w:val="17"/>
          <w:color w:val="auto"/>
        </w:rPr>
        <w:t>examination, interference, post</w:t>
      </w:r>
      <w:r>
        <w:rPr>
          <w:rFonts w:ascii="MS PGothic" w:cs="MS PGothic" w:eastAsia="MS PGothic" w:hAnsi="MS PGothic"/>
          <w:sz w:val="17"/>
          <w:szCs w:val="17"/>
          <w:color w:val="auto"/>
        </w:rPr>
        <w:t>‑</w:t>
      </w:r>
      <w:r>
        <w:rPr>
          <w:rFonts w:ascii="Arial" w:cs="Arial" w:eastAsia="Arial" w:hAnsi="Arial"/>
          <w:sz w:val="17"/>
          <w:szCs w:val="17"/>
          <w:color w:val="auto"/>
        </w:rPr>
        <w:t xml:space="preserve">grant review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and patents granted by the European Patent Office may be challenged by any person in an opposition proceeding within nine months from the publication of the grant. Similar proceedings are available in other jurisdictions, and in some jurisdictions third parties can raise questions of validity with a patent office even before a patent has granted. Competitors may claim that they invented the inventions claimed in our issued patents or patent applications prior to us, or may file patent applications before we do. In such case,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w:t>
      </w:r>
    </w:p>
    <w:p>
      <w:pPr>
        <w:spacing w:after="0" w:line="20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Such proceedings can be expensive, time consuming and may divert the efforts of our technical and managerial personnel, which could in turn harm our business, whether or not we receive a determination favorable to us. We may not be able to correctly estimate or control our future operating expenses in relation to such proceedings, which could affect operating expenses. Our operating expenses may fluctuate significantly in the future as a result of a variety of factors, including the costs of such proceedings.</w:t>
      </w:r>
    </w:p>
    <w:p>
      <w:pPr>
        <w:spacing w:after="0" w:line="18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Since patent applications are confidential for a period of time after filing, we cannot be certain that we or our licensors were the first to file any patent application related to our product candidates. Competitors may also contest our patents, if issued, by showing the patent examiner that the invention was not original, was not novel or was obvious. In litigation, a competitor could claim that our patents, if issued, are not valid for a number of reasons. If a court agrees, rights to those challenged patents may be diminished or lost.</w:t>
      </w:r>
    </w:p>
    <w:p>
      <w:pPr>
        <w:spacing w:after="0" w:line="188" w:lineRule="exact"/>
        <w:rPr>
          <w:sz w:val="20"/>
          <w:szCs w:val="20"/>
          <w:color w:val="auto"/>
        </w:rPr>
      </w:pPr>
    </w:p>
    <w:p>
      <w:pPr>
        <w:jc w:val="both"/>
        <w:ind w:right="420" w:firstLine="648"/>
        <w:spacing w:after="0" w:line="312" w:lineRule="auto"/>
        <w:rPr>
          <w:sz w:val="20"/>
          <w:szCs w:val="20"/>
          <w:color w:val="auto"/>
        </w:rPr>
      </w:pPr>
      <w:r>
        <w:rPr>
          <w:rFonts w:ascii="Arial" w:cs="Arial" w:eastAsia="Arial" w:hAnsi="Arial"/>
          <w:sz w:val="16"/>
          <w:szCs w:val="16"/>
          <w:color w:val="auto"/>
        </w:rPr>
        <w:t>In addition, we may in the future be subject to claims by our or our licensors’ former employees or consultants asserting an ownership right in our patents or patent applications, as a result of the work they performed on our or their behalf, respectively. Although we generally require all of our employees and consultants and any other partners or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20" w:lineRule="exact"/>
        <w:rPr>
          <w:sz w:val="20"/>
          <w:szCs w:val="20"/>
          <w:color w:val="auto"/>
        </w:rPr>
      </w:pPr>
      <w:r>
        <w:rPr>
          <w:rFonts w:ascii="Arial" w:cs="Arial" w:eastAsia="Arial" w:hAnsi="Arial"/>
          <w:sz w:val="16"/>
          <w:szCs w:val="16"/>
          <w:color w:val="auto"/>
        </w:rPr>
        <w:t>collaborators who have access to our proprietary know</w:t>
      </w:r>
      <w:r>
        <w:rPr>
          <w:rFonts w:ascii="MS PGothic" w:cs="MS PGothic" w:eastAsia="MS PGothic" w:hAnsi="MS PGothic"/>
          <w:sz w:val="16"/>
          <w:szCs w:val="16"/>
          <w:color w:val="auto"/>
        </w:rPr>
        <w:t>‑</w:t>
      </w:r>
      <w:r>
        <w:rPr>
          <w:rFonts w:ascii="Arial" w:cs="Arial" w:eastAsia="Arial" w:hAnsi="Arial"/>
          <w:sz w:val="16"/>
          <w:szCs w:val="16"/>
          <w:color w:val="auto"/>
        </w:rPr>
        <w:t>how, information or technology to assign or grant similar rights to their inventions to us, we cannot be certain that we or our licensors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203" w:lineRule="exact"/>
        <w:rPr>
          <w:sz w:val="20"/>
          <w:szCs w:val="20"/>
          <w:color w:val="auto"/>
        </w:rPr>
      </w:pPr>
    </w:p>
    <w:p>
      <w:pPr>
        <w:ind w:right="60" w:firstLine="648"/>
        <w:spacing w:after="0" w:line="218" w:lineRule="exact"/>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products, without payment to us, or could limit the duration of the patent protection covering our technology and product candidates. Such challenges may also result in our inability to manufacture or commercialize our product candidates without infringing third</w:t>
      </w:r>
      <w:r>
        <w:rPr>
          <w:rFonts w:ascii="MS PGothic" w:cs="MS PGothic" w:eastAsia="MS PGothic" w:hAnsi="MS PGothic"/>
          <w:sz w:val="16"/>
          <w:szCs w:val="16"/>
          <w:color w:val="auto"/>
        </w:rPr>
        <w:t>‑</w:t>
      </w:r>
      <w:r>
        <w:rPr>
          <w:rFonts w:ascii="Arial" w:cs="Arial" w:eastAsia="Arial" w:hAnsi="Arial"/>
          <w:sz w:val="16"/>
          <w:szCs w:val="16"/>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205"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Even if they are unchallenged, our issued patents and our pending patent applications, if issued, may not provide us with any meaningful protection or prevent competitors from designing around our patent claims to circumvent our owned or licensed patents by developing similar or alternative technologies or products in a non</w:t>
      </w:r>
      <w:r>
        <w:rPr>
          <w:rFonts w:ascii="MS PGothic" w:cs="MS PGothic" w:eastAsia="MS PGothic" w:hAnsi="MS PGothic"/>
          <w:sz w:val="16"/>
          <w:szCs w:val="16"/>
          <w:color w:val="auto"/>
        </w:rPr>
        <w:t>‑</w:t>
      </w:r>
      <w:r>
        <w:rPr>
          <w:rFonts w:ascii="Arial" w:cs="Arial" w:eastAsia="Arial" w:hAnsi="Arial"/>
          <w:sz w:val="16"/>
          <w:szCs w:val="16"/>
          <w:color w:val="auto"/>
        </w:rPr>
        <w:t>infringing manner. For example, a third party may develop a competitive drug that provides benefits similar to one or more of our product candidates but that has a different composition that falls outside the scope of our patent protection. If the patent protection provided by the patents and patent applications we hold or pursue with respect to our product candidates is not sufficiently broad to impede such competition, or if the breadth, strength or term (including any extensions or adjustments) of protection provided by the patents and patent applications we hold or pursue with respect to our product candidates or any future product candidates is successfully challenged, our ability to successfully commercialize our product candidates could be negatively affected, which would harm our business. Further, if we encounter delays in our clinical trials, the period of time during which we could market our product candidates or any future product candidates under patent protection would be reduced.</w:t>
      </w:r>
    </w:p>
    <w:p>
      <w:pPr>
        <w:spacing w:after="0" w:line="20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i w:val="1"/>
          <w:iCs w:val="1"/>
          <w:color w:val="auto"/>
        </w:rPr>
        <w:t>Licensing of intellectual property is of critical importance to our business and involves complex legal, business and scientific issues. If we breach any of the agreements related to our product candidates, we could lose the ability to continue the development and commercialization of the related product. Additionally, our current licensing and acquisition agreements contain limitations and restrictions that could limit or adversely affect our ability to develop and commercialize other products in the future.</w:t>
      </w:r>
    </w:p>
    <w:p>
      <w:pPr>
        <w:spacing w:after="0" w:line="188" w:lineRule="exact"/>
        <w:rPr>
          <w:sz w:val="20"/>
          <w:szCs w:val="20"/>
          <w:color w:val="auto"/>
        </w:rPr>
      </w:pPr>
    </w:p>
    <w:p>
      <w:pPr>
        <w:ind w:right="60" w:firstLine="648"/>
        <w:spacing w:after="0" w:line="217" w:lineRule="exact"/>
        <w:rPr>
          <w:sz w:val="20"/>
          <w:szCs w:val="20"/>
          <w:color w:val="auto"/>
        </w:rPr>
      </w:pPr>
      <w:r>
        <w:rPr>
          <w:rFonts w:ascii="Arial" w:cs="Arial" w:eastAsia="Arial" w:hAnsi="Arial"/>
          <w:sz w:val="16"/>
          <w:szCs w:val="16"/>
          <w:color w:val="auto"/>
        </w:rPr>
        <w:t>We entered into agreements to acquire the rights to develop or commercialize our product candidates, rilonacept, mavrilimumab, KPL</w:t>
      </w:r>
      <w:r>
        <w:rPr>
          <w:rFonts w:ascii="MS PGothic" w:cs="MS PGothic" w:eastAsia="MS PGothic" w:hAnsi="MS PGothic"/>
          <w:sz w:val="16"/>
          <w:szCs w:val="16"/>
          <w:color w:val="auto"/>
        </w:rPr>
        <w:t>‑</w:t>
      </w:r>
      <w:r>
        <w:rPr>
          <w:rFonts w:ascii="Arial" w:cs="Arial" w:eastAsia="Arial" w:hAnsi="Arial"/>
          <w:sz w:val="16"/>
          <w:szCs w:val="16"/>
          <w:color w:val="auto"/>
        </w:rPr>
        <w:t>716, and KPL</w:t>
      </w:r>
      <w:r>
        <w:rPr>
          <w:rFonts w:ascii="MS PGothic" w:cs="MS PGothic" w:eastAsia="MS PGothic" w:hAnsi="MS PGothic"/>
          <w:sz w:val="16"/>
          <w:szCs w:val="16"/>
          <w:color w:val="auto"/>
        </w:rPr>
        <w:t>‑</w:t>
      </w:r>
      <w:r>
        <w:rPr>
          <w:rFonts w:ascii="Arial" w:cs="Arial" w:eastAsia="Arial" w:hAnsi="Arial"/>
          <w:sz w:val="16"/>
          <w:szCs w:val="16"/>
          <w:color w:val="auto"/>
        </w:rPr>
        <w:t>404. In September 2017, we entered into a license agreement with Regeneron to obtain an exclusive license under certain intellectual property rights controlled by Regeneron to develop and commercialize rilonacept. In December 2017, we entered into the MedImmune Agreement to obtain exclusive worldwide rights to research, develop, manufacture, market and sell mavrilimumab and any other products covered by the licensed patent rights. In September 2016, pursuant to an asset purchase agreement with Biogen, or the Biogen Agreement, we acquired all of Biogen’s right, title and interest in and to certain assets used in or relating to KPL</w:t>
      </w:r>
      <w:r>
        <w:rPr>
          <w:rFonts w:ascii="MS PGothic" w:cs="MS PGothic" w:eastAsia="MS PGothic" w:hAnsi="MS PGothic"/>
          <w:sz w:val="16"/>
          <w:szCs w:val="16"/>
          <w:color w:val="auto"/>
        </w:rPr>
        <w:t>‑</w:t>
      </w:r>
      <w:r>
        <w:rPr>
          <w:rFonts w:ascii="Arial" w:cs="Arial" w:eastAsia="Arial" w:hAnsi="Arial"/>
          <w:sz w:val="16"/>
          <w:szCs w:val="16"/>
          <w:color w:val="auto"/>
        </w:rPr>
        <w:t>716, including patents and other intellectual property rights, clinical data, know</w:t>
      </w:r>
      <w:r>
        <w:rPr>
          <w:rFonts w:ascii="MS PGothic" w:cs="MS PGothic" w:eastAsia="MS PGothic" w:hAnsi="MS PGothic"/>
          <w:sz w:val="16"/>
          <w:szCs w:val="16"/>
          <w:color w:val="auto"/>
        </w:rPr>
        <w:t>‑</w:t>
      </w:r>
      <w:r>
        <w:rPr>
          <w:rFonts w:ascii="Arial" w:cs="Arial" w:eastAsia="Arial" w:hAnsi="Arial"/>
          <w:sz w:val="16"/>
          <w:szCs w:val="16"/>
          <w:color w:val="auto"/>
        </w:rPr>
        <w:t>how and inventory. In connection with our acquisition of Primatope Therapeutics, Inc., or Primatope, in March 2019, we acquired an exclusive world-wide license with Beth Israel Deaconess Medical Center for certain patent applications and patents related to KPL-404. Each of these agreements requires us to use commercially reasonable efforts to develop and commercialize the related product candidates, make timely milestone and other payments, provide certain information regarding our activities with respect to such product candidates and indemnify the other party with respect to our development and commercialization activities under the terms of the agreements. These agreements and any future such agreements that we enter into impose a variety of obligations and related consequences.</w:t>
      </w:r>
    </w:p>
    <w:p>
      <w:pPr>
        <w:spacing w:after="0" w:line="204"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We are a party to license and acquisition agreements of importance to our business and to our current product candidates, and we expect to be subject to additional such agreements in the future. Disputes may arise between us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any of these counterparties regarding intellectual property subject to and each parties’ obligations under such agreements, including:</w:t>
      </w:r>
    </w:p>
    <w:p>
      <w:pPr>
        <w:spacing w:after="0" w:line="170" w:lineRule="exact"/>
        <w:rPr>
          <w:sz w:val="20"/>
          <w:szCs w:val="20"/>
          <w:color w:val="auto"/>
        </w:rPr>
      </w:pPr>
    </w:p>
    <w:p>
      <w:pPr>
        <w:ind w:left="980" w:right="160" w:hanging="329"/>
        <w:spacing w:after="0" w:line="308"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diligence obligations with respect to the use of the licensed technology in relation to our development and commercialization of our product candidates, and what activities satisfy those diligence obligations;</w:t>
      </w:r>
    </w:p>
    <w:p>
      <w:pPr>
        <w:spacing w:after="0" w:line="146" w:lineRule="exact"/>
        <w:rPr>
          <w:rFonts w:ascii="Arial" w:cs="Arial" w:eastAsia="Arial" w:hAnsi="Arial"/>
          <w:sz w:val="17"/>
          <w:szCs w:val="17"/>
          <w:color w:val="auto"/>
        </w:rPr>
      </w:pPr>
    </w:p>
    <w:p>
      <w:pPr>
        <w:ind w:left="980" w:hanging="329"/>
        <w:spacing w:after="0" w:line="207" w:lineRule="exact"/>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w:t>
      </w:r>
      <w:r>
        <w:rPr>
          <w:rFonts w:ascii="MS PGothic" w:cs="MS PGothic" w:eastAsia="MS PGothic" w:hAnsi="MS PGothic"/>
          <w:sz w:val="18"/>
          <w:szCs w:val="18"/>
          <w:color w:val="auto"/>
        </w:rPr>
        <w:t>‑</w:t>
      </w:r>
      <w:r>
        <w:rPr>
          <w:rFonts w:ascii="Arial" w:cs="Arial" w:eastAsia="Arial" w:hAnsi="Arial"/>
          <w:sz w:val="18"/>
          <w:szCs w:val="18"/>
          <w:color w:val="auto"/>
        </w:rPr>
        <w:t>related issues;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obligations to make milestone, royalty or other payments under those agreements;</w:t>
      </w:r>
    </w:p>
    <w:p>
      <w:pPr>
        <w:spacing w:after="0" w:line="225" w:lineRule="exact"/>
        <w:rPr>
          <w:rFonts w:ascii="Arial" w:cs="Arial" w:eastAsia="Arial" w:hAnsi="Arial"/>
          <w:sz w:val="18"/>
          <w:szCs w:val="18"/>
          <w:color w:val="auto"/>
        </w:rPr>
      </w:pPr>
    </w:p>
    <w:p>
      <w:pPr>
        <w:ind w:left="980" w:right="180" w:hanging="329"/>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agreement;</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w:t>
      </w:r>
    </w:p>
    <w:p>
      <w:pPr>
        <w:spacing w:after="0" w:line="225" w:lineRule="exact"/>
        <w:rPr>
          <w:rFonts w:ascii="Arial" w:cs="Arial" w:eastAsia="Arial" w:hAnsi="Arial"/>
          <w:sz w:val="18"/>
          <w:szCs w:val="18"/>
          <w:color w:val="auto"/>
        </w:rPr>
      </w:pPr>
    </w:p>
    <w:p>
      <w:pPr>
        <w:ind w:left="980" w:right="200" w:hanging="329"/>
        <w:spacing w:after="0" w:line="223" w:lineRule="exact"/>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ownership of inventions and know</w:t>
      </w:r>
      <w:r>
        <w:rPr>
          <w:rFonts w:ascii="MS PGothic" w:cs="MS PGothic" w:eastAsia="MS PGothic" w:hAnsi="MS PGothic"/>
          <w:sz w:val="18"/>
          <w:szCs w:val="18"/>
          <w:color w:val="auto"/>
        </w:rPr>
        <w:t>‑</w:t>
      </w:r>
      <w:r>
        <w:rPr>
          <w:rFonts w:ascii="Arial" w:cs="Arial" w:eastAsia="Arial" w:hAnsi="Arial"/>
          <w:sz w:val="18"/>
          <w:szCs w:val="18"/>
          <w:color w:val="auto"/>
        </w:rPr>
        <w:t>how resulting from the joint creation or use of intellectual property by our licensors and us and our partners;</w:t>
      </w:r>
    </w:p>
    <w:p>
      <w:pPr>
        <w:spacing w:after="0" w:line="203"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effects of termination.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These or other disputes over our obligations or intellectual property that we have licensed or acquired may prevent or impair our ability to maintain our current arrangements on acceptable terms, or may impair the value of the arrangement to us. Any such dispute could have an adverse effect on our business.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we fail to meet our obligations under these agreements in a material respect, the respective licensor/seller would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have the right to terminate the respective agreement and upon the effective date of such termination, have the right to</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re</w:t>
      </w:r>
      <w:r>
        <w:rPr>
          <w:rFonts w:ascii="MS PGothic" w:cs="MS PGothic" w:eastAsia="MS PGothic" w:hAnsi="MS PGothic"/>
          <w:sz w:val="16"/>
          <w:szCs w:val="16"/>
          <w:color w:val="auto"/>
        </w:rPr>
        <w:t>‑</w:t>
      </w:r>
      <w:r>
        <w:rPr>
          <w:rFonts w:ascii="Arial" w:cs="Arial" w:eastAsia="Arial" w:hAnsi="Arial"/>
          <w:sz w:val="16"/>
          <w:szCs w:val="16"/>
          <w:color w:val="auto"/>
        </w:rPr>
        <w:t>obtain the related technology as well as aspects of any intellectual property controlled by us and developed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the agreement was in force that relate to the applicable technology. This means that the licensor/seller to each of these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agreements could effectively take control of the development and commercialization of our product candidates after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uncured, material breach of the agreement by us. This would also be the case if we voluntarily elected to terminate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relevant agreement, which we have the right to do under each of these agreements. While we would expect to exercise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rights and remedies available to us in the event we fail to meet our obligations under these agreements in any material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 including seeking to cure any breach by us, and otherwise seek to preserve our rights under the technology licensed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or acquired by us, we may not be able to do so in a timely manner, at an acceptable cost or at all. Any uncured, material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breach under the license could result in our loss of exclusive rights and may lead to a complete termination of our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any commercialization efforts for each of our product candidates. Termination of one of these agreements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any reason, and the related discontinuation of the development or commercialization of a product candidate could impair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ability to raise additional capital, generate revenue and may significantly harm our business, financial condition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prospects.</w:t>
      </w:r>
    </w:p>
    <w:p>
      <w:pPr>
        <w:spacing w:after="0" w:line="211"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Regeneron has rights to develop rilonacept in its retained fields of local administration to the eye and ear, oncology, deficiency of the IL</w:t>
      </w:r>
      <w:r>
        <w:rPr>
          <w:rFonts w:ascii="MS PGothic" w:cs="MS PGothic" w:eastAsia="MS PGothic" w:hAnsi="MS PGothic"/>
          <w:sz w:val="16"/>
          <w:szCs w:val="16"/>
          <w:color w:val="auto"/>
        </w:rPr>
        <w:t>‑</w:t>
      </w:r>
      <w:r>
        <w:rPr>
          <w:rFonts w:ascii="Arial" w:cs="Arial" w:eastAsia="Arial" w:hAnsi="Arial"/>
          <w:sz w:val="16"/>
          <w:szCs w:val="16"/>
          <w:color w:val="auto"/>
        </w:rPr>
        <w:t>1 receptor, and CAPS. Regeneron may also develop rilonacept in fields to which we have licensed the rights, but we retain the commercial benefit related to that development upon approval of rilonacept in any field that we have licensed. We and Regeneron communicate with each other concerning our related development activities, and we have approval rights over Regeneron’s development in the fields that we have licensed, including pericarditis. Outside of the United States and Japan, Regeneron has granted a third</w:t>
      </w:r>
      <w:r>
        <w:rPr>
          <w:rFonts w:ascii="MS PGothic" w:cs="MS PGothic" w:eastAsia="MS PGothic" w:hAnsi="MS PGothic"/>
          <w:sz w:val="16"/>
          <w:szCs w:val="16"/>
          <w:color w:val="auto"/>
        </w:rPr>
        <w:t>‑</w:t>
      </w:r>
      <w:r>
        <w:rPr>
          <w:rFonts w:ascii="Arial" w:cs="Arial" w:eastAsia="Arial" w:hAnsi="Arial"/>
          <w:sz w:val="16"/>
          <w:szCs w:val="16"/>
          <w:color w:val="auto"/>
        </w:rPr>
        <w:t>party licensee the right to develop and commercialize rilonacept in CAPS and certain periodic fever syndromes. The development of rilonacept in other fields could increase the possibility of identification of adverse safety results that impact our development of rilonacept for recurrent pericarditis. In addition, if approved, commercialization of rilonacept in other fields could result in an increased threat of off</w:t>
      </w:r>
      <w:r>
        <w:rPr>
          <w:rFonts w:ascii="MS PGothic" w:cs="MS PGothic" w:eastAsia="MS PGothic" w:hAnsi="MS PGothic"/>
          <w:sz w:val="16"/>
          <w:szCs w:val="16"/>
          <w:color w:val="auto"/>
        </w:rPr>
        <w:t>‑</w:t>
      </w:r>
      <w:r>
        <w:rPr>
          <w:rFonts w:ascii="Arial" w:cs="Arial" w:eastAsia="Arial" w:hAnsi="Arial"/>
          <w:sz w:val="16"/>
          <w:szCs w:val="16"/>
          <w:color w:val="auto"/>
        </w:rPr>
        <w:t>label use to compete with the sale of rilonacept to treat these indications, which may diminish sales of rilonacept in fields licensed exclusively to us.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Certain of our agreements may limit or delay our ability to consummate certain transactions, may impact the value of those transactions, or may limit our ability to pursue certain activities. For example, under the MedImmune Agreement, we cannot sublicense the rights licensed or sublicensed to us without the consent of MedImmune and certain applicable third</w:t>
      </w:r>
      <w:r>
        <w:rPr>
          <w:rFonts w:ascii="MS PGothic" w:cs="MS PGothic" w:eastAsia="MS PGothic" w:hAnsi="MS PGothic"/>
          <w:sz w:val="17"/>
          <w:szCs w:val="17"/>
          <w:color w:val="auto"/>
        </w:rPr>
        <w:t>‑</w:t>
      </w:r>
      <w:r>
        <w:rPr>
          <w:rFonts w:ascii="Arial" w:cs="Arial" w:eastAsia="Arial" w:hAnsi="Arial"/>
          <w:sz w:val="17"/>
          <w:szCs w:val="17"/>
          <w:color w:val="auto"/>
        </w:rPr>
        <w:t>party licensors, if required by agreements between MedImmune and such third</w:t>
      </w:r>
      <w:r>
        <w:rPr>
          <w:rFonts w:ascii="MS PGothic" w:cs="MS PGothic" w:eastAsia="MS PGothic" w:hAnsi="MS PGothic"/>
          <w:sz w:val="17"/>
          <w:szCs w:val="17"/>
          <w:color w:val="auto"/>
        </w:rPr>
        <w:t>‑</w:t>
      </w:r>
      <w:r>
        <w:rPr>
          <w:rFonts w:ascii="Arial" w:cs="Arial" w:eastAsia="Arial" w:hAnsi="Arial"/>
          <w:sz w:val="17"/>
          <w:szCs w:val="17"/>
          <w:color w:val="auto"/>
        </w:rPr>
        <w:t>party licensors. Under the Biogen Agreement, Biogen has a right of first negotiation under certain circumstances to purchase the assets we acquired from Biogen or to obtain a license to exploit the applicable products. This right of first negotiation remains in effect until the earlier of 12 years from the date of the agreement or the first commercial sale of a product under the agreement, and applies to a variety of transactions, including licensing transactions and the sale of our company. In addition, under the Biogen Agreement, we are subject to an exclusivity obligation, pursuant to which we may not conduct any activity alone or through a third party related to a product that modulates the oncostatin M receptor (other than for the development and commercialization of products that are the subject of the Biogen Agreement). This exclusivity obligation runs from the earlier of the eighth anniversary of the agreement or the first commercial sale of a product that is the subject of the agreement.</w:t>
      </w:r>
    </w:p>
    <w:p>
      <w:pPr>
        <w:spacing w:after="0" w:line="20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24"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product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cannot assure you that our product candidates or any future product candidates, including methods of making or using these product candidates, will not infringe existing or future third</w:t>
      </w:r>
      <w:r>
        <w:rPr>
          <w:rFonts w:ascii="MS PGothic" w:cs="MS PGothic" w:eastAsia="MS PGothic" w:hAnsi="MS PGothic"/>
          <w:sz w:val="17"/>
          <w:szCs w:val="17"/>
          <w:color w:val="auto"/>
        </w:rPr>
        <w:t>‑</w:t>
      </w:r>
      <w:r>
        <w:rPr>
          <w:rFonts w:ascii="Arial" w:cs="Arial" w:eastAsia="Arial" w:hAnsi="Arial"/>
          <w:sz w:val="17"/>
          <w:szCs w:val="17"/>
          <w:color w:val="auto"/>
        </w:rPr>
        <w:t>party patents. We may in the future become party to, or threatened with, adversarial proceedings or litigation regarding intellectual property rights with respect to our product candidates and technology, including contested proceedings before the USPTO. Our competitors or other third parties may assert infringement claims against us, alleging that our products are covered by their patents.</w:t>
      </w:r>
    </w:p>
    <w:p>
      <w:pPr>
        <w:spacing w:after="0" w:line="204"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Given the vast number of patents in our field of technology, we cannot be certain that we do not infringe existing patents or that we will not infringe patents that may be granted in the future. Many companies have filed, and continue to file, patent applications related to immunomodulation. Some of these patent applications have already been allowed or issued, and others may issue in the future. For example, we are aware of third</w:t>
      </w:r>
      <w:r>
        <w:rPr>
          <w:rFonts w:ascii="MS PGothic" w:cs="MS PGothic" w:eastAsia="MS PGothic" w:hAnsi="MS PGothic"/>
          <w:sz w:val="16"/>
          <w:szCs w:val="16"/>
          <w:color w:val="auto"/>
        </w:rPr>
        <w:t>‑</w:t>
      </w:r>
      <w:r>
        <w:rPr>
          <w:rFonts w:ascii="Arial" w:cs="Arial" w:eastAsia="Arial" w:hAnsi="Arial"/>
          <w:sz w:val="16"/>
          <w:szCs w:val="16"/>
          <w:color w:val="auto"/>
        </w:rPr>
        <w:t>party patents that contain claims potentially relevant to certain therapeutic uses of mavrilimumab and KPL</w:t>
      </w:r>
      <w:r>
        <w:rPr>
          <w:rFonts w:ascii="MS PGothic" w:cs="MS PGothic" w:eastAsia="MS PGothic" w:hAnsi="MS PGothic"/>
          <w:sz w:val="16"/>
          <w:szCs w:val="16"/>
          <w:color w:val="auto"/>
        </w:rPr>
        <w:t>‑</w:t>
      </w:r>
      <w:r>
        <w:rPr>
          <w:rFonts w:ascii="Arial" w:cs="Arial" w:eastAsia="Arial" w:hAnsi="Arial"/>
          <w:sz w:val="16"/>
          <w:szCs w:val="16"/>
          <w:color w:val="auto"/>
        </w:rPr>
        <w:t>716. If the claims of any of these patents are asserted against us, we do not believe our proposed activities related to mavrilimumab and KPL</w:t>
      </w:r>
      <w:r>
        <w:rPr>
          <w:rFonts w:ascii="MS PGothic" w:cs="MS PGothic" w:eastAsia="MS PGothic" w:hAnsi="MS PGothic"/>
          <w:sz w:val="16"/>
          <w:szCs w:val="16"/>
          <w:color w:val="auto"/>
        </w:rPr>
        <w:t>‑</w:t>
      </w:r>
      <w:r>
        <w:rPr>
          <w:rFonts w:ascii="Arial" w:cs="Arial" w:eastAsia="Arial" w:hAnsi="Arial"/>
          <w:sz w:val="16"/>
          <w:szCs w:val="16"/>
          <w:color w:val="auto"/>
        </w:rPr>
        <w:t>716 would be found to infringe any valid claim of these patents. While we may decide to initiate proceedings to challenge the validity of these or other patents in the future, we may be unsuccessful, and courts or patent offices in the United States and abroad could uphold the validity of any such patent.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 In order to avoid infringing these or any other third</w:t>
      </w:r>
      <w:r>
        <w:rPr>
          <w:rFonts w:ascii="MS PGothic" w:cs="MS PGothic" w:eastAsia="MS PGothic" w:hAnsi="MS PGothic"/>
          <w:sz w:val="16"/>
          <w:szCs w:val="16"/>
          <w:color w:val="auto"/>
        </w:rPr>
        <w:t>‑</w:t>
      </w:r>
      <w:r>
        <w:rPr>
          <w:rFonts w:ascii="Arial" w:cs="Arial" w:eastAsia="Arial" w:hAnsi="Arial"/>
          <w:sz w:val="16"/>
          <w:szCs w:val="16"/>
          <w:color w:val="auto"/>
        </w:rPr>
        <w:t>party patents, we may find it necessary or prudent to obtain licenses to such patents from such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holders. However, we may be unable to secure such licenses or otherwise acquire or in</w:t>
      </w:r>
      <w:r>
        <w:rPr>
          <w:rFonts w:ascii="MS PGothic" w:cs="MS PGothic" w:eastAsia="MS PGothic" w:hAnsi="MS PGothic"/>
          <w:sz w:val="16"/>
          <w:szCs w:val="16"/>
          <w:color w:val="auto"/>
        </w:rPr>
        <w:t>‑</w:t>
      </w:r>
      <w:r>
        <w:rPr>
          <w:rFonts w:ascii="Arial" w:cs="Arial" w:eastAsia="Arial" w:hAnsi="Arial"/>
          <w:sz w:val="16"/>
          <w:szCs w:val="16"/>
          <w:color w:val="auto"/>
        </w:rPr>
        <w:t>license any compositions, methods of use, processes, or other intellectual property rights from third parties that we identify as necessary for our current or future product candidates. The licensing or acquisition of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is a competitive area, and several more established companies may also pursue strategies to license or acquire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on terms that would allow us to make an appropriate return on our investment or at all. If we are unable to successfully obtain rights to required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or maintain the existing intellectual property rights we have, we may have to cease development of the relevant program or product candidate, which could have a material adverse effect on our business, financial condition, results of operations and prospects.</w:t>
      </w:r>
    </w:p>
    <w:p>
      <w:pPr>
        <w:spacing w:after="0" w:line="21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Since our product candidates are being developed for use in fields that are competitive and of strong interest to pharmaceutical and biotechnology companies, we will likely seek to file additional patent applications and may have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additional patents granted in the future, based on our future research and development efforts.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w:t>
      </w:r>
      <w:r>
        <w:rPr>
          <w:rFonts w:ascii="MS PGothic" w:cs="MS PGothic" w:eastAsia="MS PGothic" w:hAnsi="MS PGothic"/>
          <w:sz w:val="17"/>
          <w:szCs w:val="17"/>
          <w:color w:val="auto"/>
        </w:rPr>
        <w:t>‑</w:t>
      </w:r>
      <w:r>
        <w:rPr>
          <w:rFonts w:ascii="Arial" w:cs="Arial" w:eastAsia="Arial" w:hAnsi="Arial"/>
          <w:sz w:val="17"/>
          <w:szCs w:val="17"/>
          <w:color w:val="auto"/>
        </w:rPr>
        <w:t>party patents or patent applications, or we may incorrectly conclude that a third</w:t>
      </w:r>
      <w:r>
        <w:rPr>
          <w:rFonts w:ascii="MS PGothic" w:cs="MS PGothic" w:eastAsia="MS PGothic" w:hAnsi="MS PGothic"/>
          <w:sz w:val="17"/>
          <w:szCs w:val="17"/>
          <w:color w:val="auto"/>
        </w:rPr>
        <w:t>‑</w:t>
      </w:r>
      <w:r>
        <w:rPr>
          <w:rFonts w:ascii="Arial" w:cs="Arial" w:eastAsia="Arial" w:hAnsi="Arial"/>
          <w:sz w:val="17"/>
          <w:szCs w:val="17"/>
          <w:color w:val="auto"/>
        </w:rPr>
        <w:t>party patent is invalid or not infringed by our product candidates or activities. If a patent holder believes our product candidate infringes its patent, the patent holder may sue us even if we have received patent protection for our technology. Moreover, we may face patent infringement claims from non</w:t>
      </w:r>
      <w:r>
        <w:rPr>
          <w:rFonts w:ascii="MS PGothic" w:cs="MS PGothic" w:eastAsia="MS PGothic" w:hAnsi="MS PGothic"/>
          <w:sz w:val="17"/>
          <w:szCs w:val="17"/>
          <w:color w:val="auto"/>
        </w:rPr>
        <w:t>‑</w:t>
      </w:r>
      <w:r>
        <w:rPr>
          <w:rFonts w:ascii="Arial" w:cs="Arial" w:eastAsia="Arial" w:hAnsi="Arial"/>
          <w:sz w:val="17"/>
          <w:szCs w:val="17"/>
          <w:color w:val="auto"/>
        </w:rPr>
        <w:t>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product candidate that is the subject of the actual or threatened suit.</w:t>
      </w:r>
    </w:p>
    <w:p>
      <w:pPr>
        <w:spacing w:after="0" w:line="210" w:lineRule="exact"/>
        <w:rPr>
          <w:sz w:val="20"/>
          <w:szCs w:val="20"/>
          <w:color w:val="auto"/>
        </w:rPr>
      </w:pPr>
    </w:p>
    <w:p>
      <w:pPr>
        <w:ind w:right="60" w:firstLine="648"/>
        <w:spacing w:after="0" w:line="217" w:lineRule="exact"/>
        <w:rPr>
          <w:sz w:val="20"/>
          <w:szCs w:val="20"/>
          <w:color w:val="auto"/>
        </w:rPr>
      </w:pPr>
      <w:r>
        <w:rPr>
          <w:rFonts w:ascii="Arial" w:cs="Arial" w:eastAsia="Arial" w:hAnsi="Arial"/>
          <w:sz w:val="16"/>
          <w:szCs w:val="16"/>
          <w:color w:val="auto"/>
        </w:rPr>
        <w:t>If we are found to infringe a third</w:t>
      </w:r>
      <w:r>
        <w:rPr>
          <w:rFonts w:ascii="MS PGothic" w:cs="MS PGothic" w:eastAsia="MS PGothic" w:hAnsi="MS PGothic"/>
          <w:sz w:val="16"/>
          <w:szCs w:val="16"/>
          <w:color w:val="auto"/>
        </w:rPr>
        <w:t>‑</w:t>
      </w:r>
      <w:r>
        <w:rPr>
          <w:rFonts w:ascii="Arial" w:cs="Arial" w:eastAsia="Arial" w:hAnsi="Arial"/>
          <w:sz w:val="16"/>
          <w:szCs w:val="16"/>
          <w:color w:val="auto"/>
        </w:rPr>
        <w:t>party’s intellectual property rights, we could be required to obtain a license from such third party to continue developing and marketing our product candidates and technology. Under any such license, we would most likely be required to pay various types of fees, milestones, royalties or other amounts. However, we may not be able to obtain any required license on commercially reasonable terms or at all. Even if we were able to obtain such a license, it could be granted on non</w:t>
      </w:r>
      <w:r>
        <w:rPr>
          <w:rFonts w:ascii="MS PGothic" w:cs="MS PGothic" w:eastAsia="MS PGothic" w:hAnsi="MS PGothic"/>
          <w:sz w:val="16"/>
          <w:szCs w:val="16"/>
          <w:color w:val="auto"/>
        </w:rPr>
        <w:t>‑</w:t>
      </w:r>
      <w:r>
        <w:rPr>
          <w:rFonts w:ascii="Arial" w:cs="Arial" w:eastAsia="Arial" w:hAnsi="Arial"/>
          <w:sz w:val="16"/>
          <w:szCs w:val="16"/>
          <w:color w:val="auto"/>
        </w:rPr>
        <w:t>exclusive terms, thereby providing our competitors and other third parties access to the same technologies licensed to us. Without such a license, we could be forced, including by court order, to cease developing and commercializing the infringing technology or product candidate, or forced to redesign it, or to cease some aspect of our business operations. In addition, we could be found liable for monetary damages, including treble damages and attorneys’ fees if we are found to have willfully infringed such third</w:t>
      </w:r>
      <w:r>
        <w:rPr>
          <w:rFonts w:ascii="MS PGothic" w:cs="MS PGothic" w:eastAsia="MS PGothic" w:hAnsi="MS PGothic"/>
          <w:sz w:val="16"/>
          <w:szCs w:val="16"/>
          <w:color w:val="auto"/>
        </w:rPr>
        <w:t>‑</w:t>
      </w:r>
      <w:r>
        <w:rPr>
          <w:rFonts w:ascii="Arial" w:cs="Arial" w:eastAsia="Arial" w:hAnsi="Arial"/>
          <w:sz w:val="16"/>
          <w:szCs w:val="16"/>
          <w:color w:val="auto"/>
        </w:rPr>
        <w:t>party patent rights. We may be required to indemnify collaborators or contractors against such claims. A finding of infringement could prevent us from commercializing our product candidates or force us to cease some of our business operations, which could materially harm our business. Even if we are successful in defending against such claims, litigation can be expensive and time consuming and would divert management’s attention from our core business. Any of these events could harm our business significantly.</w:t>
      </w: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70"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Competitors and other third parties may infringe, misappropriate or otherwise violate our patents and other intellectual property rights, whether owned or in</w:t>
      </w:r>
      <w:r>
        <w:rPr>
          <w:rFonts w:ascii="MS PGothic" w:cs="MS PGothic" w:eastAsia="MS PGothic" w:hAnsi="MS PGothic"/>
          <w:sz w:val="17"/>
          <w:szCs w:val="17"/>
          <w:color w:val="auto"/>
        </w:rPr>
        <w:t>‑</w:t>
      </w:r>
      <w:r>
        <w:rPr>
          <w:rFonts w:ascii="Arial" w:cs="Arial" w:eastAsia="Arial" w:hAnsi="Arial"/>
          <w:sz w:val="17"/>
          <w:szCs w:val="17"/>
          <w:color w:val="auto"/>
        </w:rPr>
        <w:t>licensed. To counter infringement or unauthorized use, we or our current or future collaborators may be required to file infringement claims against these infringers. A court may disagree with our allegations, however, and may refuse to stop the other party from using the technology at issue on the grounds that our patents do not cover the third</w:t>
      </w:r>
      <w:r>
        <w:rPr>
          <w:rFonts w:ascii="MS PGothic" w:cs="MS PGothic" w:eastAsia="MS PGothic" w:hAnsi="MS PGothic"/>
          <w:sz w:val="17"/>
          <w:szCs w:val="17"/>
          <w:color w:val="auto"/>
        </w:rPr>
        <w:t>‑</w:t>
      </w:r>
      <w:r>
        <w:rPr>
          <w:rFonts w:ascii="Arial" w:cs="Arial" w:eastAsia="Arial" w:hAnsi="Arial"/>
          <w:sz w:val="17"/>
          <w:szCs w:val="17"/>
          <w:color w:val="auto"/>
        </w:rPr>
        <w:t>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w:t>
      </w:r>
      <w:r>
        <w:rPr>
          <w:rFonts w:ascii="MS PGothic" w:cs="MS PGothic" w:eastAsia="MS PGothic" w:hAnsi="MS PGothic"/>
          <w:sz w:val="17"/>
          <w:szCs w:val="17"/>
          <w:color w:val="auto"/>
        </w:rPr>
        <w:t>‑</w:t>
      </w:r>
      <w:r>
        <w:rPr>
          <w:rFonts w:ascii="Arial" w:cs="Arial" w:eastAsia="Arial" w:hAnsi="Arial"/>
          <w:sz w:val="17"/>
          <w:szCs w:val="17"/>
          <w:color w:val="auto"/>
        </w:rPr>
        <w:t>enablement. Patents may be unenforceable if someone connected with prosecution of the patent withheld relevant information from the USPTO or made a misleading statement during prosecution. It is possible that prior art of which we or our licensors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208"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Some of our competitors may be able to devote significantly more resources to intellectual property litigation, and may have significantly broader patent portfolios to assert against us if we assert our rights against them. Further, because of the substantial discovery required in connection with intellectual property litigation, there is a risk that some of our confidential information could be disclosed or otherwise compromised during litigation.</w:t>
      </w:r>
    </w:p>
    <w:p>
      <w:pPr>
        <w:spacing w:after="0" w:line="171" w:lineRule="exact"/>
        <w:rPr>
          <w:sz w:val="20"/>
          <w:szCs w:val="20"/>
          <w:color w:val="auto"/>
        </w:rPr>
      </w:pPr>
    </w:p>
    <w:p>
      <w:pPr>
        <w:ind w:firstLine="648"/>
        <w:spacing w:after="0" w:line="221" w:lineRule="exact"/>
        <w:rPr>
          <w:sz w:val="20"/>
          <w:szCs w:val="20"/>
          <w:color w:val="auto"/>
        </w:rPr>
      </w:pPr>
      <w:r>
        <w:rPr>
          <w:rFonts w:ascii="Arial" w:cs="Arial" w:eastAsia="Arial" w:hAnsi="Arial"/>
          <w:sz w:val="17"/>
          <w:szCs w:val="17"/>
          <w:color w:val="auto"/>
        </w:rPr>
        <w:t>An adverse result in any litigation proceeding could put one or more of our patents, whether owned or in</w:t>
      </w:r>
      <w:r>
        <w:rPr>
          <w:rFonts w:ascii="MS PGothic" w:cs="MS PGothic" w:eastAsia="MS PGothic" w:hAnsi="MS PGothic"/>
          <w:sz w:val="17"/>
          <w:szCs w:val="17"/>
          <w:color w:val="auto"/>
        </w:rPr>
        <w:t>‑</w:t>
      </w:r>
      <w:r>
        <w:rPr>
          <w:rFonts w:ascii="Arial" w:cs="Arial" w:eastAsia="Arial" w:hAnsi="Arial"/>
          <w:sz w:val="17"/>
          <w:szCs w:val="17"/>
          <w:color w:val="auto"/>
        </w:rPr>
        <w:t>licensed, at risk of being invalidated or interpreted narrowly. If a defendant were to prevail on a legal assertion of invalidity or unenforceability of our patents covering one of our product candidates, we would lose at least part, and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perhaps all, of the patent protection covering such product candidate. Competing products may also be sold in other countries in which our patent coverage might not exist or be as strong. If we lose a patent lawsuit outside of the United States, alleging our infringement of a competitor’s patents, we could be prevented from marketing our products in one or more such countries. Any of these outcomes would have a materially adverse effect on our business.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shares. Such litigation or proceedings could substantially increase our operating losses and reduce the resources available for development activities or any future sales, marketing or distribution activities.</w:t>
      </w:r>
    </w:p>
    <w:p>
      <w:pPr>
        <w:spacing w:after="0" w:line="16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5" w:lineRule="exact"/>
        <w:rPr>
          <w:sz w:val="20"/>
          <w:szCs w:val="20"/>
          <w:color w:val="auto"/>
        </w:rPr>
      </w:pPr>
    </w:p>
    <w:p>
      <w:pPr>
        <w:ind w:right="20"/>
        <w:spacing w:after="0" w:line="221" w:lineRule="exact"/>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compliance with these requirements</w:t>
      </w:r>
      <w:r>
        <w:rPr>
          <w:rFonts w:ascii="Arial" w:cs="Arial" w:eastAsia="Arial" w:hAnsi="Arial"/>
          <w:sz w:val="18"/>
          <w:szCs w:val="18"/>
          <w:i w:val="1"/>
          <w:iCs w:val="1"/>
          <w:color w:val="auto"/>
        </w:rPr>
        <w:t>.</w:t>
      </w:r>
    </w:p>
    <w:p>
      <w:pPr>
        <w:spacing w:after="0" w:line="202" w:lineRule="exact"/>
        <w:rPr>
          <w:sz w:val="20"/>
          <w:szCs w:val="20"/>
          <w:color w:val="auto"/>
        </w:rPr>
      </w:pPr>
    </w:p>
    <w:p>
      <w:pPr>
        <w:ind w:right="40" w:firstLine="648"/>
        <w:spacing w:after="0" w:line="217" w:lineRule="exact"/>
        <w:rPr>
          <w:sz w:val="20"/>
          <w:szCs w:val="20"/>
          <w:color w:val="auto"/>
        </w:rPr>
      </w:pPr>
      <w:r>
        <w:rPr>
          <w:rFonts w:ascii="Arial" w:cs="Arial" w:eastAsia="Arial" w:hAnsi="Arial"/>
          <w:sz w:val="16"/>
          <w:szCs w:val="16"/>
          <w:color w:val="auto"/>
        </w:rPr>
        <w:t>The USPTO and various governmental patent agencies outside of the United States require compliance with a number of procedural, documentary, fee payment and other similar provisions during the patent application process. In addition, periodic maintenance fees on issued patents often must be paid to the USPTO and patent agencies outside of the United States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w:t>
      </w:r>
      <w:r>
        <w:rPr>
          <w:rFonts w:ascii="MS PGothic" w:cs="MS PGothic" w:eastAsia="MS PGothic" w:hAnsi="MS PGothic"/>
          <w:sz w:val="16"/>
          <w:szCs w:val="16"/>
          <w:color w:val="auto"/>
        </w:rPr>
        <w:t>‑</w:t>
      </w:r>
      <w:r>
        <w:rPr>
          <w:rFonts w:ascii="Arial" w:cs="Arial" w:eastAsia="Arial" w:hAnsi="Arial"/>
          <w:sz w:val="16"/>
          <w:szCs w:val="16"/>
          <w:color w:val="auto"/>
        </w:rPr>
        <w:t>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6"/>
          <w:szCs w:val="16"/>
          <w:color w:val="auto"/>
        </w:rPr>
        <w:t>‑</w:t>
      </w:r>
      <w:r>
        <w:rPr>
          <w:rFonts w:ascii="Arial" w:cs="Arial" w:eastAsia="Arial" w:hAnsi="Arial"/>
          <w:sz w:val="16"/>
          <w:szCs w:val="16"/>
          <w:color w:val="auto"/>
        </w:rPr>
        <w:t>payment of fees and failure to properly legalize and submit formal documents. If we or our licensors fail to maintain the patents and patent applications covering our products or technologies, we may not be able to stop a competitor from marketing products that are the same as or similar to our product candidates, which would have a material adverse effect on our business. In addition, if we fail to apply for applicable patent term extensions or adjustments, we will have a more limited time during which we can enforce our granted patents. In addition, if we are responsible for patent prosecution and maintenance of patent rights in</w:t>
      </w:r>
      <w:r>
        <w:rPr>
          <w:rFonts w:ascii="MS PGothic" w:cs="MS PGothic" w:eastAsia="MS PGothic" w:hAnsi="MS PGothic"/>
          <w:sz w:val="16"/>
          <w:szCs w:val="16"/>
          <w:color w:val="auto"/>
        </w:rPr>
        <w:t>‑</w:t>
      </w:r>
      <w:r>
        <w:rPr>
          <w:rFonts w:ascii="Arial" w:cs="Arial" w:eastAsia="Arial" w:hAnsi="Arial"/>
          <w:sz w:val="16"/>
          <w:szCs w:val="16"/>
          <w:color w:val="auto"/>
        </w:rPr>
        <w:t>licensed to us, any of the foregoing could expose us to liability to the applicable patent owner.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intellectual property laws outside of the United States. In addition, the patent laws of some such countries do not afford intellectual property protection to the same extent as the laws of the United States. Many companies have encountered significant problems in protecting and defending intellectual property rights in certain jurisdictions outside of the United States. Varying filing dates in international countries may also permit intervening</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third parties to allege priority to patent applications claiming certain technology.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countries outside of the United States have compulsory licensing laws under which a patent owner must grant licenses to third parties. In addition, many countries limit the enforceability of patents against certain parties, including government agencies or government contractors.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 candidates, and our patents or other intellectual property rights may not be effective or sufficient to prevent them from competing.</w:t>
      </w:r>
    </w:p>
    <w:p>
      <w:pPr>
        <w:spacing w:after="0" w:line="183" w:lineRule="exact"/>
        <w:rPr>
          <w:sz w:val="20"/>
          <w:szCs w:val="20"/>
          <w:color w:val="auto"/>
        </w:rPr>
      </w:pPr>
    </w:p>
    <w:p>
      <w:pPr>
        <w:ind w:right="60" w:firstLine="648"/>
        <w:spacing w:after="0" w:line="218" w:lineRule="exact"/>
        <w:rPr>
          <w:sz w:val="20"/>
          <w:szCs w:val="20"/>
          <w:color w:val="auto"/>
        </w:rPr>
      </w:pPr>
      <w:r>
        <w:rPr>
          <w:rFonts w:ascii="Arial" w:cs="Arial" w:eastAsia="Arial" w:hAnsi="Arial"/>
          <w:sz w:val="16"/>
          <w:szCs w:val="16"/>
          <w:color w:val="auto"/>
        </w:rPr>
        <w:t>Proceedings to enforce our patent rights, whether owned or in</w:t>
      </w:r>
      <w:r>
        <w:rPr>
          <w:rFonts w:ascii="MS PGothic" w:cs="MS PGothic" w:eastAsia="MS PGothic" w:hAnsi="MS PGothic"/>
          <w:sz w:val="16"/>
          <w:szCs w:val="16"/>
          <w:color w:val="auto"/>
        </w:rPr>
        <w:t>‑</w:t>
      </w:r>
      <w:r>
        <w:rPr>
          <w:rFonts w:ascii="Arial" w:cs="Arial" w:eastAsia="Arial" w:hAnsi="Arial"/>
          <w:sz w:val="16"/>
          <w:szCs w:val="16"/>
          <w:color w:val="auto"/>
        </w:rPr>
        <w:t>licensed, in jurisdictions outside of the United States, whether or not successful, could result in substantial costs and divert our efforts and resources from other aspects of our business. Furthermore, while we intend to pursue protection for our intellectual property rights in the major markets for our product candidates, we cannot ensure that we will be able to initiate or maintain similar efforts in all jurisdictions in which we may wish to market our product candidates. Accordingly, our efforts to protect our intellectual property rights in such countries may be inadequate. In addition, changes in the law and legal decisions by courts in the United States and other countries may affect our ability to obtain and enforce adequate intellectual property protection for our technology.</w:t>
      </w:r>
    </w:p>
    <w:p>
      <w:pPr>
        <w:spacing w:after="0" w:line="2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 candidates.</w:t>
      </w:r>
    </w:p>
    <w:p>
      <w:pPr>
        <w:spacing w:after="0" w:line="170" w:lineRule="exact"/>
        <w:rPr>
          <w:sz w:val="20"/>
          <w:szCs w:val="20"/>
          <w:color w:val="auto"/>
        </w:rPr>
      </w:pPr>
    </w:p>
    <w:p>
      <w:pPr>
        <w:ind w:right="80" w:firstLine="648"/>
        <w:spacing w:after="0" w:line="217" w:lineRule="exact"/>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Patent reform legislation in the United States and other countries, including the Leahy</w:t>
      </w:r>
      <w:r>
        <w:rPr>
          <w:rFonts w:ascii="MS PGothic" w:cs="MS PGothic" w:eastAsia="MS PGothic" w:hAnsi="MS PGothic"/>
          <w:sz w:val="16"/>
          <w:szCs w:val="16"/>
          <w:color w:val="auto"/>
        </w:rPr>
        <w:t>‑</w:t>
      </w:r>
      <w:r>
        <w:rPr>
          <w:rFonts w:ascii="Arial" w:cs="Arial" w:eastAsia="Arial" w:hAnsi="Arial"/>
          <w:sz w:val="16"/>
          <w:szCs w:val="16"/>
          <w:color w:val="auto"/>
        </w:rPr>
        <w:t>Smith America Invents Act, or Leahy</w:t>
      </w:r>
      <w:r>
        <w:rPr>
          <w:rFonts w:ascii="MS PGothic" w:cs="MS PGothic" w:eastAsia="MS PGothic" w:hAnsi="MS PGothic"/>
          <w:sz w:val="16"/>
          <w:szCs w:val="16"/>
          <w:color w:val="auto"/>
        </w:rPr>
        <w:t>‑</w:t>
      </w:r>
      <w:r>
        <w:rPr>
          <w:rFonts w:ascii="Arial" w:cs="Arial" w:eastAsia="Arial" w:hAnsi="Arial"/>
          <w:sz w:val="16"/>
          <w:szCs w:val="16"/>
          <w:color w:val="auto"/>
        </w:rPr>
        <w:t>Smith Act, signed into law on September 16, 2011, could increase those uncertainties and costs. The Leahy</w:t>
      </w:r>
      <w:r>
        <w:rPr>
          <w:rFonts w:ascii="MS PGothic" w:cs="MS PGothic" w:eastAsia="MS PGothic" w:hAnsi="MS PGothic"/>
          <w:sz w:val="16"/>
          <w:szCs w:val="16"/>
          <w:color w:val="auto"/>
        </w:rPr>
        <w:t>‑</w:t>
      </w:r>
      <w:r>
        <w:rPr>
          <w:rFonts w:ascii="Arial" w:cs="Arial" w:eastAsia="Arial" w:hAnsi="Arial"/>
          <w:sz w:val="16"/>
          <w:szCs w:val="16"/>
          <w:color w:val="auto"/>
        </w:rPr>
        <w:t>Smith Act includes a number of significant changes to U.S. patent law. These include provisions that affect the way patent applications are prosecuted, redefine prior art and provide more efficient and cost</w:t>
      </w:r>
      <w:r>
        <w:rPr>
          <w:rFonts w:ascii="MS PGothic" w:cs="MS PGothic" w:eastAsia="MS PGothic" w:hAnsi="MS PGothic"/>
          <w:sz w:val="16"/>
          <w:szCs w:val="16"/>
          <w:color w:val="auto"/>
        </w:rPr>
        <w:t>‑</w:t>
      </w:r>
      <w:r>
        <w:rPr>
          <w:rFonts w:ascii="Arial" w:cs="Arial" w:eastAsia="Arial" w:hAnsi="Arial"/>
          <w:sz w:val="16"/>
          <w:szCs w:val="16"/>
          <w:color w:val="auto"/>
        </w:rPr>
        <w:t>effective avenues for competitors to challenge the validity of patents. In addition, the Leahy</w:t>
      </w:r>
      <w:r>
        <w:rPr>
          <w:rFonts w:ascii="MS PGothic" w:cs="MS PGothic" w:eastAsia="MS PGothic" w:hAnsi="MS PGothic"/>
          <w:sz w:val="16"/>
          <w:szCs w:val="16"/>
          <w:color w:val="auto"/>
        </w:rPr>
        <w:t>‑</w:t>
      </w:r>
      <w:r>
        <w:rPr>
          <w:rFonts w:ascii="Arial" w:cs="Arial" w:eastAsia="Arial" w:hAnsi="Arial"/>
          <w:sz w:val="16"/>
          <w:szCs w:val="16"/>
          <w:color w:val="auto"/>
        </w:rPr>
        <w:t>Smith Act has transformed the U.S. patent system into a first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file system. The first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file provisions, however, only became effective on March 16, 2013. Accordingly, it is not yet clear what, if any, impact the Leahy</w:t>
      </w:r>
      <w:r>
        <w:rPr>
          <w:rFonts w:ascii="MS PGothic" w:cs="MS PGothic" w:eastAsia="MS PGothic" w:hAnsi="MS PGothic"/>
          <w:sz w:val="16"/>
          <w:szCs w:val="16"/>
          <w:color w:val="auto"/>
        </w:rPr>
        <w:t>‑</w:t>
      </w:r>
      <w:r>
        <w:rPr>
          <w:rFonts w:ascii="Arial" w:cs="Arial" w:eastAsia="Arial" w:hAnsi="Arial"/>
          <w:sz w:val="16"/>
          <w:szCs w:val="16"/>
          <w:color w:val="auto"/>
        </w:rPr>
        <w:t>Smith Act will have on the operation of our business. However, the Leahy</w:t>
      </w:r>
      <w:r>
        <w:rPr>
          <w:rFonts w:ascii="MS PGothic" w:cs="MS PGothic" w:eastAsia="MS PGothic" w:hAnsi="MS PGothic"/>
          <w:sz w:val="16"/>
          <w:szCs w:val="16"/>
          <w:color w:val="auto"/>
        </w:rPr>
        <w:t>‑</w:t>
      </w:r>
      <w:r>
        <w:rPr>
          <w:rFonts w:ascii="Arial" w:cs="Arial" w:eastAsia="Arial" w:hAnsi="Arial"/>
          <w:sz w:val="16"/>
          <w:szCs w:val="16"/>
          <w:color w:val="auto"/>
        </w:rPr>
        <w:t>Smith Act and its implementation could make it more difficult to obtain patent protection for our inventions, whether owned or in</w:t>
      </w:r>
      <w:r>
        <w:rPr>
          <w:rFonts w:ascii="MS PGothic" w:cs="MS PGothic" w:eastAsia="MS PGothic" w:hAnsi="MS PGothic"/>
          <w:sz w:val="16"/>
          <w:szCs w:val="16"/>
          <w:color w:val="auto"/>
        </w:rPr>
        <w:t>‑</w:t>
      </w:r>
      <w:r>
        <w:rPr>
          <w:rFonts w:ascii="Arial" w:cs="Arial" w:eastAsia="Arial" w:hAnsi="Arial"/>
          <w:sz w:val="16"/>
          <w:szCs w:val="16"/>
          <w:color w:val="auto"/>
        </w:rPr>
        <w:t>licensed, and increase the uncertainties and costs surrounding the prosecution of our patent applications and the enforcement or defense of our issued patents, in each case whether owned or in</w:t>
      </w:r>
      <w:r>
        <w:rPr>
          <w:rFonts w:ascii="MS PGothic" w:cs="MS PGothic" w:eastAsia="MS PGothic" w:hAnsi="MS PGothic"/>
          <w:sz w:val="16"/>
          <w:szCs w:val="16"/>
          <w:color w:val="auto"/>
        </w:rPr>
        <w:t>‑</w:t>
      </w:r>
      <w:r>
        <w:rPr>
          <w:rFonts w:ascii="Arial" w:cs="Arial" w:eastAsia="Arial" w:hAnsi="Arial"/>
          <w:sz w:val="16"/>
          <w:szCs w:val="16"/>
          <w:color w:val="auto"/>
        </w:rPr>
        <w:t>licensed, all of which could harm our business, results of operations and financial condition.</w:t>
      </w:r>
    </w:p>
    <w:p>
      <w:pPr>
        <w:spacing w:after="0" w:line="205" w:lineRule="exact"/>
        <w:rPr>
          <w:sz w:val="20"/>
          <w:szCs w:val="20"/>
          <w:color w:val="auto"/>
        </w:rPr>
      </w:pPr>
    </w:p>
    <w:p>
      <w:pPr>
        <w:ind w:right="80" w:firstLine="648"/>
        <w:spacing w:after="0" w:line="218" w:lineRule="exact"/>
        <w:rPr>
          <w:sz w:val="20"/>
          <w:szCs w:val="20"/>
          <w:color w:val="auto"/>
        </w:rPr>
      </w:pPr>
      <w:r>
        <w:rPr>
          <w:rFonts w:ascii="Arial" w:cs="Arial" w:eastAsia="Arial" w:hAnsi="Arial"/>
          <w:sz w:val="17"/>
          <w:szCs w:val="17"/>
          <w:color w:val="auto"/>
        </w:rPr>
        <w:t>Among some of the other changes introduced by the Leahy</w:t>
      </w:r>
      <w:r>
        <w:rPr>
          <w:rFonts w:ascii="MS PGothic" w:cs="MS PGothic" w:eastAsia="MS PGothic" w:hAnsi="MS PGothic"/>
          <w:sz w:val="17"/>
          <w:szCs w:val="17"/>
          <w:color w:val="auto"/>
        </w:rPr>
        <w:t>‑</w:t>
      </w:r>
      <w:r>
        <w:rPr>
          <w:rFonts w:ascii="Arial" w:cs="Arial" w:eastAsia="Arial" w:hAnsi="Arial"/>
          <w:sz w:val="17"/>
          <w:szCs w:val="17"/>
          <w:color w:val="auto"/>
        </w:rPr>
        <w:t>Smith Act are changes that limit where a patentee may file a patent infringement suit and provide new opportunities for third parties to challenge issued patents in the USPTO. We may be subject to the risk of third</w:t>
      </w:r>
      <w:r>
        <w:rPr>
          <w:rFonts w:ascii="MS PGothic" w:cs="MS PGothic" w:eastAsia="MS PGothic" w:hAnsi="MS PGothic"/>
          <w:sz w:val="17"/>
          <w:szCs w:val="17"/>
          <w:color w:val="auto"/>
        </w:rPr>
        <w:t>‑</w:t>
      </w:r>
      <w:r>
        <w:rPr>
          <w:rFonts w:ascii="Arial" w:cs="Arial" w:eastAsia="Arial" w:hAnsi="Arial"/>
          <w:sz w:val="17"/>
          <w:szCs w:val="17"/>
          <w:color w:val="auto"/>
        </w:rPr>
        <w:t xml:space="preserve">party prior art submissions on pending applications or become a party to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w:t>
      </w:r>
      <w:r>
        <w:rPr>
          <w:rFonts w:ascii="MS PGothic" w:cs="MS PGothic" w:eastAsia="MS PGothic" w:hAnsi="MS PGothic"/>
          <w:sz w:val="17"/>
          <w:szCs w:val="17"/>
          <w:color w:val="auto"/>
        </w:rPr>
        <w:t>‑</w:t>
      </w:r>
      <w:r>
        <w:rPr>
          <w:rFonts w:ascii="Arial" w:cs="Arial" w:eastAsia="Arial" w:hAnsi="Arial"/>
          <w:sz w:val="17"/>
          <w:szCs w:val="17"/>
          <w:color w:val="auto"/>
        </w:rPr>
        <w:t>grant review or interference proceedings challenging our patents. There is a lower standard of evidence necessary to invalidate a patent claim in a USPTO proceeding relative to the standard in U.S. district or federal court. This could lead third parties to challenge and successfully invalidate our patents that would not otherwise be invalidated if challenged through the court system.</w:t>
      </w:r>
    </w:p>
    <w:p>
      <w:pPr>
        <w:spacing w:after="0" w:line="206" w:lineRule="exact"/>
        <w:rPr>
          <w:sz w:val="20"/>
          <w:szCs w:val="20"/>
          <w:color w:val="auto"/>
        </w:rPr>
      </w:pPr>
    </w:p>
    <w:p>
      <w:pPr>
        <w:ind w:right="80" w:firstLine="648"/>
        <w:spacing w:after="0" w:line="218" w:lineRule="exact"/>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United States and other countries that, if adopted, could impact our ability to obtain or maintain patent protection for our proprietary technology or our ability to enforce our proprietary technology. Depending on future actions by the U.S. Congress, the U.S. courts, the USPTO and the relevant law</w:t>
      </w:r>
      <w:r>
        <w:rPr>
          <w:rFonts w:ascii="MS PGothic" w:cs="MS PGothic" w:eastAsia="MS PGothic" w:hAnsi="MS PGothic"/>
          <w:sz w:val="16"/>
          <w:szCs w:val="16"/>
          <w:color w:val="auto"/>
        </w:rPr>
        <w:t>‑</w:t>
      </w:r>
      <w:r>
        <w:rPr>
          <w:rFonts w:ascii="Arial" w:cs="Arial" w:eastAsia="Arial" w:hAnsi="Arial"/>
          <w:sz w:val="16"/>
          <w:szCs w:val="16"/>
          <w:color w:val="auto"/>
        </w:rPr>
        <w:t>making bodies in other countries, the laws and regulations governing patents could change in unpredictable ways that would weaken our ability to obtain new patents; enforce or shorten the term of our existing</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patents and patents that we might obtain in the future; shorten the term that has been lengthened by patent term adjustment of our existing patents or patents that we might obtain in the future; or challenge the validity or enforceability of our patents that may be asserted against us by our competitors or other third parties. Any of these outcomes could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may be harmed.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the protection afforded by patents, we may rely upon unpatented trade secret protection, unpatented</w:t>
      </w:r>
    </w:p>
    <w:p>
      <w:pPr>
        <w:spacing w:after="0" w:line="4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know</w:t>
      </w:r>
      <w:r>
        <w:rPr>
          <w:rFonts w:ascii="MS PGothic" w:cs="MS PGothic" w:eastAsia="MS PGothic" w:hAnsi="MS PGothic"/>
          <w:sz w:val="16"/>
          <w:szCs w:val="16"/>
          <w:color w:val="auto"/>
        </w:rPr>
        <w:t>‑</w:t>
      </w:r>
      <w:r>
        <w:rPr>
          <w:rFonts w:ascii="Arial" w:cs="Arial" w:eastAsia="Arial" w:hAnsi="Arial"/>
          <w:sz w:val="16"/>
          <w:szCs w:val="16"/>
          <w:color w:val="auto"/>
        </w:rPr>
        <w:t>how and continuing technological innovation to develop and maintain our competitive position. Although we seek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protect our proprietary technology and processes, in part, by entering into confidentiality agreements with our collaborators,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scientific advisors, contractors, employees and consultants, and invention assignment agreements with our consultants,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scientific advisors and employees, we may not be able to prevent the unauthorized disclosure or use of our technical</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know</w:t>
      </w:r>
      <w:r>
        <w:rPr>
          <w:rFonts w:ascii="MS PGothic" w:cs="MS PGothic" w:eastAsia="MS PGothic" w:hAnsi="MS PGothic"/>
          <w:sz w:val="16"/>
          <w:szCs w:val="16"/>
          <w:color w:val="auto"/>
        </w:rPr>
        <w:t>‑</w:t>
      </w:r>
      <w:r>
        <w:rPr>
          <w:rFonts w:ascii="Arial" w:cs="Arial" w:eastAsia="Arial" w:hAnsi="Arial"/>
          <w:sz w:val="16"/>
          <w:szCs w:val="16"/>
          <w:color w:val="auto"/>
        </w:rPr>
        <w:t>how or other trade secrets by the parties to these agreements. Moreover, we cannot guarantee that we have entered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agreements with each party that may have or have had access to our confidential information or proprietary technology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processes. Monitoring unauthorized uses and disclosures is difficult, and we do not know whether the steps we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taken to protect our proprietary technologies will be effective. If any of the collaborators, scientific advisors, employees,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contractors and consultants who are parties to these agreements breaches or violates the terms of any of these agreements, we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may not have adequate remedies for any such breach or violation, and we could lose our trade secrets as a result. Moreover,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confidential information that is licensed or disclosed to us by our partners, collaborators, or others is inadvertently disclosed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subject to a breach or violation, we may be exposed to liability to the owner of that confidential information. Enforcing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claim that a third party illegally obtained and is using our trade secrets, like patent litigation, is expensive and time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consuming, and the outcome is unpredictable. In addition, courts outside the United States are sometimes less willing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protect trade secrets.</w:t>
      </w:r>
    </w:p>
    <w:p>
      <w:pPr>
        <w:spacing w:after="0" w:line="21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cannot be certain that the steps we have taken will prevent unauthorized use or unauthorized reverse engineering of our technology. Monitoring unauthorized use of our intellectual property is difficult and costly. We may not be able to detect unauthorized use of, or take appropriate steps to enforce, our intellectual property rights. The steps we have taken to protect our proprietary rights may not be adequate to prevent misappropriation of our intellectual property.</w:t>
      </w:r>
    </w:p>
    <w:p>
      <w:pPr>
        <w:spacing w:after="0" w:line="15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Detecting the disclosure or misappropriation of confidential information and enforcing a claim that a party illegally disclosed or misappropriated confidential information is difficult, expensive and time 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 We may in the future rely on trade secret protection, which would be subject to the risks identified above with respect to confidential information.</w:t>
      </w:r>
    </w:p>
    <w:p>
      <w:pPr>
        <w:spacing w:after="0" w:line="19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product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products, our competitive position could be adversely affected, as could our business.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73"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We have not yet registered trademarks for a commercial trade name for our product candidates in the United States or jurisdictions outside of the United States and failure to secure such registrations could adversely affect our business.</w:t>
      </w:r>
    </w:p>
    <w:p>
      <w:pPr>
        <w:spacing w:after="0" w:line="101"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We have not yet registered trademarks for a commercial trade name for some of our product candidates in the United States or any jurisdiction outside of the United States. During trademark registration proceedings, we may receive rejections. Although we are given an opportunity to respond to those rejections, we may be unable to overcome such rejections. In addition, in the USPTO and in comparable agencies in many jurisdictions outside of the United States,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w:t>
      </w:r>
    </w:p>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may be materially adversely affected.</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precise incidence and prevalence for all the conditions we aim to address with our programs are not know with specificity. Our projections of both the number of people who have these diseases, as well as the subset of people with these diseases who have the potential to benefit from treatment with our product candidates, are based on our extrapolation from available population data and estimates. These estimates have been derived from a variety of sources, including the scientific literature, surveys of clinics, patient foundations, pharmacy claims analyses, or market research, and may prove to be incorrect. Further, new trials and therapeutic options may lead to changes in the estimated incidence or prevalence of these diseases, or relevant subpopulations thereof. As a result, the number of patients who may benefit from our product candidates may turn out to be lower than expected.</w:t>
      </w:r>
    </w:p>
    <w:p>
      <w:pPr>
        <w:spacing w:after="0" w:line="17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total addressable market for any of our product candidates will ultimately depend upon, among other things, the diagnostic criteria and applicable patient population included in the final label for the product candidate approved for sale for its indication, the efficacy, safety, and tolerability demonstrated by the product candidate in our clinical trials, acceptance by the medical community and patients, pricing, access and reimbursement. The number of addressable patients in the United States and other major markets outside of the United States may turn out to be lower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than expected, patients may not be otherwise amenable to treatment with our products or new patients may become increasingly difficult to identify or gain access to, all of which would adversely affect our results of operations and our business. Further, even if we obtain significant market share for our product candidates, because the potential target populations are very small, we may never achieve profitability despite obtaining significant market share.</w:t>
      </w:r>
    </w:p>
    <w:p>
      <w:pPr>
        <w:spacing w:after="0" w:line="154"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b w:val="1"/>
          <w:bCs w:val="1"/>
          <w:i w:val="1"/>
          <w:iCs w:val="1"/>
          <w:color w:val="auto"/>
        </w:rPr>
        <w:t>If we are unable to establish and expand our sales, marketing and distribution capabilities, either directly or through agreements with third parties, we may not be successful in commercializing our product candidates, if approved, thus potentially impairing commercial potential for our product candidates to generate any revenue.</w:t>
      </w:r>
    </w:p>
    <w:p>
      <w:pPr>
        <w:spacing w:after="0" w:line="147"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We have never sold, marketed or distributed any therapeutic products. To achieve commercial success for any approved product candidate, we must build our sales, marketing, distribution, managerial and other non</w:t>
      </w:r>
      <w:r>
        <w:rPr>
          <w:rFonts w:ascii="MS PGothic" w:cs="MS PGothic" w:eastAsia="MS PGothic" w:hAnsi="MS PGothic"/>
          <w:sz w:val="18"/>
          <w:szCs w:val="18"/>
          <w:color w:val="auto"/>
        </w:rPr>
        <w:t>‑</w:t>
      </w:r>
      <w:r>
        <w:rPr>
          <w:rFonts w:ascii="Arial" w:cs="Arial" w:eastAsia="Arial" w:hAnsi="Arial"/>
          <w:sz w:val="18"/>
          <w:szCs w:val="18"/>
          <w:color w:val="auto"/>
        </w:rPr>
        <w:t>technical capabilities or make arrangements with third parties to perform these services. For example, we are currently undertaking plans to establish and develop our sales, marketing, and distribution capabilities and infrastructure to directly commercialize rilonacept, in anticipation of approval.</w:t>
      </w:r>
    </w:p>
    <w:p>
      <w:pPr>
        <w:spacing w:after="0" w:line="20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are unable to retain or reposition our sales and marketing personnel.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product candidates include:</w:t>
      </w:r>
    </w:p>
    <w:p>
      <w:pPr>
        <w:spacing w:after="0" w:line="225" w:lineRule="exact"/>
        <w:rPr>
          <w:sz w:val="20"/>
          <w:szCs w:val="20"/>
          <w:color w:val="auto"/>
        </w:rPr>
      </w:pPr>
    </w:p>
    <w:p>
      <w:pPr>
        <w:ind w:left="980" w:hanging="329"/>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inability to recruit and retain adequate numbers of effective sales, marketing and access personnel;</w:t>
      </w:r>
    </w:p>
    <w:p>
      <w:pPr>
        <w:spacing w:after="0" w:line="236" w:lineRule="exact"/>
        <w:rPr>
          <w:rFonts w:ascii="Arial" w:cs="Arial" w:eastAsia="Arial" w:hAnsi="Arial"/>
          <w:sz w:val="17"/>
          <w:szCs w:val="17"/>
          <w:color w:val="auto"/>
        </w:rPr>
      </w:pPr>
    </w:p>
    <w:p>
      <w:pPr>
        <w:ind w:left="980" w:right="460" w:hanging="329"/>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and for an adequate number of physicians to prescribe any of our future products;</w:t>
      </w:r>
    </w:p>
    <w:p>
      <w:pPr>
        <w:spacing w:after="0" w:line="170" w:lineRule="exact"/>
        <w:rPr>
          <w:rFonts w:ascii="Arial" w:cs="Arial" w:eastAsia="Arial" w:hAnsi="Arial"/>
          <w:sz w:val="18"/>
          <w:szCs w:val="18"/>
          <w:color w:val="auto"/>
        </w:rPr>
      </w:pPr>
    </w:p>
    <w:p>
      <w:pPr>
        <w:ind w:left="980" w:right="400" w:hanging="329"/>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lack of complementary products to be supported by sales personnel, which may put us at a competitive disadvantage relative to companies with more extensive product lines;</w:t>
      </w:r>
    </w:p>
    <w:p>
      <w:pPr>
        <w:spacing w:after="0" w:line="170" w:lineRule="exact"/>
        <w:rPr>
          <w:rFonts w:ascii="Arial" w:cs="Arial" w:eastAsia="Arial" w:hAnsi="Arial"/>
          <w:sz w:val="18"/>
          <w:szCs w:val="18"/>
          <w:color w:val="auto"/>
        </w:rPr>
      </w:pPr>
    </w:p>
    <w:p>
      <w:pPr>
        <w:ind w:left="980" w:right="60" w:hanging="329"/>
        <w:spacing w:after="0" w:line="264"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inability to equip medical and sales personnel with effective materials, including medical and sales literature to help them educate physicians and other healthcare providers regarding applicable diseases relevant to our future products;</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inability to effectively distribute products in a timely manner;</w:t>
      </w:r>
    </w:p>
    <w:p>
      <w:pPr>
        <w:spacing w:after="0" w:line="225"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inability to develop or obtain sufficient operational functions and infrastructure to support our commercial activities;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 sales, marketing, and access organization.</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we enter into arrangements with third parties to perform sales, marketing, distribution and other commercial support services, our product revenues or the profitability of these revenues to us are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may have little contractual control over such third parties, and any of them may fail to devote the necessary resources and attention to sell and market our product candidates effectively. Furthermore, developing a sales, marketing and access organization requires significant investment, is time consuming and could delay the launch of our product candidates. We may not be able to build an effective sales, marketing and access organization in the United States, the EU or other key markets. If we do not establish sales, marketing and access capabilities successfully, either on our own or through arrangements with third parties, we will not be successful in commercializing our product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candidates. Further, our business, results of operations, financial condition and prospects will be materially adversely affected.</w:t>
      </w:r>
    </w:p>
    <w:p>
      <w:pPr>
        <w:spacing w:after="0" w:line="170" w:lineRule="exact"/>
        <w:rPr>
          <w:sz w:val="20"/>
          <w:szCs w:val="20"/>
          <w:color w:val="auto"/>
        </w:rPr>
      </w:pPr>
    </w:p>
    <w:p>
      <w:pPr>
        <w:jc w:val="both"/>
        <w:ind w:right="220"/>
        <w:spacing w:after="0" w:line="381" w:lineRule="auto"/>
        <w:rPr>
          <w:sz w:val="20"/>
          <w:szCs w:val="20"/>
          <w:color w:val="auto"/>
        </w:rPr>
      </w:pPr>
      <w:r>
        <w:rPr>
          <w:rFonts w:ascii="Arial" w:cs="Arial" w:eastAsia="Arial" w:hAnsi="Arial"/>
          <w:sz w:val="15"/>
          <w:szCs w:val="15"/>
          <w:b w:val="1"/>
          <w:bCs w:val="1"/>
          <w:i w:val="1"/>
          <w:iCs w:val="1"/>
          <w:color w:val="auto"/>
        </w:rPr>
        <w:t>Our current or future product candidates may not gain market acceptance by physicians, patients, or third-party payors (e.g., governments and private health insurers) in which case our ability to generate product revenues will be impaired.</w:t>
      </w:r>
    </w:p>
    <w:p>
      <w:pPr>
        <w:spacing w:after="0" w:line="10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Even if the FDA or any other regulatory authority approves the marketing of our product candidates (whether developed on our own or with a collaborator), , physicians, healthcare providers, patients, the medical community or third-party-payors may not accept or use our product candidates, or effectively block or limit their use in the case of third-party payors. If our product candidates do not achieve an adequate level of acceptance, we may not generate projected level of product revenue or sufficient profits from operations, if at all. The degree of market acceptance of our product candidates will depend on a variety of factors, including:</w:t>
      </w:r>
    </w:p>
    <w:p>
      <w:pPr>
        <w:spacing w:after="0" w:line="193" w:lineRule="exact"/>
        <w:rPr>
          <w:sz w:val="20"/>
          <w:szCs w:val="20"/>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225" w:lineRule="exact"/>
        <w:rPr>
          <w:rFonts w:ascii="Arial" w:cs="Arial" w:eastAsia="Arial" w:hAnsi="Arial"/>
          <w:sz w:val="18"/>
          <w:szCs w:val="18"/>
          <w:color w:val="auto"/>
        </w:rPr>
      </w:pPr>
    </w:p>
    <w:p>
      <w:pPr>
        <w:ind w:left="980" w:right="600" w:hanging="329"/>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potential and perceived advantages or disadvantages of our product candidates relative to alternative treatments;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other regulatory authorities;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convenience and ease of administration, including relative to alternative therapies;</w:t>
      </w:r>
    </w:p>
    <w:p>
      <w:pPr>
        <w:spacing w:after="0" w:line="225"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pricing (including patient out-of-pocket costs), budget impact, affordability and cost effectiveness, particularly in relation to alternative treatments;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effectiveness of our sales, marketing and distribution activities;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availability of adequate coverage, reimbursement and payment from health maintenance organizations and other insurers, both public and private;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If our product candidates fail to gain market acceptance, our ability to generate revenues will be adversely affected. Even if our product candidates achieve market acceptance, the relevant market may prove not to be large enough to allow us to generate significant revenues.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third-party payors, including governmental authorities and private health insurers, provide funding, establish favorable coverage and pricing policies, and set adequate reimbursement levels. Failure to obtain or maintain coverage and adequate reimbursement for our product candidates, if approved, could limit our ability to market those products and decrease our ability to generate revenue.</w:t>
      </w:r>
    </w:p>
    <w:p>
      <w:pPr>
        <w:spacing w:after="0" w:line="18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ability to commercialize any of our product candidates successfully, particularly in orphan or rare disease indications, will depend in part on the availability of favorable coverage and the adequacy of reimbursement for the product candidate and alternative treatments from third-party payors (e.g., governmental authorities, private health insurers and other organizations). Obtaining coverage and adequate reimbursement is contingent on our ability to:</w:t>
      </w:r>
    </w:p>
    <w:p>
      <w:pPr>
        <w:spacing w:after="0" w:line="171" w:lineRule="exact"/>
        <w:rPr>
          <w:sz w:val="20"/>
          <w:szCs w:val="20"/>
          <w:color w:val="auto"/>
        </w:rPr>
      </w:pPr>
    </w:p>
    <w:p>
      <w:pPr>
        <w:ind w:left="980" w:hanging="329"/>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obtain clinical data that supports payor value/benefit assessments;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execute formal payor value/benefit assessment processes;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obtain coverage that enables use in populations reflected in any product candidate’s approved product label; and</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effectively negotiate favorable pricing and reimbursement terms.</w:t>
      </w:r>
    </w:p>
    <w:p>
      <w:pPr>
        <w:spacing w:after="0" w:line="225"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While in some markets, there is a single payor, in other markets there are multiple payors that can have different ways of assessing prescription drugs. To commercialize our product candidates successfully, we will be required to have sufficient expertise and resources to execute on the respective product candidate’s coverage and reimbursement strategy, which we cannot be certain we will be able to do.</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Governmental authorities, private health insurers and other third-party payors have attempted to control costs by delaying the time to reimbursement, and by restricting the breadth of patient-coverage and limiting the amount of reimbursement for particular products in terms of lower pricing and increasing the proportion of the cost for which the patient is responsible. There may be significant delays in obtaining reimbursement for newly approved products or product indications, coverage may be more limited than the purposes for which the product is approved by the FDA or similar regulatory authorities outside the United States, and reimbursement rates may vary according to the use of the product and the clinical setting in which it is used. Coverage and reimbursement barriers by payors may materially impact the demand for, or the price of, any product candidate for which we obtain marketing approval. If coverage and reimbursement are not available, or available only at limited levels, or if such coverage will require patient out-of-pocket costs that are unacceptably high, we may not be able to successfully commercialize any product candidate for which we obtain marketing approval. Moreover, any coverage or reimbursement that may be obtained may be decreased or eliminated in the future.</w:t>
      </w:r>
    </w:p>
    <w:p>
      <w:pPr>
        <w:spacing w:after="0" w:line="17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Third-party payors continue to introduce new tactics to contain costs, including more rigorous value/benefit assessment processes and criteria. It is possible that third-party payors will change the clinical comparators that serve as benchmarks for determining relative value. The result of such a change would be a more challenging value/benefit assessment caused by a more challenging basis for comparison and the potential for a worse relative outcome. Third-party payors may determine that we have failed to generate sufficient evidence to support a value/benefit assessment and refuse to provide coverage and reimbursement, thereby impacting or preventing the progression to a price negotiation. The potential of third-party payors to introduce more rigorous value/benefit assessment processes and criteria could have a negative impact on our ability to commercialize our product candidates successfully.</w:t>
      </w:r>
    </w:p>
    <w:p>
      <w:pPr>
        <w:spacing w:after="0" w:line="17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Third-party payors are also introducing more challenging price negotiation tactics, including in re-visiting established coverage and reimbursement in cases when new competitors, including brands, generics and biosimilars enter the market. It is possible that a third-party payor may consider our product candidates as substitutable and only offer to cover the cost of the alternative product. Even if we show improved efficacy or improved convenience of administration with our product candidates, pricing of competitive products may limit the amount we will be able to charge for our product candidates. Third-party payors may deny or revoke the reimbursement status of a given product or establish prices for new or existing marketed products at levels that are too low to enable us to realize an appropriate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9"/>
        <w:spacing w:after="0" w:line="293" w:lineRule="auto"/>
        <w:rPr>
          <w:sz w:val="20"/>
          <w:szCs w:val="20"/>
          <w:color w:val="auto"/>
        </w:rPr>
      </w:pPr>
      <w:r>
        <w:rPr>
          <w:rFonts w:ascii="Arial" w:cs="Arial" w:eastAsia="Arial" w:hAnsi="Arial"/>
          <w:sz w:val="16"/>
          <w:szCs w:val="16"/>
          <w:color w:val="auto"/>
        </w:rPr>
        <w:t>return on our investment in our product candidates. In some cases, when new competitor generic and biosimilar products enter the market, there are mandatory price reductions for the innovator compound, in other cases, payors employ “therapeutic category” price referencing and seek to lower the reimbursement levels for all treatment in the respective therapeutic category. In other cases, new competitor brand drugs can trigger therapeutic category reviews in the interest of modifying coverage and or reimbursement levels. The potential of third-party payors to introduce more challenging price negotiation tactics could have a negative impact on our ability to commercialize our product candidates successfully.</w:t>
      </w:r>
    </w:p>
    <w:p>
      <w:pPr>
        <w:spacing w:after="0" w:line="165" w:lineRule="exact"/>
        <w:rPr>
          <w:sz w:val="20"/>
          <w:szCs w:val="20"/>
          <w:color w:val="auto"/>
        </w:rPr>
      </w:pPr>
    </w:p>
    <w:p>
      <w:pPr>
        <w:ind w:right="39"/>
        <w:spacing w:after="0" w:line="264" w:lineRule="auto"/>
        <w:rPr>
          <w:sz w:val="20"/>
          <w:szCs w:val="20"/>
          <w:color w:val="auto"/>
        </w:rPr>
      </w:pPr>
      <w:r>
        <w:rPr>
          <w:rFonts w:ascii="Arial" w:cs="Arial" w:eastAsia="Arial" w:hAnsi="Arial"/>
          <w:sz w:val="18"/>
          <w:szCs w:val="18"/>
          <w:b w:val="1"/>
          <w:bCs w:val="1"/>
          <w:i w:val="1"/>
          <w:iCs w:val="1"/>
          <w:color w:val="auto"/>
        </w:rPr>
        <w:t>Evolving health policy and associated legislative changes related to coverage and reimbursement aimed at lowering healthcare expenditure could impact the commercialization of our product candidates. Pharmaceutical pricing has been, and likely will continue to be, a central component of these efforts.</w:t>
      </w:r>
    </w:p>
    <w:p>
      <w:pPr>
        <w:spacing w:after="0" w:line="181" w:lineRule="exact"/>
        <w:rPr>
          <w:sz w:val="20"/>
          <w:szCs w:val="20"/>
          <w:color w:val="auto"/>
        </w:rPr>
      </w:pPr>
    </w:p>
    <w:p>
      <w:pPr>
        <w:ind w:right="19" w:firstLine="648"/>
        <w:spacing w:after="0" w:line="288" w:lineRule="auto"/>
        <w:rPr>
          <w:sz w:val="20"/>
          <w:szCs w:val="20"/>
          <w:color w:val="auto"/>
        </w:rPr>
      </w:pPr>
      <w:r>
        <w:rPr>
          <w:rFonts w:ascii="Arial" w:cs="Arial" w:eastAsia="Arial" w:hAnsi="Arial"/>
          <w:sz w:val="16"/>
          <w:szCs w:val="16"/>
          <w:color w:val="auto"/>
        </w:rPr>
        <w:t>The regulations that govern regulatory approvals, pricing and reimbursement for new pharmaceutical products vary widely from country to country. In markets of some countries we may pursue outside of the United States for any of our product candidates, the products may be subject to extensive governmental price control or other price regulations. Some countries require approval of the sale price of a drug before it can be marketed. In many countries, the pricing review period begins after marketing approval is granted. In some markets, prescription pharmaceutical pricing remains subject to continuing governmental control even after initial approval is granted. As a result, we might obtain marketing approval for a product candidate in a particular country, but then be subject to price negotiations that delay our commercial launch of the product candidate, possibly for lengthy time periods, which may negatively impact the revenues we are able to generate from the sale of the product candidate in that country. Adverse pricing and reimbursement limitations may hinder our ability to recoup our investment in one or more product candidates, even if our product candidates obtain marketing approval.</w:t>
      </w:r>
    </w:p>
    <w:p>
      <w:pPr>
        <w:spacing w:after="0" w:line="169" w:lineRule="exact"/>
        <w:rPr>
          <w:sz w:val="20"/>
          <w:szCs w:val="20"/>
          <w:color w:val="auto"/>
        </w:rPr>
      </w:pPr>
    </w:p>
    <w:p>
      <w:pPr>
        <w:ind w:right="119" w:firstLine="648"/>
        <w:spacing w:after="0" w:line="254" w:lineRule="auto"/>
        <w:rPr>
          <w:sz w:val="20"/>
          <w:szCs w:val="20"/>
          <w:color w:val="auto"/>
        </w:rPr>
      </w:pPr>
      <w:r>
        <w:rPr>
          <w:rFonts w:ascii="Arial" w:cs="Arial" w:eastAsia="Arial" w:hAnsi="Arial"/>
          <w:sz w:val="18"/>
          <w:szCs w:val="18"/>
          <w:color w:val="auto"/>
        </w:rPr>
        <w:t>Net prices for products may be reduced by mandatory discounts or legislated rebates that must be paid in order to participate in government healthcare programs or paid to other third-party payors. Mandatory discounts can be legislated at any time in any market. Similarly, some markets currently have pricing legislation that sets the price of a pharmaceutical product in their market by referencing the price of that product in other markets, known as international reference pricing. International reference pricing has the potential to impact price cuts in individual countries and the countries that reference the pricing of certain other individual countries. Expansion of mandatory discounts and international reference pricing, including into the United States, presents a material risk to our ability to achieve favorable pricing and adequate reimbursement.</w:t>
      </w:r>
    </w:p>
    <w:p>
      <w:pPr>
        <w:spacing w:after="0" w:line="192" w:lineRule="exact"/>
        <w:rPr>
          <w:sz w:val="20"/>
          <w:szCs w:val="20"/>
          <w:color w:val="auto"/>
        </w:rPr>
      </w:pPr>
    </w:p>
    <w:p>
      <w:pPr>
        <w:ind w:right="39" w:firstLine="648"/>
        <w:spacing w:after="0" w:line="257" w:lineRule="auto"/>
        <w:rPr>
          <w:sz w:val="20"/>
          <w:szCs w:val="20"/>
          <w:color w:val="auto"/>
        </w:rPr>
      </w:pPr>
      <w:r>
        <w:rPr>
          <w:rFonts w:ascii="Arial" w:cs="Arial" w:eastAsia="Arial" w:hAnsi="Arial"/>
          <w:sz w:val="18"/>
          <w:szCs w:val="18"/>
          <w:color w:val="auto"/>
        </w:rPr>
        <w:t>Drug importation and cross-border trade, both sanctioned and unsanctioned, occurs when a pharmaceutical product from a market where the official price is set lower is shipped and made commercially available in a market where the official price is set higher. Any future relaxation of laws that presently restrict or limit drug importation or cross-border trade, including in the United States, could have a material negative impact on our ability to commercialize our product candidates, if approved.</w:t>
      </w:r>
    </w:p>
    <w:p>
      <w:pPr>
        <w:spacing w:after="0" w:line="188" w:lineRule="exact"/>
        <w:rPr>
          <w:sz w:val="20"/>
          <w:szCs w:val="20"/>
          <w:color w:val="auto"/>
        </w:rPr>
      </w:pPr>
    </w:p>
    <w:p>
      <w:pPr>
        <w:ind w:right="79" w:firstLine="648"/>
        <w:spacing w:after="0" w:line="257" w:lineRule="auto"/>
        <w:rPr>
          <w:sz w:val="20"/>
          <w:szCs w:val="20"/>
          <w:color w:val="auto"/>
        </w:rPr>
      </w:pPr>
      <w:r>
        <w:rPr>
          <w:rFonts w:ascii="Arial" w:cs="Arial" w:eastAsia="Arial" w:hAnsi="Arial"/>
          <w:sz w:val="18"/>
          <w:szCs w:val="18"/>
          <w:color w:val="auto"/>
        </w:rPr>
        <w:t>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biologics and surgical procedures and other treatments, has become intense. As a result, we may not be able to achieve or sustain favorable pricing for our product candidates and adequate reimbursement.</w:t>
      </w:r>
    </w:p>
    <w:p>
      <w:pPr>
        <w:spacing w:after="0" w:line="188"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markets outside of the United States, where we would be subject to additional regulatory burdens and other risks and uncertainties.</w:t>
      </w:r>
    </w:p>
    <w:p>
      <w:pPr>
        <w:spacing w:after="0" w:line="170" w:lineRule="exact"/>
        <w:rPr>
          <w:sz w:val="20"/>
          <w:szCs w:val="20"/>
          <w:color w:val="auto"/>
        </w:rPr>
      </w:pPr>
    </w:p>
    <w:p>
      <w:pPr>
        <w:ind w:right="59" w:firstLine="648"/>
        <w:spacing w:after="0" w:line="293"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markets outside of the United States for which we may rely on collaborations with third parties. For example, we are conducting a global, pivotal Phase 3 clinical trial with rilonacept for the treatment of recurrent pericarditis. Although we do not have immediate plans to pursue the commercialization of rilonacept for recurrent pericarditis outside of the United States, we are evaluating the opportunities for the development and commercialization of our product candidates in certain markets outside of the United States. We are not permitted to market or promote any of our product candidates before we receive</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regulatory approval from the applicable regulatory authority in that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markets outside of the United States, we would be subject to additional risks and uncertainties, including:</w:t>
      </w:r>
    </w:p>
    <w:p>
      <w:pPr>
        <w:spacing w:after="0" w:line="165" w:lineRule="exact"/>
        <w:rPr>
          <w:sz w:val="20"/>
          <w:szCs w:val="20"/>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obtain reimbursement for our product candidates in such markets;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980" w:right="60" w:hanging="329"/>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regulatory, tax, accounting and legal requirements of such countries;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different medical practices and customs in such countries affecting acceptance in the marketplace;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language barriers for technical training and the need for language translations;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such countries;</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interpretation of contractual provisions governed by laws of such country in the event of a contract dispute.</w:t>
      </w:r>
    </w:p>
    <w:p>
      <w:pPr>
        <w:spacing w:after="0" w:line="24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Sales of our product candidates outside of the United States could also be adversely affected by the imposition of governmental controls, political and economic instability, trade restrictions and changes in tariffs.</w:t>
      </w:r>
    </w:p>
    <w:p>
      <w:pPr>
        <w:spacing w:after="0" w:line="17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some countries, particularly the countries in Europe, the pricing of prescription pharmaceuticals is subject to governmental control. In these countries, price negotiations with governmental authorities can take considerable time after the receipt of marketing approval for a drug. To obtain adequate reimbursement or favorable pricing approval in some countries, we may be required to conduct a clinical trial that compares our product candidate to other available therapies. If reimbursement of our products is unavailable or limited in scope or amount, or if pricing is set at unsatisfactory levels, our business could be harmed, possibly materially.</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Following a national referendum and enactment of legislation by the government of the United Kingdom, the United Kingdom formally withdrew from the European Union on January 31, 2020 and entered into a transition period during which it will continue its ongoing and complex negotiations with the European Union relating to the future trading relationship between the parties. Significant political and economic uncertainty remains about whether the terms of the relationship will differ materially from the terms before withdrawal, as well as about the possibility that a so-called “no deal” separation will occur if negotiations are not completed by the end of the transition period.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These developments, or the perception that any of them could occur, have had and may continue to have a material adverse effect on global economic conditions and the stability of global financial markets, and may significantly reduce global market liquidity, restrict the ability of key market participants to operate in certain financial markets or restrict our access to capital. For example, there may be uncertainty regarding how clinical trials may be regulated. This could have a material adverse effect on our business, financial condition and results of operations and reduce the price of our shares.</w:t>
      </w:r>
    </w:p>
    <w:p>
      <w:pPr>
        <w:spacing w:after="0" w:line="158"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b w:val="1"/>
          <w:bCs w:val="1"/>
          <w:i w:val="1"/>
          <w:iCs w:val="1"/>
          <w:color w:val="auto"/>
        </w:rPr>
        <w:t>We are currently subject to ongoing obligations, regulatory requirements and review, and if we receive regulatory approval for any of our product candidates, will be subject to additional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r>
        <w:rPr>
          <w:rFonts w:ascii="Arial" w:cs="Arial" w:eastAsia="Arial" w:hAnsi="Arial"/>
          <w:sz w:val="16"/>
          <w:szCs w:val="16"/>
          <w:i w:val="1"/>
          <w:iCs w:val="1"/>
          <w:color w:val="auto"/>
        </w:rPr>
        <w:t>.</w:t>
      </w:r>
    </w:p>
    <w:p>
      <w:pPr>
        <w:spacing w:after="0" w:line="158" w:lineRule="exact"/>
        <w:rPr>
          <w:sz w:val="20"/>
          <w:szCs w:val="20"/>
          <w:color w:val="auto"/>
        </w:rPr>
      </w:pPr>
    </w:p>
    <w:p>
      <w:pPr>
        <w:ind w:right="100" w:firstLine="648"/>
        <w:spacing w:after="0" w:line="219" w:lineRule="exact"/>
        <w:rPr>
          <w:sz w:val="20"/>
          <w:szCs w:val="20"/>
          <w:color w:val="auto"/>
        </w:rPr>
      </w:pPr>
      <w:r>
        <w:rPr>
          <w:rFonts w:ascii="Arial" w:cs="Arial" w:eastAsia="Arial" w:hAnsi="Arial"/>
          <w:sz w:val="16"/>
          <w:szCs w:val="16"/>
          <w:color w:val="auto"/>
        </w:rPr>
        <w:t>If the FDA or a comparable regulatory authorities outside of the United States approves any of our product candidates, we will be subject to ongoing regulatory requirements for manufacturing, labeling, packaging, distribution, storage, advertising, promotion, sampling, record</w:t>
      </w:r>
      <w:r>
        <w:rPr>
          <w:rFonts w:ascii="MS PGothic" w:cs="MS PGothic" w:eastAsia="MS PGothic" w:hAnsi="MS PGothic"/>
          <w:sz w:val="16"/>
          <w:szCs w:val="16"/>
          <w:color w:val="auto"/>
        </w:rPr>
        <w:t>‑</w:t>
      </w:r>
      <w:r>
        <w:rPr>
          <w:rFonts w:ascii="Arial" w:cs="Arial" w:eastAsia="Arial" w:hAnsi="Arial"/>
          <w:sz w:val="16"/>
          <w:szCs w:val="16"/>
          <w:color w:val="auto"/>
        </w:rPr>
        <w:t>keeping, AE reporting, conduct of post</w:t>
      </w:r>
      <w:r>
        <w:rPr>
          <w:rFonts w:ascii="MS PGothic" w:cs="MS PGothic" w:eastAsia="MS PGothic" w:hAnsi="MS PGothic"/>
          <w:sz w:val="16"/>
          <w:szCs w:val="16"/>
          <w:color w:val="auto"/>
        </w:rPr>
        <w:t>‑</w:t>
      </w:r>
      <w:r>
        <w:rPr>
          <w:rFonts w:ascii="Arial" w:cs="Arial" w:eastAsia="Arial" w:hAnsi="Arial"/>
          <w:sz w:val="16"/>
          <w:szCs w:val="16"/>
          <w:color w:val="auto"/>
        </w:rPr>
        <w:t>marketing trials and submission of safety, efficacy and other post</w:t>
      </w:r>
      <w:r>
        <w:rPr>
          <w:rFonts w:ascii="MS PGothic" w:cs="MS PGothic" w:eastAsia="MS PGothic" w:hAnsi="MS PGothic"/>
          <w:sz w:val="16"/>
          <w:szCs w:val="16"/>
          <w:color w:val="auto"/>
        </w:rPr>
        <w:t>‑</w:t>
      </w:r>
      <w:r>
        <w:rPr>
          <w:rFonts w:ascii="Arial" w:cs="Arial" w:eastAsia="Arial" w:hAnsi="Arial"/>
          <w:sz w:val="16"/>
          <w:szCs w:val="16"/>
          <w:color w:val="auto"/>
        </w:rPr>
        <w:t>market information for our approved product candidates, including both federal and state requirements in the United States and requirements of comparable regulatory authorities outside of the United States.</w:t>
      </w:r>
    </w:p>
    <w:p>
      <w:pPr>
        <w:spacing w:after="0" w:line="20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Manufacturers and manufacturers’ facilities are required to comply with extensive FDA, and comparable regulatory authorities outside of the United States, requirements, including ensuring that quality control and manufacturing procedures conform to cGMP regulations. As such, we and our CMOs will be subject to user fees and continual review and inspections to assess compliance with cGMP and adherence to commitments made in any BLA or MAA. Accordingly, we and our CMOs and others with whom we work must continue to expend time, money and effort in all areas of regulatory compliance, including manufacturing, production and quality control.</w:t>
      </w:r>
    </w:p>
    <w:p>
      <w:pPr>
        <w:spacing w:after="0" w:line="193" w:lineRule="exact"/>
        <w:rPr>
          <w:sz w:val="20"/>
          <w:szCs w:val="20"/>
          <w:color w:val="auto"/>
        </w:rPr>
      </w:pPr>
    </w:p>
    <w:p>
      <w:pPr>
        <w:ind w:right="80" w:firstLine="648"/>
        <w:spacing w:after="0" w:line="218" w:lineRule="exact"/>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to the conditions of approval, or contain requirements for potentially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including Phase 4 clinical trials, and surveillance to monitor the safety and efficacy of the product candidate. We will be required to report certain adverse reactions and production problems, if any, to the FDA and comparable regulatory authorities outside of the United States. Any new legislation addressing drug safety issues could result in delays in product development or commercialization, or increased costs to assure compliance.</w:t>
      </w:r>
    </w:p>
    <w:p>
      <w:pPr>
        <w:spacing w:after="0" w:line="20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While our current clinical and medical affairs activities are subject to certain ongoing regulatory requirements concerning appropriate exchange of medical and scientific information, if the FDA or a comparable regulatory authority outside of the United States approves any of our product candidates we will have to comply with additional requirements concerning advertising and promotion for our products. Promotional communications with respect to prescription drugs and biologics are subject to a variety of legal and regulatory restrictions and must be consistent with the information in the product’s approved label. As such, we may not promote our products for indications or uses for which they do not have approval.</w:t>
      </w:r>
    </w:p>
    <w:p>
      <w:pPr>
        <w:spacing w:after="0" w:line="189" w:lineRule="exact"/>
        <w:rPr>
          <w:sz w:val="20"/>
          <w:szCs w:val="20"/>
          <w:color w:val="auto"/>
        </w:rPr>
      </w:pPr>
    </w:p>
    <w:p>
      <w:pPr>
        <w:ind w:right="80" w:firstLine="648"/>
        <w:spacing w:after="0" w:line="218" w:lineRule="exact"/>
        <w:rPr>
          <w:sz w:val="20"/>
          <w:szCs w:val="20"/>
          <w:color w:val="auto"/>
        </w:rPr>
      </w:pPr>
      <w:r>
        <w:rPr>
          <w:rFonts w:ascii="Arial" w:cs="Arial" w:eastAsia="Arial" w:hAnsi="Arial"/>
          <w:sz w:val="17"/>
          <w:szCs w:val="17"/>
          <w:color w:val="auto"/>
        </w:rPr>
        <w:t>The holder of an approved BLA or MAA must submit new or supplemental applications and obtain approval for certain changes to the approved product, product labeling or manufacturing process. We could also be asked to conduct post</w:t>
      </w:r>
      <w:r>
        <w:rPr>
          <w:rFonts w:ascii="MS PGothic" w:cs="MS PGothic" w:eastAsia="MS PGothic" w:hAnsi="MS PGothic"/>
          <w:sz w:val="17"/>
          <w:szCs w:val="17"/>
          <w:color w:val="auto"/>
        </w:rPr>
        <w:t>‑</w:t>
      </w:r>
      <w:r>
        <w:rPr>
          <w:rFonts w:ascii="Arial" w:cs="Arial" w:eastAsia="Arial" w:hAnsi="Arial"/>
          <w:sz w:val="17"/>
          <w:szCs w:val="17"/>
          <w:color w:val="auto"/>
        </w:rPr>
        <w:t>marketing clinical trials to verify the safety and efficacy of our products in general or in specific patient subsets. If original marketing approval were obtained via the accelerated approval pathway, we could be required to conduct a successful post</w:t>
      </w:r>
      <w:r>
        <w:rPr>
          <w:rFonts w:ascii="MS PGothic" w:cs="MS PGothic" w:eastAsia="MS PGothic" w:hAnsi="MS PGothic"/>
          <w:sz w:val="17"/>
          <w:szCs w:val="17"/>
          <w:color w:val="auto"/>
        </w:rPr>
        <w:t>‑</w:t>
      </w:r>
      <w:r>
        <w:rPr>
          <w:rFonts w:ascii="Arial" w:cs="Arial" w:eastAsia="Arial" w:hAnsi="Arial"/>
          <w:sz w:val="17"/>
          <w:szCs w:val="17"/>
          <w:color w:val="auto"/>
        </w:rPr>
        <w:t>marketing clinical trial to confirm clinical benefit for our products. An unsuccessful post</w:t>
      </w:r>
      <w:r>
        <w:rPr>
          <w:rFonts w:ascii="MS PGothic" w:cs="MS PGothic" w:eastAsia="MS PGothic" w:hAnsi="MS PGothic"/>
          <w:sz w:val="17"/>
          <w:szCs w:val="17"/>
          <w:color w:val="auto"/>
        </w:rPr>
        <w:t>‑</w:t>
      </w:r>
      <w:r>
        <w:rPr>
          <w:rFonts w:ascii="Arial" w:cs="Arial" w:eastAsia="Arial" w:hAnsi="Arial"/>
          <w:sz w:val="17"/>
          <w:szCs w:val="17"/>
          <w:color w:val="auto"/>
        </w:rPr>
        <w:t>marketing trial or failure to complete such a trial could result in the withdrawal of marketing approval. The FDA also may place other conditions on approvals including the requirement for a REMS, to assure the safe use of the product. If the FDA concludes a REMS is needed, the sponsor of the BLA must submit a proposed REMS before it can obtain approval. A REMS could include medication guides, physician communication plans or elements to assure safe use, such as restricted distribution methods, patient registries and other risk minimization tools.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firstLine="648"/>
        <w:spacing w:after="0" w:line="273" w:lineRule="auto"/>
        <w:rPr>
          <w:sz w:val="20"/>
          <w:szCs w:val="20"/>
          <w:color w:val="auto"/>
        </w:rPr>
      </w:pPr>
      <w:r>
        <w:rPr>
          <w:rFonts w:ascii="Arial" w:cs="Arial" w:eastAsia="Arial" w:hAnsi="Arial"/>
          <w:sz w:val="17"/>
          <w:szCs w:val="17"/>
          <w:color w:val="auto"/>
        </w:rPr>
        <w:t>If a regulatory agency discovers previously unknown problems with our product, such as AEs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discover previously unknown problems with a product candidate, including AEs of unanticipated severity or frequency, or with our manufacturing processes, or fail to comply with regulatory requirements, a regulatory agency or enforcement authority may, among other things:</w:t>
      </w:r>
    </w:p>
    <w:p>
      <w:pPr>
        <w:spacing w:after="0" w:line="178" w:lineRule="exact"/>
        <w:rPr>
          <w:sz w:val="20"/>
          <w:szCs w:val="20"/>
          <w:color w:val="auto"/>
        </w:rPr>
      </w:pPr>
    </w:p>
    <w:p>
      <w:pPr>
        <w:ind w:left="980" w:hanging="329"/>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CMOs’ facilities;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25" w:lineRule="exact"/>
        <w:rPr>
          <w:sz w:val="20"/>
          <w:szCs w:val="20"/>
          <w:color w:val="auto"/>
        </w:rPr>
      </w:pPr>
    </w:p>
    <w:p>
      <w:pPr>
        <w:ind w:right="39" w:firstLine="648"/>
        <w:spacing w:after="0" w:line="257"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8" w:lineRule="exact"/>
        <w:rPr>
          <w:sz w:val="20"/>
          <w:szCs w:val="20"/>
          <w:color w:val="auto"/>
        </w:rPr>
      </w:pPr>
    </w:p>
    <w:p>
      <w:pPr>
        <w:ind w:right="99" w:firstLine="648"/>
        <w:spacing w:after="0" w:line="218" w:lineRule="exact"/>
        <w:rPr>
          <w:sz w:val="20"/>
          <w:szCs w:val="20"/>
          <w:color w:val="auto"/>
        </w:rPr>
      </w:pPr>
      <w:r>
        <w:rPr>
          <w:rFonts w:ascii="Arial" w:cs="Arial" w:eastAsia="Arial" w:hAnsi="Arial"/>
          <w:sz w:val="18"/>
          <w:szCs w:val="18"/>
          <w:color w:val="auto"/>
        </w:rPr>
        <w:t>If there are changes in the application of legislation or regulatory policies, or if problems are discovered with a product or the manufacture of a product, or if we or one of our distributors, licensees or co</w:t>
      </w:r>
      <w:r>
        <w:rPr>
          <w:rFonts w:ascii="MS PGothic" w:cs="MS PGothic" w:eastAsia="MS PGothic" w:hAnsi="MS PGothic"/>
          <w:sz w:val="18"/>
          <w:szCs w:val="18"/>
          <w:color w:val="auto"/>
        </w:rPr>
        <w:t>‑</w:t>
      </w:r>
      <w:r>
        <w:rPr>
          <w:rFonts w:ascii="Arial" w:cs="Arial" w:eastAsia="Arial" w:hAnsi="Arial"/>
          <w:sz w:val="18"/>
          <w:szCs w:val="18"/>
          <w:color w:val="auto"/>
        </w:rPr>
        <w:t>marketers fails to comply with regulatory requirements, the regulatory authorities could take various actions. These include imposing fines on us, imposing restrictions on our product or its manufacture and requiring us to recall or remove the product from the market. The regulatory authorities could also suspend or withdraw our marketing authorizations, or require us to conduct additional clinical trials, change our product labeling or submit additional applications for marketing authorization. If any of these events occurs, our ability to sell our product may be impaired, and we may incur substantial additional expense to comply with regulatory requirements.</w:t>
      </w:r>
    </w:p>
    <w:p>
      <w:pPr>
        <w:spacing w:after="0" w:line="206" w:lineRule="exact"/>
        <w:rPr>
          <w:sz w:val="20"/>
          <w:szCs w:val="20"/>
          <w:color w:val="auto"/>
        </w:rPr>
      </w:pPr>
    </w:p>
    <w:p>
      <w:pPr>
        <w:ind w:right="39" w:firstLine="648"/>
        <w:spacing w:after="0" w:line="268" w:lineRule="auto"/>
        <w:rPr>
          <w:sz w:val="20"/>
          <w:szCs w:val="20"/>
          <w:color w:val="auto"/>
        </w:rPr>
      </w:pPr>
      <w:r>
        <w:rPr>
          <w:rFonts w:ascii="Arial" w:cs="Arial" w:eastAsia="Arial" w:hAnsi="Arial"/>
          <w:sz w:val="17"/>
          <w:szCs w:val="17"/>
          <w:color w:val="auto"/>
        </w:rPr>
        <w:t>The policies of the FDA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Europe or in other jurisdictions. For example, the current U.S. presidential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b w:val="1"/>
          <w:bCs w:val="1"/>
          <w:i w:val="1"/>
          <w:iCs w:val="1"/>
          <w:color w:val="auto"/>
        </w:rPr>
        <w:t>Our business operations and current and future relationships with investigators, healthcare professionals, consultants, customers and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payors will be subject to applicable anti</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kickback, fraud and abuse, physician payment transparency, health information privacy and security and other healthcare laws and regulations, which could expose us to criminal sanctions, civil penalties, exclusion from government healthcare programs, contractual damages, reputational harm and diminished profits and future earnings.</w:t>
      </w:r>
    </w:p>
    <w:p>
      <w:pPr>
        <w:spacing w:after="0" w:line="205"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Although we do not currently have any products on the market, as we near commercialization and as we begin commercializing our product candidates, if approved, we will be subject to additional healthcare statutory and regulatory requirements and enforcement by the United States federal and state governments and the governments of other countries or jurisdictions in which we conduct our business. Healthcare providers, physicians and third</w:t>
      </w:r>
      <w:r>
        <w:rPr>
          <w:rFonts w:ascii="MS PGothic" w:cs="MS PGothic" w:eastAsia="MS PGothic" w:hAnsi="MS PGothic"/>
          <w:sz w:val="16"/>
          <w:szCs w:val="16"/>
          <w:color w:val="auto"/>
        </w:rPr>
        <w:t>‑</w:t>
      </w:r>
      <w:r>
        <w:rPr>
          <w:rFonts w:ascii="Arial" w:cs="Arial" w:eastAsia="Arial" w:hAnsi="Arial"/>
          <w:sz w:val="16"/>
          <w:szCs w:val="16"/>
          <w:color w:val="auto"/>
        </w:rPr>
        <w:t>party payors will play a primary role in the recommendation and prescription of any product candidates for which we obtain marketing approval. Our future arrangements with third</w:t>
      </w:r>
      <w:r>
        <w:rPr>
          <w:rFonts w:ascii="MS PGothic" w:cs="MS PGothic" w:eastAsia="MS PGothic" w:hAnsi="MS PGothic"/>
          <w:sz w:val="16"/>
          <w:szCs w:val="16"/>
          <w:color w:val="auto"/>
        </w:rPr>
        <w:t>‑</w:t>
      </w:r>
      <w:r>
        <w:rPr>
          <w:rFonts w:ascii="Arial" w:cs="Arial" w:eastAsia="Arial" w:hAnsi="Arial"/>
          <w:sz w:val="16"/>
          <w:szCs w:val="16"/>
          <w:color w:val="auto"/>
        </w:rPr>
        <w:t>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Restrictions under applicable federal and state healthcare laws and regulations, include the following:</w:t>
      </w:r>
    </w:p>
    <w:p>
      <w:pPr>
        <w:spacing w:after="0" w:line="225" w:lineRule="exact"/>
        <w:rPr>
          <w:sz w:val="20"/>
          <w:szCs w:val="20"/>
          <w:color w:val="auto"/>
        </w:rPr>
      </w:pPr>
    </w:p>
    <w:p>
      <w:pPr>
        <w:ind w:left="980" w:hanging="329"/>
        <w:spacing w:after="0" w:line="218" w:lineRule="exact"/>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U.S.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The U.S.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has been interpreted to apply to arrangements between pharmaceutical manufacturers on the one hand and prescribers, purchasers and formulary managers on the other hand;</w:t>
      </w:r>
    </w:p>
    <w:p>
      <w:pPr>
        <w:spacing w:after="0" w:line="205" w:lineRule="exact"/>
        <w:rPr>
          <w:rFonts w:ascii="Arial" w:cs="Arial" w:eastAsia="Arial" w:hAnsi="Arial"/>
          <w:sz w:val="17"/>
          <w:szCs w:val="17"/>
          <w:color w:val="auto"/>
        </w:rPr>
      </w:pPr>
    </w:p>
    <w:p>
      <w:pPr>
        <w:ind w:left="980" w:right="20" w:hanging="329"/>
        <w:spacing w:after="0" w:line="217" w:lineRule="exact"/>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U.S. federal False Claims Act and civil monetary penalties laws, which, among other things, impose criminal and civil penalties, including through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constitutes a false or fraudulent claim for purposes of the False Claims Act. As a result of a modification made by the Fraud Enforcement and Recovery Act of 2009, a claim includes “any request or demand” for money or property presented to the federal government. In addition, manufacturers can be held liable under the False Claims Act even when they do not submit claims directly to government payors if they are deemed to “cause” the submission of false or fraudulent claims;</w:t>
      </w:r>
    </w:p>
    <w:p>
      <w:pPr>
        <w:spacing w:after="0" w:line="209" w:lineRule="exact"/>
        <w:rPr>
          <w:rFonts w:ascii="Arial" w:cs="Arial" w:eastAsia="Arial" w:hAnsi="Arial"/>
          <w:sz w:val="17"/>
          <w:szCs w:val="17"/>
          <w:color w:val="auto"/>
        </w:rPr>
      </w:pPr>
    </w:p>
    <w:p>
      <w:pPr>
        <w:ind w:left="980" w:right="20" w:hanging="329"/>
        <w:spacing w:after="0" w:line="218" w:lineRule="exact"/>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or HIPAA, which imposes criminal and civil liability for executing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 Similar to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a person or entity does not need to have actual knowledge of the statute or specific intent to violate it in order to have committed a violation;</w:t>
      </w:r>
    </w:p>
    <w:p>
      <w:pPr>
        <w:spacing w:after="0" w:line="205" w:lineRule="exact"/>
        <w:rPr>
          <w:rFonts w:ascii="Arial" w:cs="Arial" w:eastAsia="Arial" w:hAnsi="Arial"/>
          <w:sz w:val="17"/>
          <w:szCs w:val="17"/>
          <w:color w:val="auto"/>
        </w:rPr>
      </w:pPr>
    </w:p>
    <w:p>
      <w:pPr>
        <w:ind w:left="980" w:right="80" w:hanging="329"/>
        <w:spacing w:after="0" w:line="273" w:lineRule="auto"/>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U.S. federal physician payment transparency requirements, sometimes referred to as the “Sunshine Act” created under Section 6002 of the Patient Protection and Affordable Care Act, as amended by the Health Care and Education Reconciliation Act, or the Affordable Care Act, which requires manufacturers of drugs, devices, biologics and medical supplies that are reimbursable under Medicare, Medicaid or the Children’s Health Insurance Program to report to the Department of Health and Human Services information related to certain financial interactions with physicians (defined to include doctors, dentists,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140"/>
        <w:spacing w:after="0" w:line="264" w:lineRule="auto"/>
        <w:rPr>
          <w:sz w:val="20"/>
          <w:szCs w:val="20"/>
          <w:color w:val="auto"/>
        </w:rPr>
      </w:pPr>
      <w:r>
        <w:rPr>
          <w:rFonts w:ascii="Arial" w:cs="Arial" w:eastAsia="Arial" w:hAnsi="Arial"/>
          <w:sz w:val="18"/>
          <w:szCs w:val="18"/>
          <w:color w:val="auto"/>
        </w:rPr>
        <w:t>optometrists, podiatrists and chiropractors), additional categories of healthcare practitioners beginning in 2022 and teaching hospitals, as well as the ownership and investment interests of physicians and their immediate family members;</w:t>
      </w:r>
    </w:p>
    <w:p>
      <w:pPr>
        <w:spacing w:after="0" w:line="181" w:lineRule="exact"/>
        <w:rPr>
          <w:sz w:val="20"/>
          <w:szCs w:val="20"/>
          <w:color w:val="auto"/>
        </w:rPr>
      </w:pPr>
    </w:p>
    <w:p>
      <w:pPr>
        <w:ind w:left="980" w:right="20" w:hanging="329"/>
        <w:spacing w:after="0" w:line="255"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w:t>
      </w:r>
    </w:p>
    <w:p>
      <w:pPr>
        <w:spacing w:after="0" w:line="193" w:lineRule="exact"/>
        <w:rPr>
          <w:rFonts w:ascii="Arial" w:cs="Arial" w:eastAsia="Arial" w:hAnsi="Arial"/>
          <w:sz w:val="18"/>
          <w:szCs w:val="18"/>
          <w:color w:val="auto"/>
        </w:rPr>
      </w:pPr>
    </w:p>
    <w:p>
      <w:pPr>
        <w:ind w:left="980" w:right="40" w:hanging="329"/>
        <w:spacing w:after="0" w:line="218" w:lineRule="exact"/>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w:t>
      </w:r>
      <w:r>
        <w:rPr>
          <w:rFonts w:ascii="MS PGothic" w:cs="MS PGothic" w:eastAsia="MS PGothic" w:hAnsi="MS PGothic"/>
          <w:sz w:val="17"/>
          <w:szCs w:val="17"/>
          <w:color w:val="auto"/>
        </w:rPr>
        <w:t>‑</w:t>
      </w:r>
      <w:r>
        <w:rPr>
          <w:rFonts w:ascii="Arial" w:cs="Arial" w:eastAsia="Arial" w:hAnsi="Arial"/>
          <w:sz w:val="17"/>
          <w:szCs w:val="17"/>
          <w:color w:val="auto"/>
        </w:rPr>
        <w:t>kickback and false claims laws that may apply to sales or marketing arrangements and claims involving healthcare items or services reimbursed by non</w:t>
      </w:r>
      <w:r>
        <w:rPr>
          <w:rFonts w:ascii="MS PGothic" w:cs="MS PGothic" w:eastAsia="MS PGothic" w:hAnsi="MS PGothic"/>
          <w:sz w:val="17"/>
          <w:szCs w:val="17"/>
          <w:color w:val="auto"/>
        </w:rPr>
        <w:t>‑</w:t>
      </w:r>
      <w:r>
        <w:rPr>
          <w:rFonts w:ascii="Arial" w:cs="Arial" w:eastAsia="Arial" w:hAnsi="Arial"/>
          <w:sz w:val="17"/>
          <w:szCs w:val="17"/>
          <w:color w:val="auto"/>
        </w:rPr>
        <w:t>governmental third</w:t>
      </w:r>
      <w:r>
        <w:rPr>
          <w:rFonts w:ascii="MS PGothic" w:cs="MS PGothic" w:eastAsia="MS PGothic" w:hAnsi="MS PGothic"/>
          <w:sz w:val="17"/>
          <w:szCs w:val="17"/>
          <w:color w:val="auto"/>
        </w:rPr>
        <w:t>‑</w:t>
      </w:r>
      <w:r>
        <w:rPr>
          <w:rFonts w:ascii="Arial" w:cs="Arial" w:eastAsia="Arial" w:hAnsi="Arial"/>
          <w:sz w:val="17"/>
          <w:szCs w:val="17"/>
          <w:color w:val="auto"/>
        </w:rPr>
        <w:t>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pricing information, and state laws governing the privacy and security of health information in certain circumstances, many of which differ from each other in significant ways and often are not preempted by HIPAA, thus complicating compliance efforts.</w:t>
      </w:r>
    </w:p>
    <w:p>
      <w:pPr>
        <w:spacing w:after="0" w:line="20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These laws and regulations, among other things, may constrain our business, marketing and other promotional activities by limiting the kinds of financial arrangements we may have with hospitals, physicians or other potential purchasers of our product candidates, if approved. We have entered into consulting and advisory board agreements with physicians, some of whom are paid in the form of shares or options to acquire our common shares. We could be adversely affected if regulatory agencies determine our financial relationships with such physicians to be in violation of applicable laws or the appearance of a conflict of interest. For example, principal investigators for our clinical trials may serve as scientific advisors or consultants to us from time to time and receive compensation in connection with such services. The FDA or other regulatory authorities may conclude that a financial relationship between us and a principal investigator or a clinical trial site has created a conflict of interest or otherwise affected interpretation of a study. The FDA or other regulatory authorities may therefore question the integrity of the data generated at the applicable clinical trial site and the utility of the clinical trial itself may be jeopardized, which could result in a delay in approval, or rejection, of our marketing applications by the FDA or other regulatory authorities and may ultimately lead to the denial of marketing approval of our product candidates. Furthermore, investigators for our clinical trials may become debarred by FDA or other regulatory authorities, which may impact the integrity of our studies and the utility of the clinical trial itself may be jeopardized. 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w:t>
      </w:r>
    </w:p>
    <w:p>
      <w:pPr>
        <w:spacing w:after="0" w:line="391" w:lineRule="exact"/>
        <w:rPr>
          <w:sz w:val="20"/>
          <w:szCs w:val="20"/>
          <w:color w:val="auto"/>
        </w:rPr>
      </w:pPr>
    </w:p>
    <w:p>
      <w:pPr>
        <w:ind w:right="40" w:firstLine="648"/>
        <w:spacing w:after="0" w:line="219" w:lineRule="exact"/>
        <w:rPr>
          <w:sz w:val="20"/>
          <w:szCs w:val="20"/>
          <w:color w:val="auto"/>
        </w:rPr>
      </w:pPr>
      <w:r>
        <w:rPr>
          <w:rFonts w:ascii="Arial" w:cs="Arial" w:eastAsia="Arial" w:hAnsi="Arial"/>
          <w:sz w:val="17"/>
          <w:szCs w:val="17"/>
          <w:color w:val="auto"/>
        </w:rPr>
        <w:t>Interactions between biopharmaceutical companies and physicians are also governed by strict laws, regulations, industry self</w:t>
      </w:r>
      <w:r>
        <w:rPr>
          <w:rFonts w:ascii="MS PGothic" w:cs="MS PGothic" w:eastAsia="MS PGothic" w:hAnsi="MS PGothic"/>
          <w:sz w:val="17"/>
          <w:szCs w:val="17"/>
          <w:color w:val="auto"/>
        </w:rPr>
        <w:t>‑</w:t>
      </w:r>
      <w:r>
        <w:rPr>
          <w:rFonts w:ascii="Arial" w:cs="Arial" w:eastAsia="Arial" w:hAnsi="Arial"/>
          <w:sz w:val="17"/>
          <w:szCs w:val="17"/>
          <w:color w:val="auto"/>
        </w:rPr>
        <w:t>regulation codes of conduct and physicians’ codes of professional conduct in the individual EU member states. The provision of any inducements to physicians to prescribe, recommend, endorse, order, purchase, supply, use or administer a drug product is prohibited. A number of EU member states have established additional rules requiring pharmaceutical companies to publicly disclose their interactions with physicians and to obtain approval from employers, professional organizations or competent authorities before entering into agreements with physicians.</w:t>
      </w:r>
    </w:p>
    <w:p>
      <w:pPr>
        <w:spacing w:after="0" w:line="20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the imposition of civil, criminal and administrative penalties, damages, disgorgement, monetary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fines, possible exclusion from participation in Medicare, Medicaid and other federal healthcare programs, individual imprisonment, contractual damages, reputational harm, diminished profits and future earnings, additional reporting requirements or oversight if we become subject to a corporate integrity agreement or similar agreement to resolve allegations of non</w:t>
      </w:r>
      <w:r>
        <w:rPr>
          <w:rFonts w:ascii="MS PGothic" w:cs="MS PGothic" w:eastAsia="MS PGothic" w:hAnsi="MS PGothic"/>
          <w:sz w:val="17"/>
          <w:szCs w:val="17"/>
          <w:color w:val="auto"/>
        </w:rPr>
        <w:t>‑</w:t>
      </w:r>
      <w:r>
        <w:rPr>
          <w:rFonts w:ascii="Arial" w:cs="Arial" w:eastAsia="Arial" w:hAnsi="Arial"/>
          <w:sz w:val="17"/>
          <w:szCs w:val="17"/>
          <w:color w:val="auto"/>
        </w:rPr>
        <w:t>compliance with these laws, and curtailment or restructuring of our operations, any of which could adversely affect our ability to operate our business and our results of operations. Further, defending against any such actions can be costly, time consuming and may require significant personnel resources. Therefore, even if we are successful in defending against any such actions that may be brought against us, our business may be impaired.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Risks Related to Our Business</w:t>
      </w:r>
    </w:p>
    <w:p>
      <w:pPr>
        <w:spacing w:after="0" w:line="1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candidates that we may develop.</w:t>
      </w:r>
    </w:p>
    <w:p>
      <w:pPr>
        <w:spacing w:after="0" w:line="170"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commercially sell any product candidates that we may develop. If we cannot successfully defend ourselves against claims that our product candidates caused injuries, we could incur substantial liabilities. Regardless of merit or eventual outcome, liability claims may result in:</w:t>
      </w:r>
    </w:p>
    <w:p>
      <w:pPr>
        <w:spacing w:after="0" w:line="171" w:lineRule="exact"/>
        <w:rPr>
          <w:sz w:val="20"/>
          <w:szCs w:val="20"/>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decreased demand for any product candidates that we may develop;</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investigations that could require costly recalls or product modifications;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loss of potential revenue;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diversion of management’s attention away from managing our business;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w:t>
      </w:r>
    </w:p>
    <w:p>
      <w:pPr>
        <w:spacing w:after="0" w:line="225" w:lineRule="exact"/>
        <w:rPr>
          <w:sz w:val="20"/>
          <w:szCs w:val="20"/>
          <w:color w:val="auto"/>
        </w:rPr>
      </w:pPr>
    </w:p>
    <w:p>
      <w:pPr>
        <w:jc w:val="both"/>
        <w:ind w:right="220" w:firstLine="648"/>
        <w:spacing w:after="0" w:line="288"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and is subject to deductibles and coverage limitations. We anticipate that we will need to increase our insurance coverage when and if we successfully commercialize any product candidate. Insurance coverage is increasingly expensive.</w:t>
      </w:r>
    </w:p>
    <w:p>
      <w:pPr>
        <w:ind w:right="100"/>
        <w:spacing w:after="0" w:line="273" w:lineRule="auto"/>
        <w:rPr>
          <w:sz w:val="20"/>
          <w:szCs w:val="20"/>
          <w:color w:val="auto"/>
        </w:rPr>
      </w:pPr>
      <w:r>
        <w:rPr>
          <w:rFonts w:ascii="Arial" w:cs="Arial" w:eastAsia="Arial" w:hAnsi="Arial"/>
          <w:sz w:val="17"/>
          <w:szCs w:val="17"/>
          <w:color w:val="auto"/>
        </w:rPr>
        <w:t>We may not be able to maintain insurance coverage at a reasonable cost or in an amount adequate to satisfy any liability that may arise. If we are unable to obtain insurance at acceptable cost or otherwise protect against potential product liability claims, we will be exposed to significant liabilities, which may materially and adversely affect our business and financial position. These liabilities could prevent or interfere with our commercialization efforts.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Enacted and future healthcare legislation may have a material adverse effect on our business and results of operations.</w:t>
      </w:r>
    </w:p>
    <w:p>
      <w:pPr>
        <w:spacing w:after="0" w:line="260"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In the United States, EU and other jurisdictions, there have been and we expect there will continue to be a number of legislative and regulatory initiatives and proposed changes to the healthcare system that could affect our future operations. For example, in the United States, the Affordable Care Act substantially changes the way healthcare is financed by both governmental and private insurers, and significantly impacts the U.S. pharmaceutical industry. The Affordable Care Act, among other things, subjects biologic products to potential competition by lower</w:t>
      </w:r>
      <w:r>
        <w:rPr>
          <w:rFonts w:ascii="MS PGothic" w:cs="MS PGothic" w:eastAsia="MS PGothic" w:hAnsi="MS PGothic"/>
          <w:sz w:val="17"/>
          <w:szCs w:val="17"/>
          <w:color w:val="auto"/>
        </w:rPr>
        <w:t>‑</w:t>
      </w:r>
      <w:r>
        <w:rPr>
          <w:rFonts w:ascii="Arial" w:cs="Arial" w:eastAsia="Arial" w:hAnsi="Arial"/>
          <w:sz w:val="17"/>
          <w:szCs w:val="17"/>
          <w:color w:val="auto"/>
        </w:rPr>
        <w:t>cost biosimilars,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addresses a new methodology by which rebates owed by manufacturers under the Medicaid Drug Rebate Program are calculated for drugs and biologics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biologics, and a new Medicare Part D coverage gap discount program, in which manufacturers must agree to offer 50% point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sale discounts which, through subsequent legislative amendments, was increased to 70%, off negotiated prices of applicable brand drugs and biologics to eligible beneficiaries during their coverage gap period, as a condition for the manufacturer’s outpatient products to be covered under Medicare Part D.</w:t>
      </w:r>
    </w:p>
    <w:p>
      <w:pPr>
        <w:spacing w:after="0" w:line="20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Affordable Care Act. For example, the Tax Cuts and Jobs Act was enacted, which, among other things, removes penalties for not complying with the Affordable Care Act’s individual mandate to carry health insurance. On December 14, 2018, a U.S. District Court Judge in Texas ruled that the Affordable Care Act is unconstitutional in its entirety because the “individual mandate” was repealed by Congress as part of the Tax Act. On December 18, 2019, the U.S. Court of Appeals for the 5th Circuit upheld the district court’s decision that the individual mandate was unconstitutional but remanded the case back to the District Court to determine whether the remaining provisions of the Affordable Care Act are invalid as well. It is unclear how these decisions, subsequent appeals, if any, or other efforts to challenge, repeal or replace the Affordable Care Act will impact the law or our business.</w:t>
      </w:r>
    </w:p>
    <w:p>
      <w:pPr>
        <w:spacing w:after="0" w:line="19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was enacted. The Budget Control Act of 2011, among other things, led to aggregate reductions of Medicare payments to providers of 2% per fiscal year. These reductions went into effect on April 1, 2013 and, due to subsequent legislative amendments to the statute, will remain in effect through 2029 unless additional Congressional action is taken. The American Taxpayer Relief Act of 2012, among other things, further reduced Medicare payments to several types of providers.</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Congressional inquiries and proposed and enacted federal and state legislation designed to, among other things, bring more transparency to drug and biologic pricing, reduce the cost of prescription drugs and biologics under Medicare, review the relationship between pricing and manufacturer patient programs and reform government program reimbursement methodologies for drugs and biologics. For example, in September 2018, CMS announced that it will allow Medicare Advantage Plans the option to use step therapy for Part B drugs beginning January 1, 2019. Moreover, payment methodologies may be subject to changes in healthcare legislation and regulatory initiatives.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78"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w:t>
      </w:r>
      <w:r>
        <w:rPr>
          <w:rFonts w:ascii="MS PGothic" w:cs="MS PGothic" w:eastAsia="MS PGothic" w:hAnsi="MS PGothic"/>
          <w:sz w:val="17"/>
          <w:szCs w:val="17"/>
          <w:color w:val="auto"/>
        </w:rPr>
        <w:t>‑</w:t>
      </w:r>
      <w:r>
        <w:rPr>
          <w:rFonts w:ascii="Arial" w:cs="Arial" w:eastAsia="Arial" w:hAnsi="Arial"/>
          <w:sz w:val="17"/>
          <w:szCs w:val="17"/>
          <w:color w:val="auto"/>
        </w:rPr>
        <w:t>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w:t>
      </w:r>
    </w:p>
    <w:p>
      <w:pPr>
        <w:spacing w:after="0" w:line="20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19" w:lineRule="exact"/>
        <w:rPr>
          <w:sz w:val="20"/>
          <w:szCs w:val="20"/>
          <w:color w:val="auto"/>
        </w:rPr>
      </w:pPr>
      <w:r>
        <w:rPr>
          <w:rFonts w:ascii="Arial" w:cs="Arial" w:eastAsia="Arial" w:hAnsi="Arial"/>
          <w:sz w:val="18"/>
          <w:szCs w:val="18"/>
          <w:color w:val="auto"/>
        </w:rPr>
        <w:t>however, the healthcare budgetary constraints in most EU member states have resulted in restrictions on the pricing and reimbursement of medicines by relevant health service providers. Coupled with ever</w:t>
      </w:r>
      <w:r>
        <w:rPr>
          <w:rFonts w:ascii="MS PGothic" w:cs="MS PGothic" w:eastAsia="MS PGothic" w:hAnsi="MS PGothic"/>
          <w:sz w:val="18"/>
          <w:szCs w:val="18"/>
          <w:color w:val="auto"/>
        </w:rPr>
        <w:t>‑</w:t>
      </w:r>
      <w:r>
        <w:rPr>
          <w:rFonts w:ascii="Arial" w:cs="Arial" w:eastAsia="Arial" w:hAnsi="Arial"/>
          <w:sz w:val="18"/>
          <w:szCs w:val="18"/>
          <w:color w:val="auto"/>
        </w:rPr>
        <w:t>increasing EU and national regulatory burdens on those wishing to develop and market products, this could prevent or delay marketing approval of our product candidates, restrict or regulate post</w:t>
      </w:r>
      <w:r>
        <w:rPr>
          <w:rFonts w:ascii="MS PGothic" w:cs="MS PGothic" w:eastAsia="MS PGothic" w:hAnsi="MS PGothic"/>
          <w:sz w:val="18"/>
          <w:szCs w:val="18"/>
          <w:color w:val="auto"/>
        </w:rPr>
        <w:t>‑</w:t>
      </w:r>
      <w:r>
        <w:rPr>
          <w:rFonts w:ascii="Arial" w:cs="Arial" w:eastAsia="Arial" w:hAnsi="Arial"/>
          <w:sz w:val="18"/>
          <w:szCs w:val="18"/>
          <w:color w:val="auto"/>
        </w:rPr>
        <w:t>approval activities and affect our ability to commercialize our product candidates, if approved.</w:t>
      </w:r>
    </w:p>
    <w:p>
      <w:pPr>
        <w:spacing w:after="0" w:line="206" w:lineRule="exact"/>
        <w:rPr>
          <w:sz w:val="20"/>
          <w:szCs w:val="20"/>
          <w:color w:val="auto"/>
        </w:rPr>
      </w:pPr>
    </w:p>
    <w:p>
      <w:pPr>
        <w:ind w:right="860" w:firstLine="648"/>
        <w:spacing w:after="0" w:line="342" w:lineRule="auto"/>
        <w:rPr>
          <w:sz w:val="20"/>
          <w:szCs w:val="20"/>
          <w:color w:val="auto"/>
        </w:rPr>
      </w:pPr>
      <w:r>
        <w:rPr>
          <w:rFonts w:ascii="Arial" w:cs="Arial" w:eastAsia="Arial" w:hAnsi="Arial"/>
          <w:sz w:val="16"/>
          <w:szCs w:val="16"/>
          <w:color w:val="auto"/>
        </w:rPr>
        <w:t>In markets outside of the United States and the EU, reimbursement and healthcare payment systems vary significantly by country, and many countries have instituted price ceilings on specific products and therapies.</w:t>
      </w:r>
    </w:p>
    <w:p>
      <w:pPr>
        <w:spacing w:after="0" w:line="124"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the EU or elsewhere. If we or any third party we may engage are slow or unable to adapt to changes in existing requirements or the adoption of new requirements or policies, or if we or such third party are not able to maintain regulatory compliance, our product candidates may lose any regulatory approval that may have been obtained and we may not achieve or sustain profitability.</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Unfavorable global economic or operational conditions could adversely affect our business, financial condition or results of operations.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Doing business internationally involves a number of other risks, including but not limited to:</w:t>
      </w:r>
    </w:p>
    <w:p>
      <w:pPr>
        <w:spacing w:after="0" w:line="178" w:lineRule="exact"/>
        <w:rPr>
          <w:sz w:val="20"/>
          <w:szCs w:val="20"/>
          <w:color w:val="auto"/>
        </w:rPr>
      </w:pPr>
    </w:p>
    <w:p>
      <w:pPr>
        <w:ind w:left="980" w:right="20" w:hanging="329"/>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employment laws, regulatory requirements and other governmental approvals, permits and licenses;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failure by us to obtain and maintain regulatory approvals for the use of our products in various countries;</w:t>
      </w:r>
    </w:p>
    <w:p>
      <w:pPr>
        <w:spacing w:after="0" w:line="236" w:lineRule="exact"/>
        <w:rPr>
          <w:rFonts w:ascii="Arial" w:cs="Arial" w:eastAsia="Arial" w:hAnsi="Arial"/>
          <w:sz w:val="17"/>
          <w:szCs w:val="17"/>
          <w:color w:val="auto"/>
        </w:rPr>
      </w:pPr>
    </w:p>
    <w:p>
      <w:pPr>
        <w:ind w:left="980" w:hanging="329"/>
        <w:spacing w:after="0" w:line="207" w:lineRule="exact"/>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additional potentially relevant third</w:t>
      </w:r>
      <w:r>
        <w:rPr>
          <w:rFonts w:ascii="MS PGothic" w:cs="MS PGothic" w:eastAsia="MS PGothic" w:hAnsi="MS PGothic"/>
          <w:sz w:val="18"/>
          <w:szCs w:val="18"/>
          <w:color w:val="auto"/>
        </w:rPr>
        <w:t>‑</w:t>
      </w:r>
      <w:r>
        <w:rPr>
          <w:rFonts w:ascii="Arial" w:cs="Arial" w:eastAsia="Arial" w:hAnsi="Arial"/>
          <w:sz w:val="18"/>
          <w:szCs w:val="18"/>
          <w:color w:val="auto"/>
        </w:rPr>
        <w:t>party patent rights;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and enforcing our intellectual property;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difficulties in staffing and managing operations outside of the United States;</w:t>
      </w:r>
    </w:p>
    <w:p>
      <w:pPr>
        <w:spacing w:after="0" w:line="225" w:lineRule="exact"/>
        <w:rPr>
          <w:rFonts w:ascii="Arial" w:cs="Arial" w:eastAsia="Arial" w:hAnsi="Arial"/>
          <w:sz w:val="18"/>
          <w:szCs w:val="18"/>
          <w:color w:val="auto"/>
        </w:rPr>
      </w:pPr>
    </w:p>
    <w:p>
      <w:pPr>
        <w:ind w:left="980" w:right="220" w:hanging="329"/>
        <w:spacing w:after="0" w:line="223" w:lineRule="exact"/>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w:t>
      </w:r>
      <w:r>
        <w:rPr>
          <w:rFonts w:ascii="MS PGothic" w:cs="MS PGothic" w:eastAsia="MS PGothic" w:hAnsi="MS PGothic"/>
          <w:sz w:val="18"/>
          <w:szCs w:val="18"/>
          <w:color w:val="auto"/>
        </w:rPr>
        <w:t>‑</w:t>
      </w:r>
      <w:r>
        <w:rPr>
          <w:rFonts w:ascii="Arial" w:cs="Arial" w:eastAsia="Arial" w:hAnsi="Arial"/>
          <w:sz w:val="18"/>
          <w:szCs w:val="18"/>
          <w:color w:val="auto"/>
        </w:rPr>
        <w:t>pay systems;</w:t>
      </w:r>
    </w:p>
    <w:p>
      <w:pPr>
        <w:spacing w:after="0" w:line="203" w:lineRule="exact"/>
        <w:rPr>
          <w:rFonts w:ascii="Arial" w:cs="Arial" w:eastAsia="Arial" w:hAnsi="Arial"/>
          <w:sz w:val="18"/>
          <w:szCs w:val="18"/>
          <w:color w:val="auto"/>
        </w:rPr>
      </w:pPr>
    </w:p>
    <w:p>
      <w:pPr>
        <w:ind w:left="980" w:hanging="329"/>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225" w:lineRule="exact"/>
        <w:rPr>
          <w:rFonts w:ascii="Arial" w:cs="Arial" w:eastAsia="Arial" w:hAnsi="Arial"/>
          <w:sz w:val="18"/>
          <w:szCs w:val="18"/>
          <w:color w:val="auto"/>
        </w:rPr>
      </w:pPr>
    </w:p>
    <w:p>
      <w:pPr>
        <w:ind w:left="980" w:right="80" w:hanging="329"/>
        <w:spacing w:after="0" w:line="264"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81" w:lineRule="exact"/>
        <w:rPr>
          <w:rFonts w:ascii="Arial" w:cs="Arial" w:eastAsia="Arial" w:hAnsi="Arial"/>
          <w:sz w:val="18"/>
          <w:szCs w:val="18"/>
          <w:color w:val="auto"/>
        </w:rPr>
      </w:pPr>
    </w:p>
    <w:p>
      <w:pPr>
        <w:ind w:left="980" w:right="460" w:hanging="329"/>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political unrest, outbreak of disease and boycotts;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curtailment of trade, and other business restrictions;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225" w:lineRule="exact"/>
        <w:rPr>
          <w:rFonts w:ascii="Arial" w:cs="Arial" w:eastAsia="Arial" w:hAnsi="Arial"/>
          <w:sz w:val="18"/>
          <w:szCs w:val="18"/>
          <w:color w:val="auto"/>
        </w:rPr>
      </w:pPr>
    </w:p>
    <w:p>
      <w:pPr>
        <w:jc w:val="both"/>
        <w:ind w:left="980" w:right="420" w:hanging="329"/>
        <w:spacing w:after="0" w:line="221" w:lineRule="exact"/>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U.S. Foreign Corrupt Practices Act, its books and records provisions or its anti</w:t>
      </w:r>
      <w:r>
        <w:rPr>
          <w:rFonts w:ascii="MS PGothic" w:cs="MS PGothic" w:eastAsia="MS PGothic" w:hAnsi="MS PGothic"/>
          <w:sz w:val="18"/>
          <w:szCs w:val="18"/>
          <w:color w:val="auto"/>
        </w:rPr>
        <w:t>‑</w:t>
      </w:r>
      <w:r>
        <w:rPr>
          <w:rFonts w:ascii="Arial" w:cs="Arial" w:eastAsia="Arial" w:hAnsi="Arial"/>
          <w:sz w:val="18"/>
          <w:szCs w:val="18"/>
          <w:color w:val="auto"/>
        </w:rPr>
        <w:t>bribery provisions.</w:t>
      </w:r>
    </w:p>
    <w:p>
      <w:pPr>
        <w:spacing w:after="0" w:line="20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Any of the foregoing could harm our business and we cannot anticipate all of the ways in which the current economic climate and financial market conditions could adversely impact our business.</w:t>
      </w:r>
    </w:p>
    <w:p>
      <w:pPr>
        <w:spacing w:after="0" w:line="170"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b w:val="1"/>
          <w:bCs w:val="1"/>
          <w:i w:val="1"/>
          <w:iCs w:val="1"/>
          <w:color w:val="auto"/>
        </w:rPr>
        <w:t>Our internal technology systems, or those of our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CMOs, CROs or other contractors, consultants and service providers, may fail or suffer cyber-attacks or security breaches, which could result in a material disruption of our or such third-party’s business or operations and our development programs for our product candidates’ or loss of other assets, including funds.</w:t>
      </w:r>
    </w:p>
    <w:p>
      <w:pPr>
        <w:spacing w:after="0" w:line="204" w:lineRule="exact"/>
        <w:rPr>
          <w:sz w:val="20"/>
          <w:szCs w:val="20"/>
          <w:color w:val="auto"/>
        </w:rPr>
      </w:pPr>
    </w:p>
    <w:p>
      <w:pPr>
        <w:ind w:right="20" w:firstLine="648"/>
        <w:spacing w:after="0" w:line="217" w:lineRule="exact"/>
        <w:rPr>
          <w:sz w:val="20"/>
          <w:szCs w:val="20"/>
          <w:color w:val="auto"/>
        </w:rPr>
      </w:pPr>
      <w:r>
        <w:rPr>
          <w:rFonts w:ascii="Arial" w:cs="Arial" w:eastAsia="Arial" w:hAnsi="Arial"/>
          <w:sz w:val="17"/>
          <w:szCs w:val="17"/>
          <w:color w:val="auto"/>
        </w:rPr>
        <w:t>Despite the implementation of security measures, our internal technology systems and those of our third</w:t>
      </w:r>
      <w:r>
        <w:rPr>
          <w:rFonts w:ascii="MS PGothic" w:cs="MS PGothic" w:eastAsia="MS PGothic" w:hAnsi="MS PGothic"/>
          <w:sz w:val="17"/>
          <w:szCs w:val="17"/>
          <w:color w:val="auto"/>
        </w:rPr>
        <w:t>‑</w:t>
      </w:r>
      <w:r>
        <w:rPr>
          <w:rFonts w:ascii="Arial" w:cs="Arial" w:eastAsia="Arial" w:hAnsi="Arial"/>
          <w:sz w:val="17"/>
          <w:szCs w:val="17"/>
          <w:color w:val="auto"/>
        </w:rPr>
        <w:t>party CMOs, CROs and other contractors, consultants and service providers are vulnerable to damage from viruses, unauthorized access and attacks, theft, natural disasters, terrorism, war and telecommunication and electrical failures. If such an event were to occur and cause interruptions in our business and operations or those of our third-party CMOs, CROs and other contractors, consultants and service providers, it could result in a material disruption of our or such third-party’s business or operations and our development programs of our product candidates’ or loss of other assets, including funds. For example, the loss of clinical trial data for our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or theft of confidential or proprietary information, we could incur liabilities and the further development of our product candidates could be delayed.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potential liability related to the privacy of health information we obtain from clinical trials sponsored by us</w:t>
      </w:r>
      <w:r>
        <w:rPr>
          <w:rFonts w:ascii="Arial" w:cs="Arial" w:eastAsia="Arial" w:hAnsi="Arial"/>
          <w:sz w:val="16"/>
          <w:szCs w:val="16"/>
          <w:i w:val="1"/>
          <w:iCs w:val="1"/>
          <w:color w:val="auto"/>
        </w:rPr>
        <w:t>.</w:t>
      </w:r>
    </w:p>
    <w:p>
      <w:pPr>
        <w:spacing w:after="0" w:line="248" w:lineRule="exact"/>
        <w:rPr>
          <w:sz w:val="20"/>
          <w:szCs w:val="20"/>
          <w:color w:val="auto"/>
        </w:rPr>
      </w:pPr>
    </w:p>
    <w:p>
      <w:pPr>
        <w:jc w:val="both"/>
        <w:ind w:right="340" w:firstLine="648"/>
        <w:spacing w:after="0" w:line="288" w:lineRule="auto"/>
        <w:rPr>
          <w:sz w:val="20"/>
          <w:szCs w:val="20"/>
          <w:color w:val="auto"/>
        </w:rPr>
      </w:pPr>
      <w:r>
        <w:rPr>
          <w:rFonts w:ascii="Arial" w:cs="Arial" w:eastAsia="Arial" w:hAnsi="Arial"/>
          <w:sz w:val="16"/>
          <w:szCs w:val="16"/>
          <w:color w:val="auto"/>
        </w:rPr>
        <w:t>Most healthcare providers, including research institutions from which we obtain patient health information, are subject to privacy and security regulations promulgated under HIPAA, as amended by the HITECH. We are not currently acting as a covered entity or business associate under HIPAA and thus are not subject to its requirements or penalties.</w:t>
      </w:r>
    </w:p>
    <w:p>
      <w:pPr>
        <w:ind w:right="140"/>
        <w:spacing w:after="0" w:line="216" w:lineRule="exact"/>
        <w:rPr>
          <w:sz w:val="20"/>
          <w:szCs w:val="20"/>
          <w:color w:val="auto"/>
        </w:rPr>
      </w:pPr>
      <w:r>
        <w:rPr>
          <w:rFonts w:ascii="Arial" w:cs="Arial" w:eastAsia="Arial" w:hAnsi="Arial"/>
          <w:sz w:val="17"/>
          <w:szCs w:val="17"/>
          <w:color w:val="auto"/>
        </w:rPr>
        <w:t>However, any person may be prosecuted under HIPAA’s criminal provisions either directly or under aiding</w:t>
      </w:r>
      <w:r>
        <w:rPr>
          <w:rFonts w:ascii="MS PGothic" w:cs="MS PGothic" w:eastAsia="MS PGothic" w:hAnsi="MS PGothic"/>
          <w:sz w:val="17"/>
          <w:szCs w:val="17"/>
          <w:color w:val="auto"/>
        </w:rPr>
        <w:t>‑</w:t>
      </w:r>
      <w:r>
        <w:rPr>
          <w:rFonts w:ascii="Arial" w:cs="Arial" w:eastAsia="Arial" w:hAnsi="Arial"/>
          <w:sz w:val="17"/>
          <w:szCs w:val="17"/>
          <w:color w:val="auto"/>
        </w:rPr>
        <w:t>and</w:t>
      </w:r>
      <w:r>
        <w:rPr>
          <w:rFonts w:ascii="MS PGothic" w:cs="MS PGothic" w:eastAsia="MS PGothic" w:hAnsi="MS PGothic"/>
          <w:sz w:val="17"/>
          <w:szCs w:val="17"/>
          <w:color w:val="auto"/>
        </w:rPr>
        <w:t>‑</w:t>
      </w:r>
      <w:r>
        <w:rPr>
          <w:rFonts w:ascii="Arial" w:cs="Arial" w:eastAsia="Arial" w:hAnsi="Arial"/>
          <w:sz w:val="17"/>
          <w:szCs w:val="17"/>
          <w:color w:val="auto"/>
        </w:rPr>
        <w:t>abetting or conspiracy principles. Consequently, depending on the facts and circumstances, we could face substantial criminal penalties if we knowingly receive individually identifiable health information from a HIPAA</w:t>
      </w:r>
      <w:r>
        <w:rPr>
          <w:rFonts w:ascii="MS PGothic" w:cs="MS PGothic" w:eastAsia="MS PGothic" w:hAnsi="MS PGothic"/>
          <w:sz w:val="17"/>
          <w:szCs w:val="17"/>
          <w:color w:val="auto"/>
        </w:rPr>
        <w:t>‑</w:t>
      </w:r>
      <w:r>
        <w:rPr>
          <w:rFonts w:ascii="Arial" w:cs="Arial" w:eastAsia="Arial" w:hAnsi="Arial"/>
          <w:sz w:val="17"/>
          <w:szCs w:val="17"/>
          <w:color w:val="auto"/>
        </w:rPr>
        <w:t>covered healthcare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20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212529"/>
        </w:rPr>
        <w:t xml:space="preserve">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For example, </w:t>
      </w:r>
      <w:r>
        <w:rPr>
          <w:rFonts w:ascii="Arial" w:cs="Arial" w:eastAsia="Arial" w:hAnsi="Arial"/>
          <w:sz w:val="17"/>
          <w:szCs w:val="17"/>
          <w:color w:val="000000"/>
        </w:rPr>
        <w:t>California enacted the California</w:t>
      </w:r>
      <w:r>
        <w:rPr>
          <w:rFonts w:ascii="Arial" w:cs="Arial" w:eastAsia="Arial" w:hAnsi="Arial"/>
          <w:sz w:val="17"/>
          <w:szCs w:val="17"/>
          <w:color w:val="212529"/>
        </w:rPr>
        <w:t xml:space="preserve"> </w:t>
      </w:r>
      <w:r>
        <w:rPr>
          <w:rFonts w:ascii="Arial" w:cs="Arial" w:eastAsia="Arial" w:hAnsi="Arial"/>
          <w:sz w:val="17"/>
          <w:szCs w:val="17"/>
          <w:color w:val="000000"/>
        </w:rPr>
        <w:t>Consumer Privacy Act, or the CCPA, on June 28, 2018, which went into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w:t>
      </w:r>
    </w:p>
    <w:p>
      <w:pPr>
        <w:spacing w:after="0" w:line="182"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Our clinical trial programs outside the United States may implicate international data protection laws, including the EU Data Protection Directive and legislation of the EU member states implementing it. Our activities outside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20"/>
        <w:spacing w:after="0" w:line="220" w:lineRule="exact"/>
        <w:rPr>
          <w:sz w:val="20"/>
          <w:szCs w:val="20"/>
          <w:color w:val="auto"/>
        </w:rPr>
      </w:pPr>
      <w:r>
        <w:rPr>
          <w:rFonts w:ascii="Arial" w:cs="Arial" w:eastAsia="Arial" w:hAnsi="Arial"/>
          <w:sz w:val="18"/>
          <w:szCs w:val="18"/>
          <w:color w:val="auto"/>
        </w:rPr>
        <w:t>United States impose additional compliance requirements and generate additional risks of enforcement for noncompliance. Failure by our CROs and other third</w:t>
      </w:r>
      <w:r>
        <w:rPr>
          <w:rFonts w:ascii="MS PGothic" w:cs="MS PGothic" w:eastAsia="MS PGothic" w:hAnsi="MS PGothic"/>
          <w:sz w:val="18"/>
          <w:szCs w:val="18"/>
          <w:color w:val="auto"/>
        </w:rPr>
        <w:t>‑</w:t>
      </w:r>
      <w:r>
        <w:rPr>
          <w:rFonts w:ascii="Arial" w:cs="Arial" w:eastAsia="Arial" w:hAnsi="Arial"/>
          <w:sz w:val="18"/>
          <w:szCs w:val="18"/>
          <w:color w:val="auto"/>
        </w:rPr>
        <w:t>party contractors to comply with the strict rules on the transfer of personal data outside of the EU into the United States may result in the imposition of criminal and administrative sanctions on such collaborators, which could adversely affect our business.</w:t>
      </w:r>
    </w:p>
    <w:p>
      <w:pPr>
        <w:spacing w:after="0" w:line="20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Furthermore, certain health privacy laws, data breach notification laws, consumer protection laws and genetic testing laws may apply directly to our operations or those of our collaborators and may impose restrictions on our collection, use and dissemination of individuals’ health information. 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 consuming to defend and could result in adverse publicity that could harm our business.</w:t>
      </w:r>
    </w:p>
    <w:p>
      <w:pPr>
        <w:spacing w:after="0" w:line="179"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6"/>
          <w:szCs w:val="16"/>
          <w:color w:val="auto"/>
        </w:rPr>
        <w:t>If we or third</w:t>
      </w:r>
      <w:r>
        <w:rPr>
          <w:rFonts w:ascii="MS PGothic" w:cs="MS PGothic" w:eastAsia="MS PGothic" w:hAnsi="MS PGothic"/>
          <w:sz w:val="16"/>
          <w:szCs w:val="16"/>
          <w:color w:val="auto"/>
        </w:rPr>
        <w:t>‑</w:t>
      </w:r>
      <w:r>
        <w:rPr>
          <w:rFonts w:ascii="Arial" w:cs="Arial" w:eastAsia="Arial" w:hAnsi="Arial"/>
          <w:sz w:val="16"/>
          <w:szCs w:val="16"/>
          <w:color w:val="auto"/>
        </w:rPr>
        <w:t>party CMOs, CROs or other contractors or consultants fail to comply with applicable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20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Securities class action and derivative lawsuits and other legal proceedings are often brought against companies, which could result in substantial costs and divert management's attention.</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Securities class action and derivative lawsuits and other legal proceedings are often brought against companies following a decline in the market price of their securities. There can be significant fluctuations in market price for the securities of early-stage biotechnology companies, such as us. As a result, we may be more susceptible to these types of lawsuits and legal proceedings than other companies with more stable security prices. In connection with any litigation or other legal proceedings, we could incur substantial costs, and such costs and any related settlements or judgments may not be covered by insurance. We could also suffer an adverse impact on our reputation and a diversion of management’s attention and resources, which could have a material adverse effect on our business.</w:t>
      </w:r>
    </w:p>
    <w:p>
      <w:pPr>
        <w:spacing w:after="0" w:line="2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EU’s data privacy regulation, the General Data Protection Regulation, has taken effect and violations of this could subject us to significant fines.</w:t>
      </w:r>
    </w:p>
    <w:p>
      <w:pPr>
        <w:spacing w:after="0" w:line="170"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In May 2018, a new privacy framework, the General Data Protection Regulation, or the GDPR, took effect in the EU and has become binding across all EEA member states. The GDPR imposes several stringent requirements for controllers and processors of personal data, particularly with respect to clinical trials. The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In addition, the GDPR increases the scrutiny that clinical trial sites located in the EEA should apply to transfers of personal data from such sites to countries that are considered to lack an adequate level of data protection, such as the United States. There are currently a number of legal challenges to the validity of EU mechanisms for adequate data transfers (such as the commonly-used EU-Commission-approved model clauses) or review of these mechanisms (such as the U.S. Privacy Shield), and our business could be impacted by changes in law as a result of a future review of these transfer mechanisms by EU regulators under the GDPR, as well as current challenges to these mechanisms in the EU courts. The GDPR imposes substantial fines for breaches of data protection requirements, which can be up to four percent of global revenue for the preceding financial year or €20 million, whichever is greater, and it also confers a private right of action on data subjects for breaches of data protection requirements. Compliance with EU data protection law is a rigorous and time</w:t>
      </w:r>
      <w:r>
        <w:rPr>
          <w:rFonts w:ascii="MS PGothic" w:cs="MS PGothic" w:eastAsia="MS PGothic" w:hAnsi="MS PGothic"/>
          <w:sz w:val="16"/>
          <w:szCs w:val="16"/>
          <w:color w:val="auto"/>
        </w:rPr>
        <w:t>‑</w:t>
      </w:r>
      <w:r>
        <w:rPr>
          <w:rFonts w:ascii="Arial" w:cs="Arial" w:eastAsia="Arial" w:hAnsi="Arial"/>
          <w:sz w:val="16"/>
          <w:szCs w:val="16"/>
          <w:color w:val="auto"/>
        </w:rPr>
        <w:t>intensive process that may increase our cost of doing business, and despite those efforts, there is a risk that we may be subject to fines and penalties, litigation and reputational harm in connection with our European activities.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Additionally, following the United Kingdom’s withdrawal from the European Union, we will have to comply with the GDPR and the United Kingdom GDPR, each regime having the ability to fine up to the greater of €20 million/ £17.5 million or 4% of global revenue. The relationship between the United Kingdom and the European Union in relation to certain aspects of data protection law remains unclear, for example around how data can lawfully be transferred between each jurisdiction, which exposes us to further compliance risk.</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and our employees and third parties with whom we contract are increasingly utilizing social media tools as a means of communication both internally and externally, and noncompliance with applicable requirements, policies or contracts due to social media use or negative posts or comments could have an adverse effect on our business.</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Despite our efforts to monitor evolving social media communication guidelines and comply with applicable rules, there is risk that the use of social media by us or our employees to communicate about our product candidates or business may cause us to be found in violation of applicable requirements. In addition, our employees or third parties with whom we contract, such as our CROs or CMOs,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or information regarding our product candidates or clinical trials. Clinical trial patients may also knowingly or inadvertently make use of social media in ways that may not comply with legal or contractual requirements for participation in a clinical trial, including with respect to any AEs they may experience, which may give rise to liability and regulatory risk.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Class A common shares.</w:t>
      </w:r>
    </w:p>
    <w:p>
      <w:pPr>
        <w:spacing w:after="0" w:line="188" w:lineRule="exact"/>
        <w:rPr>
          <w:sz w:val="20"/>
          <w:szCs w:val="20"/>
          <w:color w:val="auto"/>
        </w:rPr>
      </w:pPr>
    </w:p>
    <w:p>
      <w:pPr>
        <w:ind w:right="540"/>
        <w:spacing w:after="0" w:line="221" w:lineRule="exact"/>
        <w:rPr>
          <w:sz w:val="20"/>
          <w:szCs w:val="20"/>
          <w:color w:val="auto"/>
        </w:rPr>
      </w:pPr>
      <w:r>
        <w:rPr>
          <w:rFonts w:ascii="Arial" w:cs="Arial" w:eastAsia="Arial" w:hAnsi="Arial"/>
          <w:sz w:val="18"/>
          <w:szCs w:val="18"/>
          <w:b w:val="1"/>
          <w:bCs w:val="1"/>
          <w:i w:val="1"/>
          <w:iCs w:val="1"/>
          <w:color w:val="auto"/>
        </w:rPr>
        <w:t>Our employees, principal investigators, CROs, consultants and other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service providers may engage in misconduct or other improper activities, including noncompliance with regulatory standards and requirements and insider trading.</w:t>
      </w:r>
    </w:p>
    <w:p>
      <w:pPr>
        <w:spacing w:after="0" w:line="202" w:lineRule="exact"/>
        <w:rPr>
          <w:sz w:val="20"/>
          <w:szCs w:val="20"/>
          <w:color w:val="auto"/>
        </w:rPr>
      </w:pPr>
    </w:p>
    <w:p>
      <w:pPr>
        <w:ind w:right="40" w:firstLine="648"/>
        <w:spacing w:after="0" w:line="219" w:lineRule="exact"/>
        <w:rPr>
          <w:sz w:val="20"/>
          <w:szCs w:val="20"/>
          <w:color w:val="auto"/>
        </w:rPr>
      </w:pPr>
      <w:r>
        <w:rPr>
          <w:rFonts w:ascii="Arial" w:cs="Arial" w:eastAsia="Arial" w:hAnsi="Arial"/>
          <w:sz w:val="18"/>
          <w:szCs w:val="18"/>
          <w:color w:val="auto"/>
        </w:rPr>
        <w:t>We are exposed to the risk that our employees, principal investigators, CROs, consultants and other third</w:t>
      </w:r>
      <w:r>
        <w:rPr>
          <w:rFonts w:ascii="MS PGothic" w:cs="MS PGothic" w:eastAsia="MS PGothic" w:hAnsi="MS PGothic"/>
          <w:sz w:val="18"/>
          <w:szCs w:val="18"/>
          <w:color w:val="auto"/>
        </w:rPr>
        <w:t>‑</w:t>
      </w:r>
      <w:r>
        <w:rPr>
          <w:rFonts w:ascii="Arial" w:cs="Arial" w:eastAsia="Arial" w:hAnsi="Arial"/>
          <w:sz w:val="18"/>
          <w:szCs w:val="18"/>
          <w:color w:val="auto"/>
        </w:rPr>
        <w:t>party service providers may engage in fraudulent conduct or other illegal activity. Misconduct by these parties could include intentional, reckless 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w:t>
      </w:r>
    </w:p>
    <w:p>
      <w:pPr>
        <w:spacing w:after="0" w:line="203"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In particular, sales, marketing and business arrangements in the healthcare industry are subject to extensive laws and regulations intended to prevent fraud, misconduct, kickbacks, self</w:t>
      </w:r>
      <w:r>
        <w:rPr>
          <w:rFonts w:ascii="MS PGothic" w:cs="MS PGothic" w:eastAsia="MS PGothic" w:hAnsi="MS PGothic"/>
          <w:sz w:val="16"/>
          <w:szCs w:val="16"/>
          <w:color w:val="auto"/>
        </w:rPr>
        <w:t>‑</w:t>
      </w:r>
      <w:r>
        <w:rPr>
          <w:rFonts w:ascii="Arial" w:cs="Arial" w:eastAsia="Arial" w:hAnsi="Arial"/>
          <w:sz w:val="16"/>
          <w:szCs w:val="16"/>
          <w:color w:val="auto"/>
        </w:rPr>
        <w:t>dealing and other abusive practices. These laws and regulations may restrict or prohibit a wide range of pricing, discounting, marketing and promotion, including off</w:t>
      </w:r>
      <w:r>
        <w:rPr>
          <w:rFonts w:ascii="MS PGothic" w:cs="MS PGothic" w:eastAsia="MS PGothic" w:hAnsi="MS PGothic"/>
          <w:sz w:val="16"/>
          <w:szCs w:val="16"/>
          <w:color w:val="auto"/>
        </w:rPr>
        <w:t>‑</w:t>
      </w:r>
      <w:r>
        <w:rPr>
          <w:rFonts w:ascii="Arial" w:cs="Arial" w:eastAsia="Arial" w:hAnsi="Arial"/>
          <w:sz w:val="16"/>
          <w:szCs w:val="16"/>
          <w:color w:val="auto"/>
        </w:rPr>
        <w:t>label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w:t>
      </w:r>
    </w:p>
    <w:p>
      <w:pPr>
        <w:spacing w:after="0" w:line="20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It is not always possible to identify and deter misconduct by employees and other third parties.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i w:val="1"/>
          <w:iCs w:val="1"/>
          <w:color w:val="auto"/>
        </w:rPr>
        <w:t>An epidemic or pandemic disease outbreak, including the recent coronavirus, could disrupt our business operations as well as the business or operations of our manufacturers, CROs or other third parties with whom we conduct business, including as a result of significant disruption in travel into and within the countries in which we conduct our clinical trials or our manufacturers produce our product candidates now or in the future, which may have a material adverse effect on our business.</w:t>
      </w:r>
    </w:p>
    <w:p>
      <w:pPr>
        <w:spacing w:after="0" w:line="25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An epidemic or pandemic disease outbreak, including the recent 2019 novel coronavirus, could cause significant disruption in our operations and third party manufacturers and CROs upon whom we rely as well as in the conduct of our clinical trials, including as a result of significant restrictions or bans in travel into and within the countries in which our manufacturers produce our product candidates or where we conduct our clinical trials, which could impede, delay, limit or prevent the production or delivery or release of our product candidates to our clinical trial sites, as well as clinical trial investigators, patients or other critical staff from traveling to our clinical trial sites, all of which could impede, delay, limit or prevent completion of our ongoing clinical trials, and ultimately lead to the delay or denial of regulatory approval of our product candidates, which would materially adversely affect our business and operations.</w:t>
      </w:r>
    </w:p>
    <w:p>
      <w:pPr>
        <w:spacing w:after="0" w:line="23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While there is significant uncertainty relating to the potential effect of the coronavirus on our business and operations, infections may become more widespread and travel restrictions may worsen, including in the United States and other countries where we have or are planning to develop operations, all of which could have a material adverse effect on our business and operations. There could be potential effect of the coronavirus to the business at FDA or other health Authorities, which could result in delays of reviews and approvals of our products. Furthermore, another epidemic or pandemic disease outbreak or the occurrence of a natural disaster, political unrest, war or other events that could disrupt the business or operations of our manufacturers, CROs or other third parties with whom we conduct business now or in the future could materially adversely affect our business and operations.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Shares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The concentration of ownership of our Class B common shares, which are held primarily by our executive officers and certain other members of our senior management, and the conversion rights of the holders of our Class A1 common shares, which shares are held primarily by entities affiliated with Baker Bros. Advisors LP, or Baker Bros. Advisors, and Class B1 common shares, all of which shares are held by entities affiliated with Baker Bros. Advisors means that such persons are, and such entities may in the future be, able to influence or control certain matters submitted to our shareholders for approval; and such concentration and conversion rights and resulting concentration of control may have an adverse effect on the price of our Class A common shares and may result in our Class A common shares being undervalued.</w:t>
      </w:r>
    </w:p>
    <w:p>
      <w:pPr>
        <w:spacing w:after="0" w:line="179" w:lineRule="exact"/>
        <w:rPr>
          <w:sz w:val="20"/>
          <w:szCs w:val="20"/>
          <w:color w:val="auto"/>
        </w:rPr>
      </w:pPr>
    </w:p>
    <w:p>
      <w:pPr>
        <w:ind w:right="20" w:firstLine="648"/>
        <w:spacing w:after="0" w:line="217" w:lineRule="exact"/>
        <w:rPr>
          <w:sz w:val="20"/>
          <w:szCs w:val="20"/>
          <w:color w:val="auto"/>
        </w:rPr>
      </w:pPr>
      <w:r>
        <w:rPr>
          <w:rFonts w:ascii="Arial" w:cs="Arial" w:eastAsia="Arial" w:hAnsi="Arial"/>
          <w:sz w:val="17"/>
          <w:szCs w:val="17"/>
          <w:color w:val="auto"/>
        </w:rPr>
        <w:t>Each Class A common share is entitled to one vote per Class A common share and each Class B common share is entitled to ten votes per Class B common share. Our Class A1 common shares and Class B1 common shares have no voting rights. As a result, all matters submitted to our shareholders are decided by the vote of holders of our Class A common shares and Class B common shares. As a result of the multi</w:t>
      </w:r>
      <w:r>
        <w:rPr>
          <w:rFonts w:ascii="MS PGothic" w:cs="MS PGothic" w:eastAsia="MS PGothic" w:hAnsi="MS PGothic"/>
          <w:sz w:val="17"/>
          <w:szCs w:val="17"/>
          <w:color w:val="auto"/>
        </w:rPr>
        <w:t>‑</w:t>
      </w:r>
      <w:r>
        <w:rPr>
          <w:rFonts w:ascii="Arial" w:cs="Arial" w:eastAsia="Arial" w:hAnsi="Arial"/>
          <w:sz w:val="17"/>
          <w:szCs w:val="17"/>
          <w:color w:val="auto"/>
        </w:rPr>
        <w:t>class voting structure of our common shares, the holders of our Class B common shares, which consist primarily of our executive officers and certain other members of our senior management, collectively control over a majority of the combined voting power of our common shares and therefore are able to control the outcome of certain matters submitted to our shareholders for approval. As of February 29, 2020, the holders of Class A common shares accounted for approximately 33% of our aggregate voting power and the holders of Class B common shares accounted for approximately 67% of our aggregate voting power. Our executive officers and certain other members of our senior management hold Class A common shares and Class B common shares representing approximately 51% of our aggregate voting power as of February 29, 2020 and have the ability to control the outcome of certain matters submitted to our shareholders for approval.</w:t>
      </w:r>
    </w:p>
    <w:p>
      <w:pPr>
        <w:spacing w:after="0" w:line="209" w:lineRule="exact"/>
        <w:rPr>
          <w:sz w:val="20"/>
          <w:szCs w:val="20"/>
          <w:color w:val="auto"/>
        </w:rPr>
      </w:pPr>
    </w:p>
    <w:p>
      <w:pPr>
        <w:ind w:right="360" w:firstLine="648"/>
        <w:spacing w:after="0" w:line="297" w:lineRule="auto"/>
        <w:rPr>
          <w:sz w:val="20"/>
          <w:szCs w:val="20"/>
          <w:color w:val="auto"/>
        </w:rPr>
      </w:pPr>
      <w:r>
        <w:rPr>
          <w:rFonts w:ascii="Arial" w:cs="Arial" w:eastAsia="Arial" w:hAnsi="Arial"/>
          <w:sz w:val="16"/>
          <w:szCs w:val="16"/>
          <w:color w:val="auto"/>
        </w:rPr>
        <w:t>However, this percentage may change depending on any conversion of our Class B common shares, Class A1 common shares or Class B1 common shares. Each holder of our Class B common shares has the ability to convert any portion of its Class B common shares into Class B1 common shares or Class A common shares at any time with advance notice to us. Each holder of our Class B1 common shares has the ability to convert any portion of its Class B1 common shares into Class A common shares or Class B common shares at any time with advance notice to us, and each holder of</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our Class A1 common shares has the ability to convert any portion of its Class A1 common shares into Class A common shares at any time with advance notice to us. Our Class A1 common shares and Class B1 common shares cannot be converted if, immediately prior to or following such conversion, the holder and its affiliates beneficially own, or would beneficially own, more than 4.99% of our issued and outstanding Class A common shares unless such holder provides us with 61</w:t>
      </w:r>
      <w:r>
        <w:rPr>
          <w:rFonts w:ascii="MS PGothic" w:cs="MS PGothic" w:eastAsia="MS PGothic" w:hAnsi="MS PGothic"/>
          <w:sz w:val="16"/>
          <w:szCs w:val="16"/>
          <w:color w:val="auto"/>
        </w:rPr>
        <w:t>‑</w:t>
      </w:r>
      <w:r>
        <w:rPr>
          <w:rFonts w:ascii="Arial" w:cs="Arial" w:eastAsia="Arial" w:hAnsi="Arial"/>
          <w:sz w:val="16"/>
          <w:szCs w:val="16"/>
          <w:color w:val="auto"/>
        </w:rPr>
        <w:t>days’ prior notice that it intends to increase, decrease or waive such threshold upon conversion. As of February 29, 2020, entities affiliated with Baker Bros. Advisors could convert their Class A1 common shares and Class B1 common shares upon</w:t>
      </w:r>
    </w:p>
    <w:p>
      <w:pPr>
        <w:spacing w:after="0" w:line="5" w:lineRule="exact"/>
        <w:rPr>
          <w:sz w:val="20"/>
          <w:szCs w:val="20"/>
          <w:color w:val="auto"/>
        </w:rPr>
      </w:pPr>
    </w:p>
    <w:p>
      <w:pPr>
        <w:ind w:right="160"/>
        <w:spacing w:after="0" w:line="216" w:lineRule="exact"/>
        <w:rPr>
          <w:sz w:val="20"/>
          <w:szCs w:val="20"/>
          <w:color w:val="auto"/>
        </w:rPr>
      </w:pPr>
      <w:r>
        <w:rPr>
          <w:rFonts w:ascii="Arial" w:cs="Arial" w:eastAsia="Arial" w:hAnsi="Arial"/>
          <w:sz w:val="18"/>
          <w:szCs w:val="18"/>
          <w:color w:val="auto"/>
        </w:rPr>
        <w:t>61</w:t>
      </w:r>
      <w:r>
        <w:rPr>
          <w:rFonts w:ascii="MS PGothic" w:cs="MS PGothic" w:eastAsia="MS PGothic" w:hAnsi="MS PGothic"/>
          <w:sz w:val="18"/>
          <w:szCs w:val="18"/>
          <w:color w:val="auto"/>
        </w:rPr>
        <w:t>‑</w:t>
      </w:r>
      <w:r>
        <w:rPr>
          <w:rFonts w:ascii="Arial" w:cs="Arial" w:eastAsia="Arial" w:hAnsi="Arial"/>
          <w:sz w:val="18"/>
          <w:szCs w:val="18"/>
          <w:color w:val="auto"/>
        </w:rPr>
        <w:t>days’ prior written notice into Class A common shares and Class B common shares, respectively, which in the aggregate would result in such entities holding approximately 75% of our aggregate voting power.</w:t>
      </w:r>
    </w:p>
    <w:p>
      <w:pPr>
        <w:spacing w:after="0" w:line="20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Due to these conversion rights, holders of our Class A1 common shares and our Class B1 common shares could, at any time with appropriate advance notice to us, significantly increase their voting control of us, which could result in their ability to significantly influence or control matters submitted to our shareholders for approval and would decrease the ability of the current holders of our Class A common shares and Class B common shares to influence or control matters submitted to our shareholders for approval. In addition, the conversion of Class B common shares to Class A or Class B1 common shares will have the effect of increasing the relative voting power of the holders of Class B common shares who retain their shares in the long term.</w:t>
      </w:r>
    </w:p>
    <w:p>
      <w:pPr>
        <w:spacing w:after="0" w:line="18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concentrated control limits certain shareholders’ ability to influence corporate matters and may have an adverse effect on the price of our Class A common shares, including our Class A common shares being undervalued. Holders of our Class B common shares collectively control our management and affairs and are able to influence or control the outcome of certain matters submitted to our shareholders for approval, including the election of directors. Due to the conversion rights of the holders of our Class A1 and B1 common shares, entities affiliated with the Baker Bros. Advisors could significantly increase their voting control of us, which could result in their ability to significantly influence or control matters submitted to our shareholders for approval. These holders may have interests, with respect to their investment, that are different from our other shareholders. In addition, this concentration of control might adversely affect certain corporate actions that our other shareholders may view as beneficial, for example, by:</w:t>
      </w:r>
    </w:p>
    <w:p>
      <w:pPr>
        <w:spacing w:after="0" w:line="182" w:lineRule="exact"/>
        <w:rPr>
          <w:sz w:val="20"/>
          <w:szCs w:val="20"/>
          <w:color w:val="auto"/>
        </w:rPr>
      </w:pPr>
    </w:p>
    <w:p>
      <w:pPr>
        <w:ind w:left="980" w:hanging="329"/>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2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price of our Class A common shares is likely to continue to be volatile and fluctuate substantially, which could result in substantial losses for holders of our Class A common shares.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share price is likely to continue to be volatile. The stock market in general and the market for biopharmaceutical companies in particular have experienced extreme volatility that has often been unrelated to the operating performance of particular companies. As a result of this volatility, our shareholders may not be able to sell their Class A common shares at or above the price they paid for their shares. The market price for our Class A common shares may be influenced by many factors, including:</w:t>
      </w:r>
    </w:p>
    <w:p>
      <w:pPr>
        <w:spacing w:after="0" w:line="188" w:lineRule="exact"/>
        <w:rPr>
          <w:sz w:val="20"/>
          <w:szCs w:val="20"/>
          <w:color w:val="auto"/>
        </w:rPr>
      </w:pPr>
    </w:p>
    <w:p>
      <w:pPr>
        <w:ind w:left="980" w:hanging="329"/>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results of clinical trials for our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delays in the commencement, enrollment and the ultimate completion of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results and potential impact of competitive products or technologies;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manufacture and successfully produce our product candidates;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560" w:hanging="329"/>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capitalization, development timelines or recommendations by securities analysts;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financing or other corporate transactions, or our inability to obtain additional funding;</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failure to meet or exceed the expectations of the investment community;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w:t>
      </w:r>
      <w:r>
        <w:rPr>
          <w:rFonts w:ascii="MS PGothic" w:cs="MS PGothic" w:eastAsia="MS PGothic" w:hAnsi="MS PGothic"/>
          <w:sz w:val="18"/>
          <w:szCs w:val="18"/>
          <w:color w:val="auto"/>
        </w:rPr>
        <w:t>‑</w:t>
      </w:r>
      <w:r>
        <w:rPr>
          <w:rFonts w:ascii="Arial" w:cs="Arial" w:eastAsia="Arial" w:hAnsi="Arial"/>
          <w:sz w:val="18"/>
          <w:szCs w:val="18"/>
          <w:color w:val="auto"/>
        </w:rPr>
        <w:t>license additional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rFonts w:ascii="Arial" w:cs="Arial" w:eastAsia="Arial" w:hAnsi="Arial"/>
          <w:sz w:val="18"/>
          <w:szCs w:val="18"/>
          <w:color w:val="auto"/>
        </w:rPr>
      </w:pPr>
    </w:p>
    <w:p>
      <w:pPr>
        <w:ind w:left="980" w:right="380" w:hanging="329"/>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voting control of our executive officers and certain other members of our senior management or affiliates who hold our shares;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given the limited trading history of our Class A common shares, there is a risk that an active trading market for our shares will not be sustained, which could put downward pressure on the market price of our common shares and thereby affect the ability of our shareholders to sell their shares. An inactive trading market may also impair our ability to raise capital to continue to fund operations by selling shares and may impair our ability to acquire other companies or technologies by using our shares as consideration.</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publishing or publish unfavorable research or reports about us, our business or our market, our shares price and trading volume could decline</w:t>
      </w:r>
      <w:r>
        <w:rPr>
          <w:rFonts w:ascii="Arial" w:cs="Arial" w:eastAsia="Arial" w:hAnsi="Arial"/>
          <w:sz w:val="18"/>
          <w:szCs w:val="18"/>
          <w:i w:val="1"/>
          <w:iCs w:val="1"/>
          <w:color w:val="auto"/>
        </w:rPr>
        <w:t>.</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trading market for our Class A common shares is influenced by the research and reports that equity research analysts publish about us and our business. We do not have any control over the analysts or the content and opinions included in their reports. The price of our Class A common shares could decline if one or more equity research analysts downgrades our shares or issues other unfavorable commentary or research. If one or more equity research analysts ceases coverage of our company or fails to publish reports on us regularly, demand for our Class A common shares could decrease, which in turn could cause the price of our Class A common shares or its trading volume to decline.</w:t>
      </w:r>
    </w:p>
    <w:p>
      <w:pPr>
        <w:spacing w:after="0" w:line="16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Sales of a number of our Class A common shares in the public market, including Class A common shares issuable upon conversion of our Class B, Class A1 and Class B1 common shares, could cause the share price of our Class A common shares to fall.</w:t>
      </w:r>
    </w:p>
    <w:p>
      <w:pPr>
        <w:spacing w:after="0" w:line="181"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A significant number of our Class A common shares are issuable upon conversion of our Class B, Class A1, and Class B1 common shares. Our Class B and Class B1 common shares automatically convert into Class A common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18" w:lineRule="exact"/>
        <w:rPr>
          <w:sz w:val="20"/>
          <w:szCs w:val="20"/>
          <w:color w:val="auto"/>
        </w:rPr>
      </w:pPr>
      <w:r>
        <w:rPr>
          <w:rFonts w:ascii="Arial" w:cs="Arial" w:eastAsia="Arial" w:hAnsi="Arial"/>
          <w:sz w:val="17"/>
          <w:szCs w:val="17"/>
          <w:color w:val="auto"/>
        </w:rPr>
        <w:t>shares upon transfer by a holder of such shares to persons or entities not affiliated with such holder. In addition, each holder of our Class B common shares has the ability to convert any portion of its Class B common shares into Class B1 common shares or Class A common shares at any time with advance notice to us, each holder of our Class B1 common shares has the ability to convert any portion of its Class B1 common shares into Class A common shares or Class B common shares at any time with advance notice to us and each holder of our Class A1 common shares has the ability to convert any portion of its Class A1 common shares into Class A common shares at any time with advance notice to us. However, our Class A1 common shares and Class B1 common shares cannot be converted if, immediately prior to or following such conversion, the holder and its affiliates beneficially own, or would beneficially own, more than 4.99% of our issued and outstanding Class A common shares unless such holder provides us with 61</w:t>
      </w:r>
      <w:r>
        <w:rPr>
          <w:rFonts w:ascii="MS PGothic" w:cs="MS PGothic" w:eastAsia="MS PGothic" w:hAnsi="MS PGothic"/>
          <w:sz w:val="17"/>
          <w:szCs w:val="17"/>
          <w:color w:val="auto"/>
        </w:rPr>
        <w:t>‑</w:t>
      </w:r>
      <w:r>
        <w:rPr>
          <w:rFonts w:ascii="Arial" w:cs="Arial" w:eastAsia="Arial" w:hAnsi="Arial"/>
          <w:sz w:val="17"/>
          <w:szCs w:val="17"/>
          <w:color w:val="auto"/>
        </w:rPr>
        <w:t>days’ prior notice that it intends to increase, decrease or waive such threshold upon conversion.</w:t>
      </w:r>
    </w:p>
    <w:p>
      <w:pPr>
        <w:spacing w:after="0" w:line="20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As of February 29, 2020, upon such transfers or conversions up to approximately 35.2 million of additional Class A common shares would be issuable and eligible for resale in the public market to the extent permitted by the provisions of Rule 144 promulgated under the Securities Act of 1933, as amended, or the Securities Act and such rule, Rule 144. In addition, as of February 29, 2020, there were approximately 8.8 million Class A common shares subject to outstanding options and restricted share units under our equity incentive plans that may become eligible for sale in the public market to the extent permitted by the provisions of applicable vesting schedules and Rule 144 and Rule 701 under the Securities Act.</w:t>
      </w:r>
    </w:p>
    <w:p>
      <w:pPr>
        <w:spacing w:after="0" w:line="16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Over a majority of our common shares are held by our executive officers and other members of our senior management together with funds affiliated with certain of our directors. As of February 29, 2020, on an as-converted basis, these shareholders collectively held approximately 32.4 million of our Class A common shares. If any of these shareholders sell, convert or transfer, or indicate an intention to sell, convert or transfer, a substantial amount of their common shares (after certain restrictions on conversion or resale lapse), the market price of our Class A common shares could decline.</w:t>
      </w:r>
    </w:p>
    <w:p>
      <w:pPr>
        <w:spacing w:after="0" w:line="1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Further, as of (i) February 29, 2020, holders of approximately 35.4 million Class A common shares, including Class A common shares issuable upon the conversion of our Class B, Class A1 and Class B1 common shares and upon the exercise of certain rights to acquire Class A common shares, or collectively, registerable securities, are entitled to certain rights with respect to the registration of these shares under the Securities Act pursuant to our amended and restated investor rights agreement, or the investors rights agreement and (ii) June 10, 2019, we registered 28,882,977 Class A common shares (inclusive of 3,000,000 Class A common shares acquired by certain of these holders in our initial public offering of our Class A common shares, or IPO) on an as converted basis from the registrable securities held by certain of these holders pursuant to the investors rights agreement, which are freely tradable without restriction under the Securities Act, to the extent permitted by Rule 144 under the Securities Act.</w:t>
      </w:r>
    </w:p>
    <w:p>
      <w:pPr>
        <w:spacing w:after="0" w:line="18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If any of these Class A common shares are sold, or if it is perceived that they will be sold, in the public market, the market price of our Class A common shares could decline.</w:t>
      </w:r>
    </w:p>
    <w:p>
      <w:pPr>
        <w:spacing w:after="0" w:line="170"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b w:val="1"/>
          <w:bCs w:val="1"/>
          <w:i w:val="1"/>
          <w:iCs w:val="1"/>
          <w:color w:val="auto"/>
        </w:rPr>
        <w:t>Future sales or issuances of our common shares or rights to purchase common shares, including under our shelf registration statement or pursuant to our equity incentive plans, could result in additional dilution of the percentage ownership of our shareholders and could cause our Class A common share price to fall.</w:t>
      </w:r>
    </w:p>
    <w:p>
      <w:pPr>
        <w:spacing w:after="0" w:line="14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will need additional capital in the future to continue our planned operations. To the extent we raise additional capital by issuing additional Class A common shares, Class B common shares, Class A1 common shares, Class B1 common shares or other equity securities, our shareholders may experience substantial dilution. We may sell common shares, convertible securities or other equity securities in one or more transactions at prices and in a manner we determine from time to time under our shelf registration statement or otherwise. If we sell common shares, convertible securities or other equity securities in more than one transaction, investors may be materially diluted by subsequent sales. These sales may also result in material dilution to our existing shareholders, and new investors could gain rights superior to our existing shareholders.</w:t>
      </w:r>
    </w:p>
    <w:p>
      <w:pPr>
        <w:spacing w:after="0" w:line="167"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In addition, the consummation or performance of any acquisition, business combination, collaboration or other strategic transaction we may undertake in furtherance of our growth strategy may cause dilution to our existing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shareholders if we issue equity securities for all or a portion of the consideration. For example, we acquired the issued and outstanding equity securities of Primatope in exchange for upfront consideration of $10.0 million paid at closing in March 2019 as well as milestone payments of $5.0 million, which had been achieved and paid as of the closing date, and $3.0 million which was paid in June 2019, all of which paid in a combination of cash and our Class A common shares (inclusive of escrow and holdback amounts) in accordance with the terms and conditions of our stock purchase option agreement with Primatope, or the “Primatope Agreement”.</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Class A common shares less attractive to investors.</w:t>
      </w:r>
    </w:p>
    <w:p>
      <w:pPr>
        <w:spacing w:after="0" w:line="181"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We are an “emerging growth company,” as defined in the Jumpstart Our Business Startups, or JOBS, Act, and a “smaller reporting company” as defined under the rules promulgated under the Securities Act. As an emerging growth company and a smaller reporting company we may follow reduced disclosure requirements and do not have to make all of the disclosures that public companies that are not emerging growth companies or smaller reporting companies do. We will remain an emerging growth company until the earlier of:</w:t>
      </w:r>
    </w:p>
    <w:p>
      <w:pPr>
        <w:spacing w:after="0" w:line="173" w:lineRule="exact"/>
        <w:rPr>
          <w:sz w:val="20"/>
          <w:szCs w:val="20"/>
          <w:color w:val="auto"/>
        </w:rPr>
      </w:pPr>
    </w:p>
    <w:p>
      <w:pPr>
        <w:ind w:left="980" w:hanging="329"/>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last day of the fiscal year in which we have total annual gross revenues of $1.07 billion or more;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the date of the completion of our IPO;</w:t>
      </w:r>
    </w:p>
    <w:p>
      <w:pPr>
        <w:spacing w:after="0" w:line="225" w:lineRule="exact"/>
        <w:rPr>
          <w:rFonts w:ascii="Arial" w:cs="Arial" w:eastAsia="Arial" w:hAnsi="Arial"/>
          <w:sz w:val="18"/>
          <w:szCs w:val="18"/>
          <w:color w:val="auto"/>
        </w:rPr>
      </w:pPr>
    </w:p>
    <w:p>
      <w:pPr>
        <w:ind w:left="980" w:right="160" w:hanging="329"/>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during the previous three years; or</w:t>
      </w:r>
    </w:p>
    <w:p>
      <w:pPr>
        <w:spacing w:after="0" w:line="170" w:lineRule="exact"/>
        <w:rPr>
          <w:rFonts w:ascii="Arial" w:cs="Arial" w:eastAsia="Arial" w:hAnsi="Arial"/>
          <w:sz w:val="18"/>
          <w:szCs w:val="18"/>
          <w:color w:val="auto"/>
        </w:rPr>
      </w:pPr>
    </w:p>
    <w:p>
      <w:pPr>
        <w:ind w:left="980" w:hanging="329"/>
        <w:spacing w:after="0" w:line="221" w:lineRule="exact"/>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date on which we are deemed to be a large accelerated filer under the rules of the SEC, which means the market value of our voting and non</w:t>
      </w:r>
      <w:r>
        <w:rPr>
          <w:rFonts w:ascii="MS PGothic" w:cs="MS PGothic" w:eastAsia="MS PGothic" w:hAnsi="MS PGothic"/>
          <w:sz w:val="17"/>
          <w:szCs w:val="17"/>
          <w:color w:val="auto"/>
        </w:rPr>
        <w:t>‑</w:t>
      </w:r>
      <w:r>
        <w:rPr>
          <w:rFonts w:ascii="Arial" w:cs="Arial" w:eastAsia="Arial" w:hAnsi="Arial"/>
          <w:sz w:val="17"/>
          <w:szCs w:val="17"/>
          <w:color w:val="auto"/>
        </w:rPr>
        <w:t>voting common shares that is held by non</w:t>
      </w:r>
      <w:r>
        <w:rPr>
          <w:rFonts w:ascii="MS PGothic" w:cs="MS PGothic" w:eastAsia="MS PGothic" w:hAnsi="MS PGothic"/>
          <w:sz w:val="17"/>
          <w:szCs w:val="17"/>
          <w:color w:val="auto"/>
        </w:rPr>
        <w:t>‑</w:t>
      </w:r>
      <w:r>
        <w:rPr>
          <w:rFonts w:ascii="Arial" w:cs="Arial" w:eastAsia="Arial" w:hAnsi="Arial"/>
          <w:sz w:val="17"/>
          <w:szCs w:val="17"/>
          <w:color w:val="auto"/>
        </w:rPr>
        <w:t>affiliates exceeds $700 million as of the last business day of our most recently completed second fiscal quarter.</w:t>
      </w:r>
    </w:p>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81" w:lineRule="exact"/>
        <w:rPr>
          <w:sz w:val="20"/>
          <w:szCs w:val="20"/>
          <w:color w:val="auto"/>
        </w:rPr>
      </w:pPr>
    </w:p>
    <w:p>
      <w:pPr>
        <w:ind w:left="980" w:right="280" w:hanging="329"/>
        <w:spacing w:after="0" w:line="223" w:lineRule="exact"/>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or Section 404;</w:t>
      </w:r>
    </w:p>
    <w:p>
      <w:pPr>
        <w:spacing w:after="0" w:line="203" w:lineRule="exact"/>
        <w:rPr>
          <w:rFonts w:ascii="Arial" w:cs="Arial" w:eastAsia="Arial" w:hAnsi="Arial"/>
          <w:sz w:val="18"/>
          <w:szCs w:val="18"/>
          <w:color w:val="auto"/>
        </w:rPr>
      </w:pPr>
    </w:p>
    <w:p>
      <w:pPr>
        <w:ind w:left="980" w:right="440" w:hanging="329"/>
        <w:spacing w:after="0" w:line="342" w:lineRule="auto"/>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 exemption from compliance with the requirement of the Public Company Accounting Oversight Board regarding the communication of critical audit matters in the auditor’s report on the financial statements;</w:t>
      </w:r>
    </w:p>
    <w:p>
      <w:pPr>
        <w:spacing w:after="0" w:line="123" w:lineRule="exact"/>
        <w:rPr>
          <w:rFonts w:ascii="Arial" w:cs="Arial" w:eastAsia="Arial" w:hAnsi="Arial"/>
          <w:sz w:val="16"/>
          <w:szCs w:val="16"/>
          <w:color w:val="auto"/>
        </w:rPr>
      </w:pPr>
    </w:p>
    <w:p>
      <w:pPr>
        <w:ind w:left="980" w:right="460" w:hanging="329"/>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progressively adding to the number of years of audited financial statements required to be included in our periodic reports; and</w:t>
      </w:r>
    </w:p>
    <w:p>
      <w:pPr>
        <w:spacing w:after="0" w:line="170" w:lineRule="exact"/>
        <w:rPr>
          <w:rFonts w:ascii="Arial" w:cs="Arial" w:eastAsia="Arial" w:hAnsi="Arial"/>
          <w:sz w:val="18"/>
          <w:szCs w:val="18"/>
          <w:color w:val="auto"/>
        </w:rPr>
      </w:pPr>
    </w:p>
    <w:p>
      <w:pPr>
        <w:ind w:left="980" w:right="280" w:hanging="329"/>
        <w:spacing w:after="0" w:line="312" w:lineRule="auto"/>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exemptions from the requirements of holding a nonbinding advisory vote on executive compensation, shareholder approval of any golden parachute payments not previously approved, and having to disclose the ratio of the compensation of our chief executive officer to the median compensation of our employees.</w:t>
      </w:r>
    </w:p>
    <w:p>
      <w:pPr>
        <w:spacing w:after="0" w:line="147"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are subject to the same new or revised accounting standards as other public companies that are not emerging growth companies.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are also a smaller reporting company, and we will remain a smaller reporting company until we no longer meet either of the criteria for being a smaller reporting company as follows:</w:t>
      </w:r>
    </w:p>
    <w:p>
      <w:pPr>
        <w:spacing w:after="0" w:line="170" w:lineRule="exact"/>
        <w:rPr>
          <w:sz w:val="20"/>
          <w:szCs w:val="20"/>
          <w:color w:val="auto"/>
        </w:rPr>
      </w:pPr>
    </w:p>
    <w:p>
      <w:pPr>
        <w:ind w:left="1300" w:right="100" w:hanging="325"/>
        <w:spacing w:after="0" w:line="223" w:lineRule="exact"/>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voting and non</w:t>
      </w:r>
      <w:r>
        <w:rPr>
          <w:rFonts w:ascii="MS PGothic" w:cs="MS PGothic" w:eastAsia="MS PGothic" w:hAnsi="MS PGothic"/>
          <w:sz w:val="18"/>
          <w:szCs w:val="18"/>
          <w:color w:val="auto"/>
        </w:rPr>
        <w:t>‑</w:t>
      </w:r>
      <w:r>
        <w:rPr>
          <w:rFonts w:ascii="Arial" w:cs="Arial" w:eastAsia="Arial" w:hAnsi="Arial"/>
          <w:sz w:val="18"/>
          <w:szCs w:val="18"/>
          <w:color w:val="auto"/>
        </w:rPr>
        <w:t>voting common shares held by non</w:t>
      </w:r>
      <w:r>
        <w:rPr>
          <w:rFonts w:ascii="MS PGothic" w:cs="MS PGothic" w:eastAsia="MS PGothic" w:hAnsi="MS PGothic"/>
          <w:sz w:val="18"/>
          <w:szCs w:val="18"/>
          <w:color w:val="auto"/>
        </w:rPr>
        <w:t>‑</w:t>
      </w:r>
      <w:r>
        <w:rPr>
          <w:rFonts w:ascii="Arial" w:cs="Arial" w:eastAsia="Arial" w:hAnsi="Arial"/>
          <w:sz w:val="18"/>
          <w:szCs w:val="18"/>
          <w:color w:val="auto"/>
        </w:rPr>
        <w:t>affiliates is less than $250 million measured on the last business day of our second fiscal quarter; or</w:t>
      </w:r>
    </w:p>
    <w:p>
      <w:pPr>
        <w:spacing w:after="0" w:line="203" w:lineRule="exact"/>
        <w:rPr>
          <w:rFonts w:ascii="Arial" w:cs="Arial" w:eastAsia="Arial" w:hAnsi="Arial"/>
          <w:sz w:val="18"/>
          <w:szCs w:val="18"/>
          <w:color w:val="auto"/>
        </w:rPr>
      </w:pPr>
    </w:p>
    <w:p>
      <w:pPr>
        <w:ind w:left="1300" w:right="80" w:hanging="325"/>
        <w:spacing w:after="0" w:line="221" w:lineRule="exact"/>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annual revenues are less than $100 million during the most recently completed fiscal year and our voting and non</w:t>
      </w:r>
      <w:r>
        <w:rPr>
          <w:rFonts w:ascii="MS PGothic" w:cs="MS PGothic" w:eastAsia="MS PGothic" w:hAnsi="MS PGothic"/>
          <w:sz w:val="18"/>
          <w:szCs w:val="18"/>
          <w:color w:val="auto"/>
        </w:rPr>
        <w:t>‑</w:t>
      </w:r>
      <w:r>
        <w:rPr>
          <w:rFonts w:ascii="Arial" w:cs="Arial" w:eastAsia="Arial" w:hAnsi="Arial"/>
          <w:sz w:val="18"/>
          <w:szCs w:val="18"/>
          <w:color w:val="auto"/>
        </w:rPr>
        <w:t>voting common shares held by non</w:t>
      </w:r>
      <w:r>
        <w:rPr>
          <w:rFonts w:ascii="MS PGothic" w:cs="MS PGothic" w:eastAsia="MS PGothic" w:hAnsi="MS PGothic"/>
          <w:sz w:val="18"/>
          <w:szCs w:val="18"/>
          <w:color w:val="auto"/>
        </w:rPr>
        <w:t>‑</w:t>
      </w:r>
      <w:r>
        <w:rPr>
          <w:rFonts w:ascii="Arial" w:cs="Arial" w:eastAsia="Arial" w:hAnsi="Arial"/>
          <w:sz w:val="18"/>
          <w:szCs w:val="18"/>
          <w:color w:val="auto"/>
        </w:rPr>
        <w:t>affiliates is less than $700 million measured on the last business day of our second fiscal quarter.</w:t>
      </w:r>
    </w:p>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Similar to emerging growth companies,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may choose to take advantage of some, but not all, of the available exemptions for emerging growth companies and smaller reporting companies. We cannot predict whether investors will find our Class A common shares less attractive if we rely on these exemptions. If some investors find our Class A common shares less attractive as a result, there may be a less active trading market for our Class A common shares and the share price of our Class A common shares may be more volatile.</w:t>
      </w:r>
    </w:p>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w:t>
      </w:r>
    </w:p>
    <w:p>
      <w:pPr>
        <w:spacing w:after="0" w:line="170"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As a public company, we incur significant legal, accounting and other expenses. In addition,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and rules subsequently implemented by the SEC and The Nasdaq Global Select Market, or Nasdaq, where our Class A common shares are listed,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costs and make some activities more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and will increase after we are no longer an emerging growth company and a smaller reporting company. For example, these rules and regulations may make it more difficult and more expensive for us to obtain director and officer liability insurance.</w:t>
      </w:r>
    </w:p>
    <w:p>
      <w:pPr>
        <w:spacing w:after="0" w:line="203"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are not required to include an attestation report on internal control over financial reporting issued by our independent registered public accounting firm. To maintain compliance with Section 404 within the prescribed period, we engage in a process to document and evaluate our internal control over financial reporting, which is both costly and challenging. In this regard, we will need to continue to dedicate internal resources, engage outside consultants and refine and revise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that our internal control over financial reporting is effective as required by Section 404. This could result in an adverse reaction in the financial markets due to a loss of confidence in the reliability of our financial statements.</w:t>
      </w:r>
    </w:p>
    <w:p>
      <w:pPr>
        <w:spacing w:after="0" w:line="188"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i w:val="1"/>
          <w:iCs w:val="1"/>
          <w:color w:val="auto"/>
        </w:rPr>
        <w:t>We have anti</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takeover provisions in our amended and restated bye</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laws that may discourage a change of control.</w:t>
      </w:r>
    </w:p>
    <w:p>
      <w:pPr>
        <w:spacing w:after="0" w:line="248" w:lineRule="exact"/>
        <w:rPr>
          <w:sz w:val="20"/>
          <w:szCs w:val="20"/>
          <w:color w:val="auto"/>
        </w:rPr>
      </w:pPr>
    </w:p>
    <w:p>
      <w:pPr>
        <w:ind w:right="140" w:firstLine="648"/>
        <w:spacing w:after="0" w:line="223" w:lineRule="exact"/>
        <w:rPr>
          <w:sz w:val="20"/>
          <w:szCs w:val="20"/>
          <w:color w:val="auto"/>
        </w:rPr>
      </w:pPr>
      <w:r>
        <w:rPr>
          <w:rFonts w:ascii="Arial" w:cs="Arial" w:eastAsia="Arial" w:hAnsi="Arial"/>
          <w:sz w:val="18"/>
          <w:szCs w:val="18"/>
          <w:color w:val="auto"/>
        </w:rPr>
        <w:t>Our amended and restated bye</w:t>
      </w:r>
      <w:r>
        <w:rPr>
          <w:rFonts w:ascii="MS PGothic" w:cs="MS PGothic" w:eastAsia="MS PGothic" w:hAnsi="MS PGothic"/>
          <w:sz w:val="18"/>
          <w:szCs w:val="18"/>
          <w:color w:val="auto"/>
        </w:rPr>
        <w:t>‑</w:t>
      </w:r>
      <w:r>
        <w:rPr>
          <w:rFonts w:ascii="Arial" w:cs="Arial" w:eastAsia="Arial" w:hAnsi="Arial"/>
          <w:sz w:val="18"/>
          <w:szCs w:val="18"/>
          <w:color w:val="auto"/>
        </w:rPr>
        <w:t>laws contain provisions that could make it more difficult for a third party to acquire us. These provisions provide for:</w:t>
      </w:r>
    </w:p>
    <w:p>
      <w:pPr>
        <w:spacing w:after="0" w:line="203" w:lineRule="exact"/>
        <w:rPr>
          <w:sz w:val="20"/>
          <w:szCs w:val="20"/>
          <w:color w:val="auto"/>
        </w:rPr>
      </w:pPr>
    </w:p>
    <w:p>
      <w:pPr>
        <w:ind w:left="980" w:hanging="329"/>
        <w:spacing w:after="0" w:line="207" w:lineRule="exact"/>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w:t>
      </w:r>
      <w:r>
        <w:rPr>
          <w:rFonts w:ascii="MS PGothic" w:cs="MS PGothic" w:eastAsia="MS PGothic" w:hAnsi="MS PGothic"/>
          <w:sz w:val="18"/>
          <w:szCs w:val="18"/>
          <w:color w:val="auto"/>
        </w:rPr>
        <w:t>‑</w:t>
      </w:r>
      <w:r>
        <w:rPr>
          <w:rFonts w:ascii="Arial" w:cs="Arial" w:eastAsia="Arial" w:hAnsi="Arial"/>
          <w:sz w:val="18"/>
          <w:szCs w:val="18"/>
          <w:color w:val="auto"/>
        </w:rPr>
        <w:t>year terms;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directors only to be removed for cause;</w:t>
      </w:r>
    </w:p>
    <w:p>
      <w:pPr>
        <w:spacing w:after="0" w:line="95" w:lineRule="exact"/>
        <w:rPr>
          <w:rFonts w:ascii="Arial" w:cs="Arial" w:eastAsia="Arial" w:hAnsi="Arial"/>
          <w:sz w:val="18"/>
          <w:szCs w:val="18"/>
          <w:color w:val="auto"/>
        </w:rPr>
      </w:pPr>
    </w:p>
    <w:p>
      <w:pPr>
        <w:ind w:left="980" w:right="480" w:hanging="329"/>
        <w:spacing w:after="0" w:line="283"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affirmative vote of 66</w:t>
      </w:r>
      <w:r>
        <w:rPr>
          <w:rFonts w:ascii="Arial" w:cs="Arial" w:eastAsia="Arial" w:hAnsi="Arial"/>
          <w:sz w:val="8"/>
          <w:szCs w:val="8"/>
          <w:color w:val="auto"/>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of the voting power of our voting shares for certain “business combination” transactions that have not been approved by our board of directors;</w:t>
      </w:r>
    </w:p>
    <w:p>
      <w:pPr>
        <w:spacing w:after="0" w:line="140" w:lineRule="exact"/>
        <w:rPr>
          <w:rFonts w:ascii="Arial" w:cs="Arial" w:eastAsia="Arial" w:hAnsi="Arial"/>
          <w:sz w:val="18"/>
          <w:szCs w:val="18"/>
          <w:color w:val="auto"/>
        </w:rPr>
      </w:pPr>
    </w:p>
    <w:p>
      <w:pPr>
        <w:ind w:left="980" w:right="60" w:hanging="329"/>
        <w:spacing w:after="0" w:line="221" w:lineRule="exact"/>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multi</w:t>
      </w:r>
      <w:r>
        <w:rPr>
          <w:rFonts w:ascii="MS PGothic" w:cs="MS PGothic" w:eastAsia="MS PGothic" w:hAnsi="MS PGothic"/>
          <w:sz w:val="18"/>
          <w:szCs w:val="18"/>
          <w:color w:val="auto"/>
        </w:rPr>
        <w:t>‑</w:t>
      </w:r>
      <w:r>
        <w:rPr>
          <w:rFonts w:ascii="Arial" w:cs="Arial" w:eastAsia="Arial" w:hAnsi="Arial"/>
          <w:sz w:val="18"/>
          <w:szCs w:val="18"/>
          <w:color w:val="auto"/>
        </w:rPr>
        <w:t>class common share structure, which provides our holders of Class B common shares with the ability to significantly influence the outcome of matters requiring shareholder approval, even if they own less than a majority of our outstanding Class A common shares;</w:t>
      </w:r>
    </w:p>
    <w:p>
      <w:pPr>
        <w:spacing w:after="0" w:line="201" w:lineRule="exact"/>
        <w:rPr>
          <w:rFonts w:ascii="Arial" w:cs="Arial" w:eastAsia="Arial" w:hAnsi="Arial"/>
          <w:sz w:val="18"/>
          <w:szCs w:val="18"/>
          <w:color w:val="auto"/>
        </w:rPr>
      </w:pPr>
    </w:p>
    <w:p>
      <w:pPr>
        <w:ind w:left="980" w:hanging="329"/>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restrictions on the time period in which directors may be nominated; and</w:t>
      </w:r>
    </w:p>
    <w:p>
      <w:pPr>
        <w:spacing w:after="0" w:line="225" w:lineRule="exact"/>
        <w:rPr>
          <w:rFonts w:ascii="Arial" w:cs="Arial" w:eastAsia="Arial" w:hAnsi="Arial"/>
          <w:sz w:val="18"/>
          <w:szCs w:val="18"/>
          <w:color w:val="auto"/>
        </w:rPr>
      </w:pPr>
    </w:p>
    <w:p>
      <w:pPr>
        <w:ind w:left="980" w:right="200" w:hanging="329"/>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board of directors to determine the powers, preferences and rights of our preferred shares and to issue the preferred shares without shareholder approval.</w:t>
      </w:r>
    </w:p>
    <w:p>
      <w:pPr>
        <w:spacing w:after="0" w:line="170"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8"/>
          <w:szCs w:val="18"/>
          <w:color w:val="auto"/>
        </w:rPr>
        <w:t>These anti</w:t>
      </w:r>
      <w:r>
        <w:rPr>
          <w:rFonts w:ascii="MS PGothic" w:cs="MS PGothic" w:eastAsia="MS PGothic" w:hAnsi="MS PGothic"/>
          <w:sz w:val="18"/>
          <w:szCs w:val="18"/>
          <w:color w:val="auto"/>
        </w:rPr>
        <w:t>‑</w:t>
      </w:r>
      <w:r>
        <w:rPr>
          <w:rFonts w:ascii="Arial" w:cs="Arial" w:eastAsia="Arial" w:hAnsi="Arial"/>
          <w:sz w:val="18"/>
          <w:szCs w:val="18"/>
          <w:color w:val="auto"/>
        </w:rPr>
        <w:t>takeover defenses could discourage, delay or prevent a transaction involving a change in control of our company and may prevent our shareholders from receiving the benefit from any premium to the market price of our Class A common shares offered by a bidder in a takeover context. Even in the absence of a takeover attempt, the existence of these provisions may adversely affect the prevailing market price of our Class A common shares if the provisions are viewed as discouraging takeover attempts in the future. These provisions could also discourage proxy contests, make it more difficult for our shareholders to elect directors of their choosing and cause us to take corporate actions other than those our shareholders desire.</w:t>
      </w:r>
    </w:p>
    <w:p>
      <w:pPr>
        <w:spacing w:after="0" w:line="20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shares in the foreseeable future, capital appreciation, if any, will be the sole source of gain for our shareholders.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never declared or paid cash dividends on our shares. We currently intend to retain all of our future earnings, if any, to finance the growth and development of our business. Additionally, the proposal to pay future dividends to shareholders will effectively be at the sole discretion of our board of directors after taking into account various factors our board of directors deems relevant, including our business prospects, capital requirements, financial performance and new product development. As a result, capital appreciation, if any, of our Class A common shares will be the sole source of gain for our shareholders for the foreseeable future.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Owning Shares in a Bermuda Exempted Company and Certain Tax Risks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a Bermuda company and it may be difficult for our shareholders to enforce judgments against us or our directors and executive officers.</w:t>
      </w:r>
    </w:p>
    <w:p>
      <w:pPr>
        <w:spacing w:after="0" w:line="170"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We are a Bermuda exempted company. As a result, the rights of holders of our Class A common shares will be governed by Bermuda law and our memorandum of association and amended and restated bye</w:t>
      </w:r>
      <w:r>
        <w:rPr>
          <w:rFonts w:ascii="MS PGothic" w:cs="MS PGothic" w:eastAsia="MS PGothic" w:hAnsi="MS PGothic"/>
          <w:sz w:val="18"/>
          <w:szCs w:val="18"/>
          <w:color w:val="auto"/>
        </w:rPr>
        <w:t>‑</w:t>
      </w:r>
      <w:r>
        <w:rPr>
          <w:rFonts w:ascii="Arial" w:cs="Arial" w:eastAsia="Arial" w:hAnsi="Arial"/>
          <w:sz w:val="18"/>
          <w:szCs w:val="18"/>
          <w:color w:val="auto"/>
        </w:rPr>
        <w:t>laws. The rights of shareholders under Bermuda law may differ from the rights of shareholders of companies incorporated in other jurisdictions. It may be difficult for investors to enforce in the United States judgments obtained in U.S. courts against us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206" w:lineRule="exact"/>
        <w:rPr>
          <w:sz w:val="20"/>
          <w:szCs w:val="20"/>
          <w:color w:val="auto"/>
        </w:rPr>
      </w:pPr>
    </w:p>
    <w:p>
      <w:pPr>
        <w:ind w:right="220"/>
        <w:spacing w:after="0" w:line="220" w:lineRule="exact"/>
        <w:rPr>
          <w:sz w:val="20"/>
          <w:szCs w:val="20"/>
          <w:color w:val="auto"/>
        </w:rPr>
      </w:pPr>
      <w:r>
        <w:rPr>
          <w:rFonts w:ascii="Arial" w:cs="Arial" w:eastAsia="Arial" w:hAnsi="Arial"/>
          <w:sz w:val="18"/>
          <w:szCs w:val="18"/>
          <w:b w:val="1"/>
          <w:bCs w:val="1"/>
          <w:i w:val="1"/>
          <w:iCs w:val="1"/>
          <w:color w:val="auto"/>
        </w:rPr>
        <w:t>Our amended and restated bye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laws designate the Supreme Court of Bermuda as the choice of jurisdiction for disputes that arise concerning the Bermuda Companies Act 1981, as amended, or the Companies Act, or out of or in connection with our amended and restated bye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laws, which could limit our shareholders’ ability to choose the judicial forum for disputes with us or our directors or officers.</w:t>
      </w:r>
    </w:p>
    <w:p>
      <w:pPr>
        <w:spacing w:after="0" w:line="204" w:lineRule="exact"/>
        <w:rPr>
          <w:sz w:val="20"/>
          <w:szCs w:val="20"/>
          <w:color w:val="auto"/>
        </w:rPr>
      </w:pPr>
    </w:p>
    <w:p>
      <w:pPr>
        <w:ind w:right="420" w:firstLine="648"/>
        <w:spacing w:after="0" w:line="224" w:lineRule="exact"/>
        <w:rPr>
          <w:sz w:val="20"/>
          <w:szCs w:val="20"/>
          <w:color w:val="auto"/>
        </w:rPr>
      </w:pPr>
      <w:r>
        <w:rPr>
          <w:rFonts w:ascii="Arial" w:cs="Arial" w:eastAsia="Arial" w:hAnsi="Arial"/>
          <w:sz w:val="16"/>
          <w:szCs w:val="16"/>
          <w:color w:val="auto"/>
        </w:rPr>
        <w:t>Our amended and restated bye</w:t>
      </w:r>
      <w:r>
        <w:rPr>
          <w:rFonts w:ascii="MS PGothic" w:cs="MS PGothic" w:eastAsia="MS PGothic" w:hAnsi="MS PGothic"/>
          <w:sz w:val="16"/>
          <w:szCs w:val="16"/>
          <w:color w:val="auto"/>
        </w:rPr>
        <w:t>‑</w:t>
      </w:r>
      <w:r>
        <w:rPr>
          <w:rFonts w:ascii="Arial" w:cs="Arial" w:eastAsia="Arial" w:hAnsi="Arial"/>
          <w:sz w:val="16"/>
          <w:szCs w:val="16"/>
          <w:color w:val="auto"/>
        </w:rPr>
        <w:t>laws provide that, unless we consent in writing to the selection of an alternative jurisdiction, any dispute that arises concerning the Companies Act, or out of or in connection with our amended and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20" w:lineRule="exact"/>
        <w:rPr>
          <w:sz w:val="20"/>
          <w:szCs w:val="20"/>
          <w:color w:val="auto"/>
        </w:rPr>
      </w:pPr>
      <w:r>
        <w:rPr>
          <w:rFonts w:ascii="Arial" w:cs="Arial" w:eastAsia="Arial" w:hAnsi="Arial"/>
          <w:sz w:val="18"/>
          <w:szCs w:val="18"/>
          <w:color w:val="auto"/>
        </w:rPr>
        <w:t>restated bye</w:t>
      </w:r>
      <w:r>
        <w:rPr>
          <w:rFonts w:ascii="MS PGothic" w:cs="MS PGothic" w:eastAsia="MS PGothic" w:hAnsi="MS PGothic"/>
          <w:sz w:val="18"/>
          <w:szCs w:val="18"/>
          <w:color w:val="auto"/>
        </w:rPr>
        <w:t>‑</w:t>
      </w:r>
      <w:r>
        <w:rPr>
          <w:rFonts w:ascii="Arial" w:cs="Arial" w:eastAsia="Arial" w:hAnsi="Arial"/>
          <w:sz w:val="18"/>
          <w:szCs w:val="18"/>
          <w:color w:val="auto"/>
        </w:rPr>
        <w:t>laws, including any question regarding the existence and scope of any bye</w:t>
      </w:r>
      <w:r>
        <w:rPr>
          <w:rFonts w:ascii="MS PGothic" w:cs="MS PGothic" w:eastAsia="MS PGothic" w:hAnsi="MS PGothic"/>
          <w:sz w:val="18"/>
          <w:szCs w:val="18"/>
          <w:color w:val="auto"/>
        </w:rPr>
        <w:t>‑</w:t>
      </w:r>
      <w:r>
        <w:rPr>
          <w:rFonts w:ascii="Arial" w:cs="Arial" w:eastAsia="Arial" w:hAnsi="Arial"/>
          <w:sz w:val="18"/>
          <w:szCs w:val="18"/>
          <w:color w:val="auto"/>
        </w:rPr>
        <w:t>law or whether there has been a breach of the Companies Act or the amended and restated bye</w:t>
      </w:r>
      <w:r>
        <w:rPr>
          <w:rFonts w:ascii="MS PGothic" w:cs="MS PGothic" w:eastAsia="MS PGothic" w:hAnsi="MS PGothic"/>
          <w:sz w:val="18"/>
          <w:szCs w:val="18"/>
          <w:color w:val="auto"/>
        </w:rPr>
        <w:t>‑</w:t>
      </w:r>
      <w:r>
        <w:rPr>
          <w:rFonts w:ascii="Arial" w:cs="Arial" w:eastAsia="Arial" w:hAnsi="Arial"/>
          <w:sz w:val="18"/>
          <w:szCs w:val="18"/>
          <w:color w:val="auto"/>
        </w:rPr>
        <w:t>laws by any of our officers or directors (whether or not such a claim is brought in the name of a shareholder or in the name of our company) shall be subject to the jurisdiction of the Supreme Court of Bermuda.</w:t>
      </w:r>
    </w:p>
    <w:p>
      <w:pPr>
        <w:spacing w:after="0" w:line="204" w:lineRule="exact"/>
        <w:rPr>
          <w:sz w:val="20"/>
          <w:szCs w:val="20"/>
          <w:color w:val="auto"/>
        </w:rPr>
      </w:pPr>
    </w:p>
    <w:p>
      <w:pPr>
        <w:ind w:right="240" w:firstLine="648"/>
        <w:spacing w:after="0" w:line="219" w:lineRule="exact"/>
        <w:rPr>
          <w:sz w:val="20"/>
          <w:szCs w:val="20"/>
          <w:color w:val="auto"/>
        </w:rPr>
      </w:pPr>
      <w:r>
        <w:rPr>
          <w:rFonts w:ascii="Arial" w:cs="Arial" w:eastAsia="Arial" w:hAnsi="Arial"/>
          <w:sz w:val="17"/>
          <w:szCs w:val="17"/>
          <w:color w:val="auto"/>
        </w:rPr>
        <w:t>Any person or entity purchasing or otherwise acquiring any interest in any of our shares shall be deemed to have notice of and consented to this provision. This choice of jurisdiction provision may limit a shareholder’s ability to bring a claim in a judicial forum of its choosing for disputes with us or our directors or officers, which may discourage lawsuits against us and our directors and officers. If a court were to find either choice of jurisdiction provision in our amended and restated bye</w:t>
      </w:r>
      <w:r>
        <w:rPr>
          <w:rFonts w:ascii="MS PGothic" w:cs="MS PGothic" w:eastAsia="MS PGothic" w:hAnsi="MS PGothic"/>
          <w:sz w:val="17"/>
          <w:szCs w:val="17"/>
          <w:color w:val="auto"/>
        </w:rPr>
        <w:t>‑</w:t>
      </w:r>
      <w:r>
        <w:rPr>
          <w:rFonts w:ascii="Arial" w:cs="Arial" w:eastAsia="Arial" w:hAnsi="Arial"/>
          <w:sz w:val="17"/>
          <w:szCs w:val="17"/>
          <w:color w:val="auto"/>
        </w:rPr>
        <w:t>laws to be inapplicable or unenforceable in an action, we may incur additional costs associated with resolving the dispute in other jurisdictions, which could harm our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Bermuda law differs from the laws in effect in the United States and may afford less protection to our shareholders.</w:t>
      </w:r>
    </w:p>
    <w:p>
      <w:pPr>
        <w:spacing w:after="0" w:line="248"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We are organized under the laws of Bermuda. As a result, our corporate affairs are governed by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 not available under Bermuda law.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w:t>
      </w:r>
      <w:r>
        <w:rPr>
          <w:rFonts w:ascii="MS PGothic" w:cs="MS PGothic" w:eastAsia="MS PGothic" w:hAnsi="MS PGothic"/>
          <w:sz w:val="16"/>
          <w:szCs w:val="16"/>
          <w:color w:val="auto"/>
        </w:rPr>
        <w:t>‑</w:t>
      </w:r>
      <w:r>
        <w:rPr>
          <w:rFonts w:ascii="Arial" w:cs="Arial" w:eastAsia="Arial" w:hAnsi="Arial"/>
          <w:sz w:val="16"/>
          <w:szCs w:val="16"/>
          <w:color w:val="auto"/>
        </w:rPr>
        <w:t>laws. Furthermore, consideration would be given by a Bermuda court to acts that are alleged to constitute a fraud against the minority shareholders or, for instance, where an act requires the approval of a greater percentage of the company’s shareholders than those who actually approved it.</w:t>
      </w:r>
    </w:p>
    <w:p>
      <w:pPr>
        <w:spacing w:after="0" w:line="205"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amended and restated bye</w:t>
      </w:r>
      <w:r>
        <w:rPr>
          <w:rFonts w:ascii="MS PGothic" w:cs="MS PGothic" w:eastAsia="MS PGothic" w:hAnsi="MS PGothic"/>
          <w:sz w:val="16"/>
          <w:szCs w:val="16"/>
          <w:color w:val="auto"/>
        </w:rPr>
        <w:t>‑</w:t>
      </w:r>
      <w:r>
        <w:rPr>
          <w:rFonts w:ascii="Arial" w:cs="Arial" w:eastAsia="Arial" w:hAnsi="Arial"/>
          <w:sz w:val="16"/>
          <w:szCs w:val="16"/>
          <w:color w:val="auto"/>
        </w:rPr>
        <w:t>laws and as permitted by Bermuda law, each shareholder has waived any claim or right of action against our directors or officers for any action taken by directors or officers in the performance of their duties, except for actions involving fraud or dishonesty. In addition, the rights of our shareholders and the fiduciary responsibilities of our directors under Bermuda law are not as clearly established as under statutes or judicial precedent in existence in jurisdictions in the United States, particularly the State of Delaware. Therefore, our shareholders may have more difficulty protecting their interests than would shareholders of a corporation incorporated in a jurisdiction within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regulatory limitations on the ownership and transfer of our common shares.</w:t>
      </w:r>
    </w:p>
    <w:p>
      <w:pPr>
        <w:spacing w:after="0" w:line="225"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Common shares may be offered or sold in Bermuda only in compliance with the provisions of the Companies Act and the Bermuda Investment Business Act 2003, as amended, which regulates the sale of securities in Bermuda. In addition, the Bermuda Monetary Authority must approve all issues and transfers of shares of a Bermuda exempted company. However, the Bermuda Monetary Authority has, pursuant to its statement of June 1, 2005, given its general permission under the Exchange Control Act 1972 and related regulations for the issue and free transfer of our common shares to and among persons who are non</w:t>
      </w:r>
      <w:r>
        <w:rPr>
          <w:rFonts w:ascii="MS PGothic" w:cs="MS PGothic" w:eastAsia="MS PGothic" w:hAnsi="MS PGothic"/>
          <w:sz w:val="17"/>
          <w:szCs w:val="17"/>
          <w:color w:val="auto"/>
        </w:rPr>
        <w:t>‑</w:t>
      </w:r>
      <w:r>
        <w:rPr>
          <w:rFonts w:ascii="Arial" w:cs="Arial" w:eastAsia="Arial" w:hAnsi="Arial"/>
          <w:sz w:val="17"/>
          <w:szCs w:val="17"/>
          <w:color w:val="auto"/>
        </w:rPr>
        <w:t>residents of Bermuda for exchange control purposes as long as the shares are listed on an appointed shares exchange, which includes Nasdaq. This general permission would cease to apply if we were to cease to be listed on Nasdaq.</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unanticipated tax liabilities.</w:t>
      </w:r>
    </w:p>
    <w:p>
      <w:pPr>
        <w:spacing w:after="0" w:line="225" w:lineRule="exact"/>
        <w:rPr>
          <w:sz w:val="20"/>
          <w:szCs w:val="20"/>
          <w:color w:val="auto"/>
        </w:rPr>
      </w:pPr>
    </w:p>
    <w:p>
      <w:pPr>
        <w:ind w:right="100" w:firstLine="648"/>
        <w:spacing w:after="0" w:line="220" w:lineRule="exact"/>
        <w:rPr>
          <w:sz w:val="20"/>
          <w:szCs w:val="20"/>
          <w:color w:val="auto"/>
        </w:rPr>
      </w:pPr>
      <w:r>
        <w:rPr>
          <w:rFonts w:ascii="Arial" w:cs="Arial" w:eastAsia="Arial" w:hAnsi="Arial"/>
          <w:sz w:val="17"/>
          <w:szCs w:val="17"/>
          <w:color w:val="auto"/>
        </w:rPr>
        <w:t>Although we are incorporated under the laws of Bermuda, we may become subject to income, withholding or other taxes in certain other jurisdictions by reason of our activities and operations, and it is also possible that taxing authorities in any such jurisdictions could assert that we are subject to greater taxation than we currently anticipate. Any such non</w:t>
      </w:r>
      <w:r>
        <w:rPr>
          <w:rFonts w:ascii="MS PGothic" w:cs="MS PGothic" w:eastAsia="MS PGothic" w:hAnsi="MS PGothic"/>
          <w:sz w:val="17"/>
          <w:szCs w:val="17"/>
          <w:color w:val="auto"/>
        </w:rPr>
        <w:t>‑</w:t>
      </w:r>
      <w:r>
        <w:rPr>
          <w:rFonts w:ascii="Arial" w:cs="Arial" w:eastAsia="Arial" w:hAnsi="Arial"/>
          <w:sz w:val="17"/>
          <w:szCs w:val="17"/>
          <w:color w:val="auto"/>
        </w:rPr>
        <w:t>Bermudan tax liability could materially adversely affect our results of operations.</w:t>
      </w:r>
    </w:p>
    <w:p>
      <w:pPr>
        <w:spacing w:after="0" w:line="20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Taxing authorities could reallocate our taxable income among our subsidiaries, which could increase our overall tax liability.</w:t>
      </w:r>
    </w:p>
    <w:p>
      <w:pPr>
        <w:spacing w:after="0" w:line="17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are incorporated under the laws of Bermuda and currently have subsidiaries in the United States, the United Kingdom, Germany and France. If we succeed in growing our business, we expect to conduct increased operations through our subsidiaries in various tax jurisdictions subject to transfer pricing arrangements between us and such subsidiaries. If two or more affiliated companies are located in different countries, the tax laws or regulations of each country generally will require that transfer prices be the same as those between unrelated companies dealing at arms’ length and that appropriate documentation is maintained to support the transfer prices. While we believe that we operate in compliance with applicable transfer pricing laws and intend to continue to do so, our transfer pricing procedures are not binding on applicable tax authorities.</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 In addition, if the country from which the income is reallocated does not agree with the reallocation, both countries could tax the same income, resulting in double taxation. If tax authorities were to allocate income to a higher tax jurisdiction, subject our income to double taxation or assess interest and penalties, it would increase our consolidated tax liability, which could adversely affect our financial condition, results of operations and cash flows.</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Changes in laws related to tax practices and substance requirements in Bermuda and other jurisdictions could adversely affect our operations.</w:t>
      </w:r>
    </w:p>
    <w:p>
      <w:pPr>
        <w:spacing w:after="0" w:line="170"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Our tax position could be adversely impacted by changes in tax rates, tax laws, tax practice, tax treaties or tax regulations or changes in the interpretation thereof by the tax authorities in Europe (including the United Kingdom), the United States, Bermuda and other jurisdictions, as well as being affected by certain changes currently proposed by the Organization for Economic Co</w:t>
      </w:r>
      <w:r>
        <w:rPr>
          <w:rFonts w:ascii="MS PGothic" w:cs="MS PGothic" w:eastAsia="MS PGothic" w:hAnsi="MS PGothic"/>
          <w:sz w:val="17"/>
          <w:szCs w:val="17"/>
          <w:color w:val="auto"/>
        </w:rPr>
        <w:t>‑</w:t>
      </w:r>
      <w:r>
        <w:rPr>
          <w:rFonts w:ascii="Arial" w:cs="Arial" w:eastAsia="Arial" w:hAnsi="Arial"/>
          <w:sz w:val="17"/>
          <w:szCs w:val="17"/>
          <w:color w:val="auto"/>
        </w:rPr>
        <w:t>operation and Development and their action plan on Base Erosion and Profit Shifting. Such changes may become more likely as a result of recent economic trends in the jurisdictions in which we operate, particularly if such trends continue. If such a situation was to arise, it could adversely impact our tax position and our effective tax rate. Failure to manage the risks associated with such changes, or misinterpretation of the laws providing such changes, could result in costly audits, interest, penalties and reputational damage, which could adversely affect our business, results of operations and our financial condition.</w:t>
      </w:r>
    </w:p>
    <w:p>
      <w:pPr>
        <w:spacing w:after="0" w:line="20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actual effective tax rate may vary from our expectation and that variance may be material. A number of factors may increase our future effective tax rates, including:</w:t>
      </w:r>
    </w:p>
    <w:p>
      <w:pPr>
        <w:spacing w:after="0" w:line="170" w:lineRule="exact"/>
        <w:rPr>
          <w:sz w:val="20"/>
          <w:szCs w:val="20"/>
          <w:color w:val="auto"/>
        </w:rPr>
      </w:pPr>
    </w:p>
    <w:p>
      <w:pPr>
        <w:ind w:left="980" w:hanging="329"/>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jurisdictions in which profits are determined to be earned and taxed;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resolution of issues arising from any future tax audits with various tax authorities;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980" w:right="820" w:hanging="329"/>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to and increases in expenses not deductible for tax purposes, including transaction costs and impairments of goodwill in connection with acquisitions;</w:t>
      </w:r>
    </w:p>
    <w:p>
      <w:pPr>
        <w:spacing w:after="0" w:line="170"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the taxation of share</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620" w:hanging="329"/>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in tax laws or the interpretation of such tax laws, and changes in generally accepted accounting principles;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challenges to the transfer pricing policies related to our structure.</w:t>
      </w:r>
    </w:p>
    <w:p>
      <w:pPr>
        <w:spacing w:after="0" w:line="22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In late 2017, the EU Economic and Financial Affairs Council, or ECOFIN, released a list of non-cooperative jurisdictions for tax purposes. The stated aim of this list, and accompanying report, was to promote the EU’s view for good governance worldwide in order to maximize efforts to prevent tax fraud and tax evasion. While Bermuda was not on the original EU list of non-cooperative jurisdictions, it committed to address EU concerns relating to economic substance by December 31, 2018. In accordance with that commitment, Bermuda enacted the Economic Substance Act 2018, or the Substance Act, requiring certain entities in Bermuda engaged in “relevant activities” to maintain a substantial economic presence in Bermuda and to satisfy economic substance requirements commencing as of July 1, 2019. The list of “relevant activities” includes carrying on as a business in any one or more of: banking, insurance, fund management, financing, leasing, headquarters, shipping, distribution and service center, intellectual property and holding entities. Under the Substance Act, any entity that must satisfy economic substance requirements but fails to do so could face automatic disclosure to competent authorities in the EU of the information filed by the entity with the Bermuda Registrar of Companies in connection with the economic substance requirements and may also face financial penalties, restriction or regulation of its business activities or may be struck as a registered entity in Bermuda. Based on the results of our operations and guidance notes published by the Bermuda Minister of Finance on December 24, 2019, we believe that we are not currently in scope of the Substance Act as we do not believe we currently earn gross income from a “relevant activity,” which is a condition to the application of the Substance Act. We will continue to monitor our status with respect to the Substance Act based on our results of operations, and may become subject to the Substance Act in future.</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believe we will likely be classified as a passive foreign investment company for U.S. federal income tax purposes for the year ended December 31, 2019, which could result in adverse U.S. federal income tax consequences to U.S. investors in our common shares.</w:t>
      </w:r>
    </w:p>
    <w:p>
      <w:pPr>
        <w:spacing w:after="0" w:line="181" w:lineRule="exact"/>
        <w:rPr>
          <w:sz w:val="20"/>
          <w:szCs w:val="20"/>
          <w:color w:val="auto"/>
        </w:rPr>
      </w:pPr>
    </w:p>
    <w:p>
      <w:pPr>
        <w:ind w:firstLine="648"/>
        <w:spacing w:after="0" w:line="220" w:lineRule="exact"/>
        <w:rPr>
          <w:sz w:val="20"/>
          <w:szCs w:val="20"/>
          <w:color w:val="auto"/>
        </w:rPr>
      </w:pPr>
      <w:r>
        <w:rPr>
          <w:rFonts w:ascii="Arial" w:cs="Arial" w:eastAsia="Arial" w:hAnsi="Arial"/>
          <w:sz w:val="16"/>
          <w:szCs w:val="16"/>
          <w:color w:val="auto"/>
        </w:rPr>
        <w:t>Because we did not earn revenue from our business operations for the year ended December 31, 2019, and because our sole source of income has been and currently is interest on bank accounts held by us, we believe we will be classified as a “passive foreign investment company,” or PFIC, for the taxable year ended December 31, 2019. A non</w:t>
      </w:r>
      <w:r>
        <w:rPr>
          <w:rFonts w:ascii="MS PGothic" w:cs="MS PGothic" w:eastAsia="MS PGothic" w:hAnsi="MS PGothic"/>
          <w:sz w:val="16"/>
          <w:szCs w:val="16"/>
          <w:color w:val="auto"/>
        </w:rPr>
        <w:t>‑</w:t>
      </w:r>
      <w:r>
        <w:rPr>
          <w:rFonts w:ascii="Arial" w:cs="Arial" w:eastAsia="Arial" w:hAnsi="Arial"/>
          <w:sz w:val="16"/>
          <w:szCs w:val="16"/>
          <w:color w:val="auto"/>
        </w:rPr>
        <w:t>U.S. company will be considered a PFIC for any taxable year if (i) at least 75% of its gross income is passive income (including interest income), or</w:t>
      </w:r>
    </w:p>
    <w:p>
      <w:pPr>
        <w:spacing w:after="0" w:line="2" w:lineRule="exact"/>
        <w:rPr>
          <w:sz w:val="20"/>
          <w:szCs w:val="20"/>
          <w:color w:val="auto"/>
        </w:rPr>
      </w:pPr>
    </w:p>
    <w:p>
      <w:pPr>
        <w:ind w:right="100" w:firstLine="3"/>
        <w:spacing w:after="0" w:line="288" w:lineRule="auto"/>
        <w:tabs>
          <w:tab w:leader="none" w:pos="265" w:val="left"/>
        </w:tabs>
        <w:numPr>
          <w:ilvl w:val="0"/>
          <w:numId w:val="66"/>
        </w:numPr>
        <w:rPr>
          <w:rFonts w:ascii="Arial" w:cs="Arial" w:eastAsia="Arial" w:hAnsi="Arial"/>
          <w:sz w:val="16"/>
          <w:szCs w:val="16"/>
          <w:color w:val="auto"/>
        </w:rPr>
      </w:pPr>
      <w:r>
        <w:rPr>
          <w:rFonts w:ascii="Arial" w:cs="Arial" w:eastAsia="Arial" w:hAnsi="Arial"/>
          <w:sz w:val="16"/>
          <w:szCs w:val="16"/>
          <w:color w:val="auto"/>
        </w:rPr>
        <w:t>at least 50% of the value of its assets (based on an average of the quarterly values of the assets during a taxable year) is attributable to assets that produce or are held for the production of passive income. If we are classified as a PFIC in any year with respect to which a U.S. Holder owns our Class A common shares, we will continue to be treated as a PFIC with respect to such U.S. Holder in all succeeding years during which the U.S. Holder owns the Class A common shares, regardless of whether we continue to meet the PFIC test described above, unless the U.S. Holder makes or has made a “qualified electing fund” election or a “mark-to-market” election and we cease to be a PFIC. A “U.S. Holder” is a beneficial owner of our Class A common shares that, for U.S. federal income tax purposes, is or is treated as any of the following:</w:t>
      </w:r>
    </w:p>
    <w:p>
      <w:pPr>
        <w:spacing w:after="0" w:line="168" w:lineRule="exact"/>
        <w:rPr>
          <w:rFonts w:ascii="Arial" w:cs="Arial" w:eastAsia="Arial" w:hAnsi="Arial"/>
          <w:sz w:val="16"/>
          <w:szCs w:val="16"/>
          <w:color w:val="auto"/>
        </w:rPr>
      </w:pPr>
    </w:p>
    <w:p>
      <w:pPr>
        <w:ind w:left="980" w:hanging="329"/>
        <w:spacing w:after="0"/>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980" w:right="500" w:hanging="329"/>
        <w:spacing w:after="0" w:line="277" w:lineRule="auto"/>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ind w:left="980" w:hanging="329"/>
        <w:spacing w:after="0" w:line="259" w:lineRule="auto"/>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trust that (i) is subject to the supervision of a U.S. court and all substantial decisions of which are subject to the control of one or more “United States persons” (within the meaning of Section 7701(a)(30) of the U.S. Internal Revenue Code of 1986, as amended), or (ii) has a valid election in effect to be treated as a United States person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If we are classified as a PFIC for any taxable year during which a U.S. Holder holds our Class A common shares, certain adverse U.S. federal income tax consequences could apply to such U.S. Holder, including (i) the treatment as ordinary income of all or a portion of any gain realized on a disposition of our shares and on the receipt of distributions on our shares to the extent such gain or distribution is treated as an “excess distribution”, (ii) the application of a deferred interest charge on such gain and distributions and (iii) the obligation to comply with certain reporting requirements.</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a U.S. Holder is treated as owning at least 10% of our shares, by vote or by value, such holder may be subject to adverse U.S. federal income tax consequences.</w:t>
      </w:r>
    </w:p>
    <w:p>
      <w:pPr>
        <w:spacing w:after="0" w:line="170"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We believe we will likely be classified as a controlled foreign corporation for the taxable year ended December 31, 2019. Even if we were not classified as a controlled foreign corporation, because our group includes one or more U.S. subsidiaries, certain of our non</w:t>
      </w:r>
      <w:r>
        <w:rPr>
          <w:rFonts w:ascii="MS PGothic" w:cs="MS PGothic" w:eastAsia="MS PGothic" w:hAnsi="MS PGothic"/>
          <w:sz w:val="17"/>
          <w:szCs w:val="17"/>
          <w:color w:val="auto"/>
        </w:rPr>
        <w:t>‑</w:t>
      </w:r>
      <w:r>
        <w:rPr>
          <w:rFonts w:ascii="Arial" w:cs="Arial" w:eastAsia="Arial" w:hAnsi="Arial"/>
          <w:sz w:val="17"/>
          <w:szCs w:val="17"/>
          <w:color w:val="auto"/>
        </w:rPr>
        <w:t>U.S. subsidiaries could be treated as controlled foreign corporations. If a U.S. Holder is treated as owning (directly, indirectly or constructively) at least 10% of the value or voting power of common shares, such U.S. Holder may be treated as a “United States shareholder” with respect to us (if we are classified as a controlled foreign corporation) and each controlled foreign corporation in our group (if any). A United States shareholder of a controlled foreign corporation may be required to annually report and include in its U.S. taxable income its pro rata share of “Subpart F income,” “global intangible low</w:t>
      </w:r>
      <w:r>
        <w:rPr>
          <w:rFonts w:ascii="MS PGothic" w:cs="MS PGothic" w:eastAsia="MS PGothic" w:hAnsi="MS PGothic"/>
          <w:sz w:val="17"/>
          <w:szCs w:val="17"/>
          <w:color w:val="auto"/>
        </w:rPr>
        <w:t>‑</w:t>
      </w:r>
      <w:r>
        <w:rPr>
          <w:rFonts w:ascii="Arial" w:cs="Arial" w:eastAsia="Arial" w:hAnsi="Arial"/>
          <w:sz w:val="17"/>
          <w:szCs w:val="17"/>
          <w:color w:val="auto"/>
        </w:rPr>
        <w:t>taxed income,” or GILTI, and investments in U.S. property by such controlled foreign corporation, regardless of whether such corporation makes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such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such investor is treated as a United States shareholder with respect to us or any of our non-U.S. subsidiaries. Further, we cannot provide any assurances that we will furnish to any United States shareholders information that may be necessary to comply with the reporting and tax paying obligations discussed above. U.S. Holders should consult their tax advisors regarding the potential application of these rules to any investment in our Class A common shares.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2017, the U.S. government enacted comprehensive tax legislation, known as the Tax Cuts and Jobs Act, or the TCJA, that included significant changes to the taxation of business entities. The TCJA remains unclear in many respects and has been, and may continue to be, the subject of amendments and technical corrections, as well as interpretations and implementing regulations by the Treasury and Internal Revenue Service, which have lessened or increased certain adverse impacts of the TCJA and may do so in the future. We continue to examine the impact this the TCJA may have on our business. The effect of the TCJA on our business, whether adverse or favorable, is uncertain, and may not become evident for some period of time. Holders of our shares should consult with their legal and tax advisors regarding the TCJA, and any other such legislation, and the potential tax consequences of investing in our shares.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Our U.S. headquarters are located in Lexington, Massachusetts, where Kiniksa US has leased approximately 55,924 square feet of office and laboratory space, under a lease which expires in July 2021. Kiniksa US has also leased approximately 4,400 square feet of office space in San Diego, California which expires in December 2020. We believe that our offices are sufficient to meet our current needs and that suitable additional space will be available as and when needed.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not party to any material legal proceedings.</w:t>
      </w:r>
    </w:p>
    <w:p>
      <w:pPr>
        <w:spacing w:after="0" w:line="35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 AND DIRECTOR BIOGRAPHIES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of the Registrant</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Sanj K. Patel </w:t>
      </w:r>
      <w:r>
        <w:rPr>
          <w:rFonts w:ascii="Arial" w:cs="Arial" w:eastAsia="Arial" w:hAnsi="Arial"/>
          <w:sz w:val="17"/>
          <w:szCs w:val="17"/>
          <w:color w:val="auto"/>
        </w:rPr>
        <w:t>has served as our Chief Executive Officer and Chairman of our Board of Directors since our 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in July 2015. In June 2008, Mr. Patel formed Synageva BioPharma Corp., or Synageva, a biotechnology company focused on rare diseases, where he served as President and Chief Executive Officer and was a member of its board of directors until Synageva’s sale to Alexion Pharmaceuticals, Inc., or Alexion, in June 2015. Prior to Synageva, Mr. Patel held various roles at Genzyme Corporation, or Genzyme, from 1999 to 2008, most recently as head of U.S. Sales, Marketing and Commercial Operations for the Genzyme Therapeutics franchise. Mr. Patel previously served as a member of the boards of directors of Syros Pharmaceuticals, Inc., BioCryst Pharmaceuticals, Inc., and Intercept Pharmaceuticals, Inc. He is also the founder and director of the Sanj K. Patel and Family Foundation, a philanthropic organization that supports charities for patients with rare and devastating diseases. Mr. Patel holds a B.Sc. with Honors from the University of the South Bank, London and completed his management and business studies at Ealing College, London and his Pharmacology research program at the Wellcome Foundation.</w:t>
      </w:r>
    </w:p>
    <w:p>
      <w:pPr>
        <w:spacing w:after="0" w:line="183"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i w:val="1"/>
          <w:iCs w:val="1"/>
          <w:color w:val="auto"/>
        </w:rPr>
        <w:t>Felix J. Baker, Ph.D.</w:t>
      </w:r>
      <w:r>
        <w:rPr>
          <w:rFonts w:ascii="Arial" w:cs="Arial" w:eastAsia="Arial" w:hAnsi="Arial"/>
          <w:sz w:val="17"/>
          <w:szCs w:val="17"/>
          <w:color w:val="auto"/>
        </w:rPr>
        <w:t>, has served as our Lead Independent Director and on our Board of Directors since October</w:t>
      </w:r>
      <w:r>
        <w:rPr>
          <w:rFonts w:ascii="Arial" w:cs="Arial" w:eastAsia="Arial" w:hAnsi="Arial"/>
          <w:sz w:val="17"/>
          <w:szCs w:val="17"/>
          <w:i w:val="1"/>
          <w:iCs w:val="1"/>
          <w:color w:val="auto"/>
        </w:rPr>
        <w:t xml:space="preserve"> </w:t>
      </w:r>
      <w:r>
        <w:rPr>
          <w:rFonts w:ascii="Arial" w:cs="Arial" w:eastAsia="Arial" w:hAnsi="Arial"/>
          <w:sz w:val="17"/>
          <w:szCs w:val="17"/>
          <w:color w:val="auto"/>
        </w:rPr>
        <w:t>2015. Dr. Baker is Co-Managing Member of Baker Bros. Advisors LP, a registered investment adviser focused on long-term investments in life-sciences companies, or Baker Bros. Advisors. Dr. Baker and his brother, Julian Baker, started their fund management careers in 1994 when they co-founded a biotechnology investing partnership with the Tisch Family. In 2000, they founded Baker Bros. Advisors. Dr. Baker currently serves on the boards of directors of Alexion, Seattle Genetics, Inc., and Kodiak Sciences Inc., or Kodiak Sciences, and previously served on the board of directors of Genomic Health, Inc., or Genomic Health, and Synageva. Dr. Baker holds a B.S. and a Ph.D. in Immunology from Stanford University, where he also completed two years of medical school.</w:t>
      </w:r>
    </w:p>
    <w:p>
      <w:pPr>
        <w:spacing w:after="0" w:line="1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Stephen R. Biggar, M.D., Ph.D.</w:t>
      </w:r>
      <w:r>
        <w:rPr>
          <w:rFonts w:ascii="Arial" w:cs="Arial" w:eastAsia="Arial" w:hAnsi="Arial"/>
          <w:sz w:val="18"/>
          <w:szCs w:val="18"/>
          <w:color w:val="auto"/>
        </w:rPr>
        <w:t>, has served as a member of our Board of Directors since October 2015. Dr. Biggar is</w:t>
      </w:r>
      <w:r>
        <w:rPr>
          <w:rFonts w:ascii="Arial" w:cs="Arial" w:eastAsia="Arial" w:hAnsi="Arial"/>
          <w:sz w:val="18"/>
          <w:szCs w:val="18"/>
          <w:i w:val="1"/>
          <w:iCs w:val="1"/>
          <w:color w:val="auto"/>
        </w:rPr>
        <w:t xml:space="preserve"> </w:t>
      </w:r>
      <w:r>
        <w:rPr>
          <w:rFonts w:ascii="Arial" w:cs="Arial" w:eastAsia="Arial" w:hAnsi="Arial"/>
          <w:sz w:val="18"/>
          <w:szCs w:val="18"/>
          <w:color w:val="auto"/>
        </w:rPr>
        <w:t>a Partner at Baker Bros. Advisors. Dr. Biggar joined Baker Bros. Advisors in 2000. Dr. Biggar is currently chairman of the board of directors of ACADIA Pharmaceuticals Inc. and previously served on the board of directors of Synageva. Dr. Biggar received an M.D. and a Ph.D. in Immunology from Stanford University and a B.S. in Genetics from the University of Rochester.</w:t>
      </w:r>
    </w:p>
    <w:p>
      <w:pPr>
        <w:spacing w:after="0" w:line="18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i w:val="1"/>
          <w:iCs w:val="1"/>
          <w:color w:val="auto"/>
        </w:rPr>
        <w:t xml:space="preserve">Richard S. Levy, M.D. </w:t>
      </w:r>
      <w:r>
        <w:rPr>
          <w:rFonts w:ascii="Arial" w:cs="Arial" w:eastAsia="Arial" w:hAnsi="Arial"/>
          <w:sz w:val="17"/>
          <w:szCs w:val="17"/>
          <w:color w:val="auto"/>
        </w:rPr>
        <w:t>has served on our Board of Directors since March 2019. Dr. Levy served as a Senior Advisor</w:t>
      </w:r>
      <w:r>
        <w:rPr>
          <w:rFonts w:ascii="Arial" w:cs="Arial" w:eastAsia="Arial" w:hAnsi="Arial"/>
          <w:sz w:val="17"/>
          <w:szCs w:val="17"/>
          <w:i w:val="1"/>
          <w:iCs w:val="1"/>
          <w:color w:val="auto"/>
        </w:rPr>
        <w:t xml:space="preserve"> </w:t>
      </w:r>
      <w:r>
        <w:rPr>
          <w:rFonts w:ascii="Arial" w:cs="Arial" w:eastAsia="Arial" w:hAnsi="Arial"/>
          <w:sz w:val="17"/>
          <w:szCs w:val="17"/>
          <w:color w:val="auto"/>
        </w:rPr>
        <w:t>at Baker Bros. Advisors from December 2016 to May 2019. Prior to that, Dr. Levy served as Executive Vice President and Chief Drug Development Officer at lncyte Corporation, a biopharmaceutical company, from January 2009 until June 2016, and as Senior Vice President of Drug Development from August 2003 to January 2009. Dr. Levy currently serves on the boards of directors of Madrigal Pharmaceuticals, Inc., ArTara Therapeutics, Inc. and Kodiak Sciences, and previously served on the board of directors of Aquinox Pharmaceuticals, Inc. Dr. Levy is Board Certified in Internal Medicine and Gastroenterology and holds an A.B. in Biology from Brown University and an M.D. from the University of Pennsylvania School of Medicine, and completed his training in Internal Medicine at the Hospital of the University of Pennsylvania and a fellowship in Gastroenterology and Hepatology at UCLA.</w:t>
      </w:r>
    </w:p>
    <w:p>
      <w:pPr>
        <w:spacing w:after="0" w:line="18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Thomas R. Malley </w:t>
      </w:r>
      <w:r>
        <w:rPr>
          <w:rFonts w:ascii="Arial" w:cs="Arial" w:eastAsia="Arial" w:hAnsi="Arial"/>
          <w:sz w:val="17"/>
          <w:szCs w:val="17"/>
          <w:color w:val="auto"/>
        </w:rPr>
        <w:t>has served as a member of our Board of Directors since December 2016. Since May 2007, Mr.</w:t>
      </w:r>
      <w:r>
        <w:rPr>
          <w:rFonts w:ascii="Arial" w:cs="Arial" w:eastAsia="Arial" w:hAnsi="Arial"/>
          <w:sz w:val="17"/>
          <w:szCs w:val="17"/>
          <w:i w:val="1"/>
          <w:iCs w:val="1"/>
          <w:color w:val="auto"/>
        </w:rPr>
        <w:t xml:space="preserve"> </w:t>
      </w:r>
      <w:r>
        <w:rPr>
          <w:rFonts w:ascii="Arial" w:cs="Arial" w:eastAsia="Arial" w:hAnsi="Arial"/>
          <w:sz w:val="17"/>
          <w:szCs w:val="17"/>
          <w:color w:val="auto"/>
        </w:rPr>
        <w:t>Malley has served as the President of Mossrock Capital, LLC, a private investment firm. Mr. Malley serves on the boards of directors of BeiGene, Ltd. and Kura Oncology, Inc., and previously served on the boards of directors of OvaScience, Inc., Cougar Biotechnology, Inc., Puma Biotechnology, Inc. and Synageva. Mr. Malley holds a B.S. degree in Biology from Stanford University. Mr. Malley is also a Chartered Financial Analyst.</w:t>
      </w:r>
    </w:p>
    <w:p>
      <w:pPr>
        <w:spacing w:after="0" w:line="17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Tracey L. McCain </w:t>
      </w:r>
      <w:r>
        <w:rPr>
          <w:rFonts w:ascii="Arial" w:cs="Arial" w:eastAsia="Arial" w:hAnsi="Arial"/>
          <w:sz w:val="18"/>
          <w:szCs w:val="18"/>
          <w:color w:val="auto"/>
        </w:rPr>
        <w:t>has served as a member of our Board of Directors since February 2018. Since September 2016,</w:t>
      </w:r>
      <w:r>
        <w:rPr>
          <w:rFonts w:ascii="Arial" w:cs="Arial" w:eastAsia="Arial" w:hAnsi="Arial"/>
          <w:sz w:val="18"/>
          <w:szCs w:val="18"/>
          <w:i w:val="1"/>
          <w:iCs w:val="1"/>
          <w:color w:val="auto"/>
        </w:rPr>
        <w:t xml:space="preserve"> </w:t>
      </w:r>
      <w:r>
        <w:rPr>
          <w:rFonts w:ascii="Arial" w:cs="Arial" w:eastAsia="Arial" w:hAnsi="Arial"/>
          <w:sz w:val="18"/>
          <w:szCs w:val="18"/>
          <w:color w:val="auto"/>
        </w:rPr>
        <w:t>Ms. McCain has served as Executive Vice President and Chief Legal and Compliance Officer of Blueprint Medicine Corporation, or Blueprint, a biotechnology company. Prior to Blueprint, from January 2016 to September 2016, Ms. McCain was Senior Vice President and Head of Legal for Sanofi Genzyme, a global business unit of Sanofi S.A., or Sanofi. From May 1997 to September 2016, Ms. McCain held various roles at Genzyme, including as General Counsel following Genzyme’s acquisition by Sanofi in 2011. Ms. McCain holds a J.D. from Columbia University School of Law and a B.A. from the University of Pennsylvania.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4" w:name="page115"/>
    <w:bookmarkEnd w:id="1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 xml:space="preserve">Kimberly J. Popovits </w:t>
      </w:r>
      <w:r>
        <w:rPr>
          <w:rFonts w:ascii="Arial" w:cs="Arial" w:eastAsia="Arial" w:hAnsi="Arial"/>
          <w:sz w:val="16"/>
          <w:szCs w:val="16"/>
          <w:color w:val="auto"/>
        </w:rPr>
        <w:t>has served as a member of our Board of Directors since February 2018. Ms. Popovits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Chief Executive Officer of Genomic Health from 2009-2020, and served as the chairman of the board of directors of Genomic Health from 2012-2020. Ms. Popovits also serves on the board of directors of MyoKardia, Inc., and previously served on the board of directors of ZS Pharma Inc. Ms. Popovits holds a B.A in Business from Michigan State University.</w:t>
      </w:r>
    </w:p>
    <w:p>
      <w:pPr>
        <w:spacing w:after="0" w:line="11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Barry D. Quart, Pharm.D.</w:t>
      </w:r>
      <w:r>
        <w:rPr>
          <w:rFonts w:ascii="Arial" w:cs="Arial" w:eastAsia="Arial" w:hAnsi="Arial"/>
          <w:sz w:val="18"/>
          <w:szCs w:val="18"/>
          <w:color w:val="auto"/>
        </w:rPr>
        <w:t>, has served as a member of our Board of Directors since October 2015. Since 2013, Dr.</w:t>
      </w:r>
      <w:r>
        <w:rPr>
          <w:rFonts w:ascii="Arial" w:cs="Arial" w:eastAsia="Arial" w:hAnsi="Arial"/>
          <w:sz w:val="18"/>
          <w:szCs w:val="18"/>
          <w:i w:val="1"/>
          <w:iCs w:val="1"/>
          <w:color w:val="auto"/>
        </w:rPr>
        <w:t xml:space="preserve"> </w:t>
      </w:r>
      <w:r>
        <w:rPr>
          <w:rFonts w:ascii="Arial" w:cs="Arial" w:eastAsia="Arial" w:hAnsi="Arial"/>
          <w:sz w:val="18"/>
          <w:szCs w:val="18"/>
          <w:color w:val="auto"/>
        </w:rPr>
        <w:t>Quart has served as the Chief Executive Officer and a member of the board of directors of Heron Therapeutics, Inc., a biotechnology company. In 2006, Dr. Quart co-founded Ardea Biosciences, Inc., a biotechnology company, and served as its President and Chief Executive Officer, and on its board of directors, from its inception through May 2013. Dr. Quart previously served on the board of directors of Synageva. Dr. Quart holds a Pharm.D. degree from the University of California, San Francisco.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18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Sanj K. Patel </w:t>
      </w:r>
      <w:r>
        <w:rPr>
          <w:rFonts w:ascii="Arial" w:cs="Arial" w:eastAsia="Arial" w:hAnsi="Arial"/>
          <w:sz w:val="18"/>
          <w:szCs w:val="18"/>
          <w:color w:val="auto"/>
        </w:rPr>
        <w:t>has served as our Chief Executive Officer and Chairman of our Board of Directors since our 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July 2015. See “—Directors of the Registrant” for Mr. Patel’s biography.”</w:t>
      </w:r>
    </w:p>
    <w:p>
      <w:pPr>
        <w:spacing w:after="0" w:line="13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 xml:space="preserve">Thomas Beetham </w:t>
      </w:r>
      <w:r>
        <w:rPr>
          <w:rFonts w:ascii="Arial" w:cs="Arial" w:eastAsia="Arial" w:hAnsi="Arial"/>
          <w:sz w:val="17"/>
          <w:szCs w:val="17"/>
          <w:color w:val="auto"/>
        </w:rPr>
        <w:t>has served as our Executive Vice President, Corporate Development and Operations since</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2019 and serves as our Chief Legal Officer, a role he has held since our formation in July 2015, and also serves as our Secretary. Prior to that, Mr. Beetham held various roles at Synageva from October 2013 to June 2015, most recently serving as the Chief Legal Officer and Senior Vice President of Corporate Development, where he led the legal department and was responsible for business development activities. Prior to joining Synageva, from 2011 to 2013, Mr. Beetham was the General Legal Counsel for New England Biolabs, Inc., or Biolabs, where he was responsible for all legal matters and was a member of Biolabs’ global business development team. Before Biolabs, Mr. Beetham held various roles at Genzyme, most recently as the lead corporate attorney responsible for Genzyme’s hematology/oncology and multiple sclerosis products, and before that was a business and transactional attorney with the law firm of Palmer &amp; Dodge, LLP. Mr. Beetham holds a J.D. from Boston College Law School, an M.B.A. from Boston College’s Carroll School of Management, and a B.A. from the University of Rochester.</w:t>
      </w:r>
    </w:p>
    <w:p>
      <w:pPr>
        <w:spacing w:after="0" w:line="156"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i w:val="1"/>
          <w:iCs w:val="1"/>
          <w:color w:val="auto"/>
        </w:rPr>
        <w:t xml:space="preserve">Chris Heberlig </w:t>
      </w:r>
      <w:r>
        <w:rPr>
          <w:rFonts w:ascii="Arial" w:cs="Arial" w:eastAsia="Arial" w:hAnsi="Arial"/>
          <w:sz w:val="17"/>
          <w:szCs w:val="17"/>
          <w:color w:val="auto"/>
        </w:rPr>
        <w:t>has served as our Chief Financial Officer since our formation in July 2015 and also serves as our</w:t>
      </w:r>
      <w:r>
        <w:rPr>
          <w:rFonts w:ascii="Arial" w:cs="Arial" w:eastAsia="Arial" w:hAnsi="Arial"/>
          <w:sz w:val="17"/>
          <w:szCs w:val="17"/>
          <w:i w:val="1"/>
          <w:iCs w:val="1"/>
          <w:color w:val="auto"/>
        </w:rPr>
        <w:t xml:space="preserve"> </w:t>
      </w:r>
      <w:r>
        <w:rPr>
          <w:rFonts w:ascii="Arial" w:cs="Arial" w:eastAsia="Arial" w:hAnsi="Arial"/>
          <w:sz w:val="17"/>
          <w:szCs w:val="17"/>
          <w:color w:val="auto"/>
        </w:rPr>
        <w:t>Treasurer. Prior to serving as our Chief Financial Officer, Mr. Heberlig held various roles at Synageva from 2008 to 2015, most recently serving as Senior Vice President of Finance and Business Operations. Earlier in his career, Mr. Heberlig held senior financial management positions at Panacos Pharmaceuticals, Inc., or Panacos, and EPIX Pharmaceuticals, Inc., or EPIX, both biotechnology companies. Prior to Panacos and EPIX, he worked at PricewaterhouseCoopers LLP, a national audit, tax, and advisory service firm. Mr. Heberlig holds an M.B.A. from Boston University and a B.A. from St. Lawrence University. Mr. Heberlig is also a Certified Public Accountant.</w:t>
      </w:r>
    </w:p>
    <w:p>
      <w:pPr>
        <w:spacing w:after="0" w:line="13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John F. Paolini, M.D., Ph.D.</w:t>
      </w:r>
      <w:r>
        <w:rPr>
          <w:rFonts w:ascii="Arial" w:cs="Arial" w:eastAsia="Arial" w:hAnsi="Arial"/>
          <w:sz w:val="18"/>
          <w:szCs w:val="18"/>
          <w:color w:val="auto"/>
        </w:rPr>
        <w:t>, has served as our Chief Medical Officer since August 2016. From August 2015 to</w:t>
      </w:r>
      <w:r>
        <w:rPr>
          <w:rFonts w:ascii="Arial" w:cs="Arial" w:eastAsia="Arial" w:hAnsi="Arial"/>
          <w:sz w:val="18"/>
          <w:szCs w:val="18"/>
          <w:i w:val="1"/>
          <w:iCs w:val="1"/>
          <w:color w:val="auto"/>
        </w:rPr>
        <w:t xml:space="preserve"> </w:t>
      </w:r>
      <w:r>
        <w:rPr>
          <w:rFonts w:ascii="Arial" w:cs="Arial" w:eastAsia="Arial" w:hAnsi="Arial"/>
          <w:sz w:val="18"/>
          <w:szCs w:val="18"/>
          <w:color w:val="auto"/>
        </w:rPr>
        <w:t>August 2016, Dr. Paolini was Clinical Research Head of the Cardiovascular and Metabolic Diseases Research Unit at Pfizer Inc., a pharmaceutical company, or Pfizer, where he was responsible for bringing forward programs from pre-clinical through early clinical development and proof of concept. Prior to Pfizer, from August 2011 to July 2015, Dr. Paolini served as Chief Medical Officer of Cerenis Therapeutics, a biotechnology company focused on cardiovascular and metabolic diseases, where he was responsible for designing and executing clinical trials and regulatory strategy for a portfolio of products. Dr. Paolini holds an M.D. and a Ph.D. from Duke University School of Medicine, a B.A. and a B.S. from Tulane University, and completed his internship, residency and fellowship in Internal Medicine and Cardiology at Brigham and Women’s Hospital, Boston.</w:t>
      </w:r>
    </w:p>
    <w:p>
      <w:pPr>
        <w:spacing w:after="0" w:line="197"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i w:val="1"/>
          <w:iCs w:val="1"/>
          <w:color w:val="auto"/>
        </w:rPr>
        <w:t xml:space="preserve">Qasim Rizvi MBChB., MBA., </w:t>
      </w:r>
      <w:r>
        <w:rPr>
          <w:rFonts w:ascii="Arial" w:cs="Arial" w:eastAsia="Arial" w:hAnsi="Arial"/>
          <w:sz w:val="16"/>
          <w:szCs w:val="16"/>
          <w:color w:val="auto"/>
        </w:rPr>
        <w:t>has served as our Senior Vice President of Operations &amp; Chief Commercial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since November 2019, prior to that Dr. Rizvi served as our Chief Commercial Officer since July 2019 and was our Senior Vice President, Operations since August 2018. Prior to that, Dr. Rizvi served in roles of increasing responsibility at Genentech, Inc., or Genentech, a member of the Roche Group, or Roche, having joined the company in June 2006. From October 2017 to August 2018, Dr. Rizvi served as Genentech’s Vice President and U.S. Franchise Head of Tecentriq, with commercial responsibilities for Genentech’s Cancer Immunotherapy portfolio. From September 2016 to October 2017, Dr. Rizvi served as Vice President – Franchise Head Hematology; Global Product Strategy at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spacing w:after="0" w:line="293" w:lineRule="auto"/>
        <w:rPr>
          <w:sz w:val="20"/>
          <w:szCs w:val="20"/>
          <w:color w:val="auto"/>
        </w:rPr>
      </w:pPr>
      <w:r>
        <w:rPr>
          <w:rFonts w:ascii="Arial" w:cs="Arial" w:eastAsia="Arial" w:hAnsi="Arial"/>
          <w:sz w:val="16"/>
          <w:szCs w:val="16"/>
          <w:color w:val="auto"/>
        </w:rPr>
        <w:t>Roche, where he led the global hematology franchise. From October 2014 to September 2016, Dr. Rizvi served as Life Cycle Leader at Genentech, where he was responsible for bringing Roche’s Hemophilia product from Phase 1b to the global commercialization. Prior to joining Genentech/Roche, Dr. Rizvi was at Novo Nordisk and Eli Lilly, where he served in numerous roles in sales, marketing, business development and new product planning. Dr. Rizvi received his medical degree from the University of Dundee School of Medicine. He completed his residency in general surgery and holds an M.B.A in Marketing and Corporate Strategy from the University of Michigan’s Stephen M. Ross School of Business.</w:t>
      </w:r>
    </w:p>
    <w:p>
      <w:pPr>
        <w:spacing w:after="0" w:line="200" w:lineRule="exact"/>
        <w:rPr>
          <w:sz w:val="20"/>
          <w:szCs w:val="20"/>
          <w:color w:val="auto"/>
        </w:rPr>
      </w:pP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80" w:right="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Market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Class A common shares are listed on The Nasdaq Global Select Market under the symbol “KNSA.”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As of February 29, 2020, there were 25 holders of record of our Class A common shares, 11 holders of record of our Class B common shares, four holders of record of our Class A1 common shares and two holders of record of our Class B1 common shares. The actual number of shareholders is greater than this number of record holders, and includes shareholders who are beneficial owners, but whose shares are held in street name by brokers and other nominees. The number of holders of record also does not include shareholders whose shares may be held in trust by other entities.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Policy</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never declared or paid any cash dividends on our common shares. We intend to retain all of our future earnings, if any, to finance the operation and expansion of our business and do not anticipate paying any cash dividends in the foreseeable future. Any future determination to declare and pay dividends to holders of our common shares will be made at the discretion of our board of directors, which may take into account several factors, including general economic conditions, our financial condition and results of operations, available cash and current and anticipated cash needs, capital requirements, contractual, legal, tax and regulatory restrictions, the implications of the payment of dividends by us to our shareholders and any other factors that our board of directors may deem relevant. In addition, pursuant to the Bermuda Companies Act 1981, as amended, a company may not declare or pay dividends if there are reasonable grounds for believing that (1) the company is, or would after the payment be, unable to pay its liabilities as they become due or (2) that the realizable value of its assets would thereby be less than its liabilities. Under our amended and restated bye-laws, each of our common shares is entitled to dividends if, as and when dividends are declared by our board of directors, subject to any preferred dividend right of the holders of any preferred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February 4, 2019, we issued and sold an aggregate of 2,000,000 Class A1 common shares to existing investors at price of $18.26 per share, resulting in aggregate gross proceeds to us of approximately $36.5 million. These securities were issued under Section 4(a)(2) of the Securities Act in a transaction not involving a public offering.</w:t>
      </w:r>
    </w:p>
    <w:p>
      <w:pPr>
        <w:spacing w:after="0" w:line="166"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On March 8, 2019, in connection with our acquisition of the securities, or Securities, of Primatope Therapeutics, Inc., or Primatope, we issued an aggregate of 337,008 Class A common shares to the holders of all of the issued and outstanding Securities, having an aggregate value of approximately $5.9 million, as payment, in part, for (a) the Securities and (b) the achievement of certain milestones at or before the closing of the acquisition. These securities were issued under Section 4(a)(2) and Rule 506 of the Securities Act in a transaction not involving a public offering.</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June 6, 2019, we issued an aggregate of 94,284 Class A common shares to the former shareholders of Primatope, having an aggregate value of approximately $1.5 million, as payment, in part, for the achievement of the final milestone after the closing of the acquisition. These securities were issued under Section 4(a)(2) and Rule 506 of the Securities Act in a transaction not involving a public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Registered Securities</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On May 29, 2018, we issued and sold 8,477,777 Class A common shares to the underwriters of our initial public offering, or IPO, and on June 22, 2018, we issued and sold an additional 1,006,425 Class A common shares pursuant to the exercise by the underwriters of their over-allotment option to purchase additional shares. Our Class A</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17" w:lineRule="exact"/>
        <w:rPr>
          <w:sz w:val="20"/>
          <w:szCs w:val="20"/>
          <w:color w:val="auto"/>
        </w:rPr>
      </w:pPr>
      <w:r>
        <w:rPr>
          <w:rFonts w:ascii="Arial" w:cs="Arial" w:eastAsia="Arial" w:hAnsi="Arial"/>
          <w:sz w:val="16"/>
          <w:szCs w:val="16"/>
          <w:color w:val="auto"/>
        </w:rPr>
        <w:t>common shares were sold at a price to the public of $18.00 per share. We received aggregate gross proceeds from the IPO inclusive of the underwriters’ over-allotment option of approximately $170.7 million and aggregate net proceeds of approximately $155.5 million after deducting underwriting discounts and commissions of approximately $12.0 million and other offering expenses. The offer and sale of all of the shares in our IPO inclusive of the underwriters’ over-allotment option were registered under the Securities Act pursuant to a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1 (File No. 333</w:t>
      </w:r>
      <w:r>
        <w:rPr>
          <w:rFonts w:ascii="MS PGothic" w:cs="MS PGothic" w:eastAsia="MS PGothic" w:hAnsi="MS PGothic"/>
          <w:sz w:val="16"/>
          <w:szCs w:val="16"/>
          <w:color w:val="auto"/>
        </w:rPr>
        <w:t>‑</w:t>
      </w:r>
      <w:r>
        <w:rPr>
          <w:rFonts w:ascii="Arial" w:cs="Arial" w:eastAsia="Arial" w:hAnsi="Arial"/>
          <w:sz w:val="16"/>
          <w:szCs w:val="16"/>
          <w:color w:val="auto"/>
        </w:rPr>
        <w:t>224488), which was declared effective by the Securities and Exchange Commission, or SEC, on May 23, 2018, and a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1 to register additional shares (File No. 333</w:t>
      </w:r>
      <w:r>
        <w:rPr>
          <w:rFonts w:ascii="MS PGothic" w:cs="MS PGothic" w:eastAsia="MS PGothic" w:hAnsi="MS PGothic"/>
          <w:sz w:val="16"/>
          <w:szCs w:val="16"/>
          <w:color w:val="auto"/>
        </w:rPr>
        <w:t>‑</w:t>
      </w:r>
      <w:r>
        <w:rPr>
          <w:rFonts w:ascii="Arial" w:cs="Arial" w:eastAsia="Arial" w:hAnsi="Arial"/>
          <w:sz w:val="16"/>
          <w:szCs w:val="16"/>
          <w:color w:val="auto"/>
        </w:rPr>
        <w:t>225159), which was automatically effective upon filing with the SEC on May 23, 2018. There has been no material change in our planned use of the net proceeds from the IPO as described in our final prospectus filed pursuant to Rule 424(b)(4) under the Securities Act with the SEC on May 24, 2018.</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8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0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You should read the following selected consolidated financial data together with our consolidated financial statements and the related notes included elsewhere in this Annual Report and the “Management’s Discussion and Analysis of Financial Condition and Results of Operations” section of this Annual Report. We have derived the consolidated statement of operations data for the years ended December 31, 2019 and 2018 and the consolidated balance sheet data as of December 31, 2019 and 2018 from our audited consolidated financial statements included elsewhere of this Annual Report. Our historical results are not necessarily indicative of results that may be expected in any future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3"/>
          </w:tcPr>
          <w:p>
            <w:pPr>
              <w:jc w:val="center"/>
              <w:ind w:left="876"/>
              <w:spacing w:after="0"/>
              <w:rPr>
                <w:sz w:val="20"/>
                <w:szCs w:val="20"/>
                <w:color w:val="auto"/>
              </w:rPr>
            </w:pPr>
            <w:r>
              <w:rPr>
                <w:rFonts w:ascii="Arial" w:cs="Arial" w:eastAsia="Arial" w:hAnsi="Arial"/>
                <w:sz w:val="14"/>
                <w:szCs w:val="14"/>
                <w:b w:val="1"/>
                <w:bCs w:val="1"/>
                <w:color w:val="auto"/>
                <w:w w:val="91"/>
              </w:rPr>
              <w:t>Years Ended</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22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816"/>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r>
      <w:tr>
        <w:trPr>
          <w:trHeight w:val="142"/>
        </w:trPr>
        <w:tc>
          <w:tcPr>
            <w:tcW w:w="22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r>
      <w:tr>
        <w:trPr>
          <w:trHeight w:val="129"/>
        </w:trPr>
        <w:tc>
          <w:tcPr>
            <w:tcW w:w="22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60" w:type="dxa"/>
            <w:vAlign w:val="bottom"/>
            <w:gridSpan w:val="5"/>
          </w:tcPr>
          <w:p>
            <w:pPr>
              <w:jc w:val="center"/>
              <w:ind w:right="180"/>
              <w:spacing w:after="0" w:line="129" w:lineRule="exact"/>
              <w:rPr>
                <w:sz w:val="20"/>
                <w:szCs w:val="20"/>
                <w:color w:val="auto"/>
              </w:rPr>
            </w:pPr>
            <w:r>
              <w:rPr>
                <w:rFonts w:ascii="Arial" w:cs="Arial" w:eastAsia="Arial" w:hAnsi="Arial"/>
                <w:sz w:val="13"/>
                <w:szCs w:val="13"/>
                <w:b w:val="1"/>
                <w:bCs w:val="1"/>
                <w:color w:val="auto"/>
                <w:w w:val="85"/>
              </w:rPr>
              <w:t>(in thousands, except share and per share data)</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135,001</w:t>
            </w:r>
          </w:p>
        </w:tc>
        <w:tc>
          <w:tcPr>
            <w:tcW w:w="66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86,597</w:t>
            </w:r>
          </w:p>
        </w:tc>
        <w:tc>
          <w:tcPr>
            <w:tcW w:w="220" w:type="dxa"/>
            <w:vAlign w:val="bottom"/>
            <w:shd w:val="clear" w:color="auto" w:fill="CCEEFF"/>
          </w:tcPr>
          <w:p>
            <w:pPr>
              <w:spacing w:after="0"/>
              <w:rPr>
                <w:sz w:val="18"/>
                <w:szCs w:val="18"/>
                <w:color w:val="auto"/>
              </w:rPr>
            </w:pPr>
          </w:p>
        </w:tc>
      </w:tr>
      <w:tr>
        <w:trPr>
          <w:trHeight w:val="216"/>
        </w:trPr>
        <w:tc>
          <w:tcPr>
            <w:tcW w:w="5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34,962</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21,563</w:t>
            </w:r>
          </w:p>
        </w:tc>
        <w:tc>
          <w:tcPr>
            <w:tcW w:w="220" w:type="dxa"/>
            <w:vAlign w:val="bottom"/>
            <w:tcBorders>
              <w:bottom w:val="single" w:sz="8" w:color="CCEEFF"/>
            </w:tcBorders>
          </w:tcPr>
          <w:p>
            <w:pPr>
              <w:spacing w:after="0"/>
              <w:rPr>
                <w:sz w:val="18"/>
                <w:szCs w:val="18"/>
                <w:color w:val="auto"/>
              </w:rPr>
            </w:pPr>
          </w:p>
        </w:tc>
      </w:tr>
      <w:tr>
        <w:trPr>
          <w:trHeight w:val="210"/>
        </w:trPr>
        <w:tc>
          <w:tcPr>
            <w:tcW w:w="5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169,963</w:t>
            </w:r>
          </w:p>
        </w:tc>
        <w:tc>
          <w:tcPr>
            <w:tcW w:w="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108,160</w:t>
            </w:r>
          </w:p>
        </w:tc>
        <w:tc>
          <w:tcPr>
            <w:tcW w:w="220" w:type="dxa"/>
            <w:vAlign w:val="bottom"/>
            <w:shd w:val="clear" w:color="auto" w:fill="CCEEFF"/>
          </w:tcPr>
          <w:p>
            <w:pPr>
              <w:spacing w:after="0"/>
              <w:rPr>
                <w:sz w:val="18"/>
                <w:szCs w:val="18"/>
                <w:color w:val="auto"/>
              </w:rPr>
            </w:pPr>
          </w:p>
        </w:tc>
      </w:tr>
      <w:tr>
        <w:trPr>
          <w:trHeight w:val="210"/>
        </w:trPr>
        <w:tc>
          <w:tcPr>
            <w:tcW w:w="56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(169,963)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(108,160)</w:t>
            </w:r>
          </w:p>
        </w:tc>
        <w:tc>
          <w:tcPr>
            <w:tcW w:w="220" w:type="dxa"/>
            <w:vAlign w:val="bottom"/>
          </w:tcPr>
          <w:p>
            <w:pPr>
              <w:spacing w:after="0"/>
              <w:rPr>
                <w:sz w:val="18"/>
                <w:szCs w:val="18"/>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6,049</w:t>
            </w:r>
          </w:p>
        </w:tc>
        <w:tc>
          <w:tcPr>
            <w:tcW w:w="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220" w:type="dxa"/>
            <w:vAlign w:val="bottom"/>
            <w:shd w:val="clear" w:color="auto" w:fill="CCEEFF"/>
          </w:tcPr>
          <w:p>
            <w:pPr>
              <w:spacing w:after="0"/>
              <w:rPr>
                <w:sz w:val="18"/>
                <w:szCs w:val="18"/>
                <w:color w:val="auto"/>
              </w:rPr>
            </w:pPr>
          </w:p>
        </w:tc>
      </w:tr>
      <w:tr>
        <w:trPr>
          <w:trHeight w:val="210"/>
        </w:trPr>
        <w:tc>
          <w:tcPr>
            <w:tcW w:w="5680" w:type="dxa"/>
            <w:vAlign w:val="bottom"/>
            <w:gridSpan w:val="2"/>
          </w:tcPr>
          <w:p>
            <w:pPr>
              <w:spacing w:after="0"/>
              <w:rPr>
                <w:sz w:val="20"/>
                <w:szCs w:val="20"/>
                <w:color w:val="auto"/>
              </w:rPr>
            </w:pPr>
            <w:r>
              <w:rPr>
                <w:rFonts w:ascii="Arial" w:cs="Arial" w:eastAsia="Arial" w:hAnsi="Arial"/>
                <w:sz w:val="18"/>
                <w:szCs w:val="18"/>
                <w:color w:val="auto"/>
              </w:rPr>
              <w:t>Loss before benefit for income taxes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(163,914)</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(103,441)</w:t>
            </w:r>
          </w:p>
        </w:tc>
        <w:tc>
          <w:tcPr>
            <w:tcW w:w="220" w:type="dxa"/>
            <w:vAlign w:val="bottom"/>
          </w:tcPr>
          <w:p>
            <w:pPr>
              <w:spacing w:after="0"/>
              <w:rPr>
                <w:sz w:val="18"/>
                <w:szCs w:val="18"/>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8"/>
                <w:szCs w:val="18"/>
                <w:color w:val="auto"/>
              </w:rPr>
            </w:pPr>
          </w:p>
        </w:tc>
      </w:tr>
      <w:tr>
        <w:trPr>
          <w:trHeight w:val="217"/>
        </w:trPr>
        <w:tc>
          <w:tcPr>
            <w:tcW w:w="5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(161,867)</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(103,227)</w:t>
            </w:r>
          </w:p>
        </w:tc>
        <w:tc>
          <w:tcPr>
            <w:tcW w:w="220" w:type="dxa"/>
            <w:vAlign w:val="bottom"/>
            <w:tcBorders>
              <w:bottom w:val="single" w:sz="8" w:color="CCEEFF"/>
            </w:tcBorders>
          </w:tcPr>
          <w:p>
            <w:pPr>
              <w:spacing w:after="0"/>
              <w:rPr>
                <w:sz w:val="18"/>
                <w:szCs w:val="18"/>
                <w:color w:val="auto"/>
              </w:rPr>
            </w:pPr>
          </w:p>
        </w:tc>
      </w:tr>
      <w:tr>
        <w:trPr>
          <w:trHeight w:val="236"/>
        </w:trPr>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2"/>
              </w:rPr>
              <w:t>Net loss per share attributable to common shareholders—basic and diluted</w:t>
            </w:r>
            <w:r>
              <w:rPr>
                <w:rFonts w:ascii="Arial" w:cs="Arial" w:eastAsia="Arial" w:hAnsi="Arial"/>
                <w:sz w:val="18"/>
                <w:szCs w:val="18"/>
                <w:color w:val="auto"/>
                <w:w w:val="92"/>
                <w:vertAlign w:val="superscript"/>
              </w:rPr>
              <w:t>(1)</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10"/>
        </w:trPr>
        <w:tc>
          <w:tcPr>
            <w:tcW w:w="5680" w:type="dxa"/>
            <w:vAlign w:val="bottom"/>
            <w:gridSpan w:val="2"/>
          </w:tcPr>
          <w:p>
            <w:pPr>
              <w:spacing w:after="0" w:line="203" w:lineRule="exact"/>
              <w:rPr>
                <w:sz w:val="20"/>
                <w:szCs w:val="20"/>
                <w:color w:val="auto"/>
              </w:rPr>
            </w:pPr>
            <w:r>
              <w:rPr>
                <w:rFonts w:ascii="Arial" w:cs="Arial" w:eastAsia="Arial" w:hAnsi="Arial"/>
                <w:sz w:val="18"/>
                <w:szCs w:val="18"/>
                <w:color w:val="auto"/>
              </w:rPr>
              <w:t>Weighted average common shares outstanding—basic and diluted</w:t>
            </w:r>
            <w:r>
              <w:rPr>
                <w:rFonts w:ascii="Arial" w:cs="Arial" w:eastAsia="Arial" w:hAnsi="Arial"/>
                <w:sz w:val="18"/>
                <w:szCs w:val="18"/>
                <w:color w:val="auto"/>
                <w:vertAlign w:val="superscript"/>
              </w:rPr>
              <w:t>(1)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54,049,477</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29,547,427</w:t>
            </w:r>
          </w:p>
        </w:tc>
        <w:tc>
          <w:tcPr>
            <w:tcW w:w="220" w:type="dxa"/>
            <w:vAlign w:val="bottom"/>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89" w:lineRule="exact"/>
        <w:rPr>
          <w:sz w:val="20"/>
          <w:szCs w:val="20"/>
          <w:color w:val="auto"/>
        </w:rPr>
      </w:pPr>
    </w:p>
    <w:p>
      <w:pPr>
        <w:ind w:left="320" w:right="200" w:hanging="317"/>
        <w:spacing w:after="0" w:line="253" w:lineRule="auto"/>
        <w:tabs>
          <w:tab w:leader="none" w:pos="269" w:val="left"/>
        </w:tabs>
        <w:numPr>
          <w:ilvl w:val="0"/>
          <w:numId w:val="67"/>
        </w:numPr>
        <w:rPr>
          <w:rFonts w:ascii="Arial" w:cs="Arial" w:eastAsia="Arial" w:hAnsi="Arial"/>
          <w:sz w:val="14"/>
          <w:szCs w:val="14"/>
          <w:color w:val="auto"/>
          <w:vertAlign w:val="superscript"/>
        </w:rPr>
      </w:pPr>
      <w:r>
        <w:rPr>
          <w:rFonts w:ascii="Arial" w:cs="Arial" w:eastAsia="Arial" w:hAnsi="Arial"/>
          <w:sz w:val="14"/>
          <w:szCs w:val="14"/>
          <w:color w:val="auto"/>
        </w:rPr>
        <w:t>SeeNote 12 to our consolidated financial statements included elsewhere in this Annual Report for further details on the calculation of basic and diluted net loss per share attributable to common shareholders.</w:t>
      </w:r>
    </w:p>
    <w:p>
      <w:pPr>
        <w:spacing w:after="0" w:line="183"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As of</w:t>
      </w:r>
    </w:p>
    <w:p>
      <w:pPr>
        <w:ind w:left="75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r>
      <w:tr>
        <w:trPr>
          <w:trHeight w:val="142"/>
        </w:trPr>
        <w:tc>
          <w:tcPr>
            <w:tcW w:w="5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gridSpan w:val="3"/>
          </w:tcPr>
          <w:p>
            <w:pPr>
              <w:ind w:left="66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2660" w:type="dxa"/>
            <w:vAlign w:val="bottom"/>
            <w:gridSpan w:val="2"/>
          </w:tcPr>
          <w:p>
            <w:pPr>
              <w:jc w:val="right"/>
              <w:ind w:right="108"/>
              <w:spacing w:after="0"/>
              <w:rPr>
                <w:sz w:val="20"/>
                <w:szCs w:val="20"/>
                <w:color w:val="auto"/>
              </w:rPr>
            </w:pPr>
            <w:r>
              <w:rPr>
                <w:rFonts w:ascii="Arial" w:cs="Arial" w:eastAsia="Arial" w:hAnsi="Arial"/>
                <w:sz w:val="18"/>
                <w:szCs w:val="18"/>
                <w:color w:val="auto"/>
              </w:rPr>
              <w:t>$  233,380</w:t>
            </w:r>
          </w:p>
        </w:tc>
        <w:tc>
          <w:tcPr>
            <w:tcW w:w="1000" w:type="dxa"/>
            <w:vAlign w:val="bottom"/>
          </w:tcPr>
          <w:p>
            <w:pPr>
              <w:jc w:val="right"/>
              <w:spacing w:after="0"/>
              <w:rPr>
                <w:sz w:val="20"/>
                <w:szCs w:val="20"/>
                <w:color w:val="auto"/>
              </w:rPr>
            </w:pPr>
            <w:r>
              <w:rPr>
                <w:rFonts w:ascii="Arial" w:cs="Arial" w:eastAsia="Arial" w:hAnsi="Arial"/>
                <w:sz w:val="18"/>
                <w:szCs w:val="18"/>
                <w:color w:val="auto"/>
              </w:rPr>
              <w:t>$  307,304</w:t>
            </w:r>
          </w:p>
        </w:tc>
        <w:tc>
          <w:tcPr>
            <w:tcW w:w="22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8"/>
                <w:szCs w:val="8"/>
                <w:color w:val="auto"/>
              </w:rPr>
              <w:t>(1)</w:t>
            </w:r>
          </w:p>
        </w:tc>
        <w:tc>
          <w:tcPr>
            <w:tcW w:w="26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213,797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271,196</w:t>
            </w:r>
          </w:p>
        </w:tc>
        <w:tc>
          <w:tcPr>
            <w:tcW w:w="22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Total assets</w:t>
            </w:r>
          </w:p>
        </w:tc>
        <w:tc>
          <w:tcPr>
            <w:tcW w:w="2660" w:type="dxa"/>
            <w:vAlign w:val="bottom"/>
            <w:gridSpan w:val="2"/>
          </w:tcPr>
          <w:p>
            <w:pPr>
              <w:jc w:val="right"/>
              <w:ind w:right="108"/>
              <w:spacing w:after="0"/>
              <w:rPr>
                <w:sz w:val="20"/>
                <w:szCs w:val="20"/>
                <w:color w:val="auto"/>
              </w:rPr>
            </w:pPr>
            <w:r>
              <w:rPr>
                <w:rFonts w:ascii="Arial" w:cs="Arial" w:eastAsia="Arial" w:hAnsi="Arial"/>
                <w:sz w:val="18"/>
                <w:szCs w:val="18"/>
                <w:color w:val="auto"/>
              </w:rPr>
              <w:t>254,534</w:t>
            </w:r>
          </w:p>
        </w:tc>
        <w:tc>
          <w:tcPr>
            <w:tcW w:w="1000" w:type="dxa"/>
            <w:vAlign w:val="bottom"/>
          </w:tcPr>
          <w:p>
            <w:pPr>
              <w:jc w:val="right"/>
              <w:spacing w:after="0"/>
              <w:rPr>
                <w:sz w:val="20"/>
                <w:szCs w:val="20"/>
                <w:color w:val="auto"/>
              </w:rPr>
            </w:pPr>
            <w:r>
              <w:rPr>
                <w:rFonts w:ascii="Arial" w:cs="Arial" w:eastAsia="Arial" w:hAnsi="Arial"/>
                <w:sz w:val="18"/>
                <w:szCs w:val="18"/>
                <w:color w:val="auto"/>
              </w:rPr>
              <w:t>321,965</w:t>
            </w:r>
          </w:p>
        </w:tc>
        <w:tc>
          <w:tcPr>
            <w:tcW w:w="22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(356,092)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(194,225)</w:t>
            </w:r>
          </w:p>
        </w:tc>
        <w:tc>
          <w:tcPr>
            <w:tcW w:w="220" w:type="dxa"/>
            <w:vAlign w:val="bottom"/>
            <w:shd w:val="clear" w:color="auto" w:fill="CCEEFF"/>
          </w:tcPr>
          <w:p>
            <w:pPr>
              <w:spacing w:after="0"/>
              <w:rPr>
                <w:sz w:val="18"/>
                <w:szCs w:val="18"/>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660" w:type="dxa"/>
            <w:vAlign w:val="bottom"/>
            <w:gridSpan w:val="2"/>
          </w:tcPr>
          <w:p>
            <w:pPr>
              <w:jc w:val="right"/>
              <w:ind w:right="108"/>
              <w:spacing w:after="0"/>
              <w:rPr>
                <w:sz w:val="20"/>
                <w:szCs w:val="20"/>
                <w:color w:val="auto"/>
              </w:rPr>
            </w:pPr>
            <w:r>
              <w:rPr>
                <w:rFonts w:ascii="Arial" w:cs="Arial" w:eastAsia="Arial" w:hAnsi="Arial"/>
                <w:sz w:val="18"/>
                <w:szCs w:val="18"/>
                <w:color w:val="auto"/>
              </w:rPr>
              <w:t>225,423</w:t>
            </w:r>
          </w:p>
        </w:tc>
        <w:tc>
          <w:tcPr>
            <w:tcW w:w="1000" w:type="dxa"/>
            <w:vAlign w:val="bottom"/>
          </w:tcPr>
          <w:p>
            <w:pPr>
              <w:jc w:val="right"/>
              <w:spacing w:after="0"/>
              <w:rPr>
                <w:sz w:val="20"/>
                <w:szCs w:val="20"/>
                <w:color w:val="auto"/>
              </w:rPr>
            </w:pPr>
            <w:r>
              <w:rPr>
                <w:rFonts w:ascii="Arial" w:cs="Arial" w:eastAsia="Arial" w:hAnsi="Arial"/>
                <w:sz w:val="18"/>
                <w:szCs w:val="18"/>
                <w:color w:val="auto"/>
              </w:rPr>
              <w:t>279,267</w:t>
            </w: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ind w:left="280" w:hanging="277"/>
        <w:spacing w:after="0"/>
        <w:tabs>
          <w:tab w:leader="none" w:pos="280" w:val="left"/>
        </w:tabs>
        <w:numPr>
          <w:ilvl w:val="0"/>
          <w:numId w:val="68"/>
        </w:numPr>
        <w:rPr>
          <w:rFonts w:ascii="Arial" w:cs="Arial" w:eastAsia="Arial" w:hAnsi="Arial"/>
          <w:sz w:val="14"/>
          <w:szCs w:val="14"/>
          <w:color w:val="auto"/>
          <w:vertAlign w:val="superscript"/>
        </w:rPr>
      </w:pPr>
      <w:r>
        <w:rPr>
          <w:rFonts w:ascii="Arial" w:cs="Arial" w:eastAsia="Arial" w:hAnsi="Arial"/>
          <w:sz w:val="14"/>
          <w:szCs w:val="14"/>
          <w:color w:val="auto"/>
        </w:rPr>
        <w:t>We define working capital as current assets less current liabilities.</w:t>
      </w:r>
    </w:p>
    <w:p>
      <w:pPr>
        <w:spacing w:after="0" w:line="200" w:lineRule="exact"/>
        <w:rPr>
          <w:sz w:val="20"/>
          <w:szCs w:val="20"/>
          <w:color w:val="auto"/>
        </w:rPr>
      </w:pPr>
    </w:p>
    <w:p>
      <w:pPr>
        <w:spacing w:after="0" w:line="23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80"/>
          </w:cols>
          <w:pgMar w:left="1420" w:top="125" w:right="1299"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conjunction with our consolidated financial statements and related notes included elsewhere in this Annual Report on</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i w:val="1"/>
          <w:iCs w:val="1"/>
          <w:color w:val="auto"/>
        </w:rPr>
        <w:t>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or Annual Report. Some of the information contained in this discussion and analysis or set forth elsewhere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this Annual Report, including information with respect to our plans and strategy for our business, includes forward-looking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statements within the meaning of Section 27A of the Securities Act of 1933, as amended, or the Securities Act, and</w:t>
      </w:r>
    </w:p>
    <w:p>
      <w:pPr>
        <w:spacing w:after="0" w:line="2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i w:val="1"/>
          <w:iCs w:val="1"/>
          <w:color w:val="auto"/>
        </w:rPr>
        <w:t>Section 21E of the Securities Exchange Act of 1934, as amended, or the Exchange Act, that involve risks and uncertainties. As a result of many factors, including those factors set forth in the risks identified in Part I-Item 1A “Risk Factors’’ section of this Annual Report and our other filings with the Securities and Exchange Commission, or SEC, our actual results could differ materially from the results, performance or achievements expressed in or implied by these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firstLine="648"/>
        <w:spacing w:after="0" w:line="219" w:lineRule="exact"/>
        <w:rPr>
          <w:sz w:val="20"/>
          <w:szCs w:val="20"/>
          <w:color w:val="auto"/>
        </w:rPr>
      </w:pPr>
      <w:r>
        <w:rPr>
          <w:rFonts w:ascii="Arial" w:cs="Arial" w:eastAsia="Arial" w:hAnsi="Arial"/>
          <w:sz w:val="16"/>
          <w:szCs w:val="16"/>
          <w:color w:val="auto"/>
        </w:rPr>
        <w:t>We are a biopharmaceutical company focused on discovering, acquiring, developing and commercializing therapeutic medicines for patients with significant unmet medical need. We have a pipeline of clinical-stage product candidates that are based on strong biologic rationale or validated mechanisms, target underserved conditions and offer the potential for differentiation. These assets are designed to modulate immunological signaling pathways that are implicated across a spectrum of diseases. Our product candidates include rilonacept, mavrilimumab, KPL</w:t>
      </w:r>
      <w:r>
        <w:rPr>
          <w:rFonts w:ascii="MS PGothic" w:cs="MS PGothic" w:eastAsia="MS PGothic" w:hAnsi="MS PGothic"/>
          <w:sz w:val="16"/>
          <w:szCs w:val="16"/>
          <w:color w:val="auto"/>
        </w:rPr>
        <w:t>‑</w:t>
      </w:r>
      <w:r>
        <w:rPr>
          <w:rFonts w:ascii="Arial" w:cs="Arial" w:eastAsia="Arial" w:hAnsi="Arial"/>
          <w:sz w:val="16"/>
          <w:szCs w:val="16"/>
          <w:color w:val="auto"/>
        </w:rPr>
        <w:t>716 and KPL</w:t>
      </w:r>
      <w:r>
        <w:rPr>
          <w:rFonts w:ascii="MS PGothic" w:cs="MS PGothic" w:eastAsia="MS PGothic" w:hAnsi="MS PGothic"/>
          <w:sz w:val="16"/>
          <w:szCs w:val="16"/>
          <w:color w:val="auto"/>
        </w:rPr>
        <w:t>‑</w:t>
      </w:r>
      <w:r>
        <w:rPr>
          <w:rFonts w:ascii="Arial" w:cs="Arial" w:eastAsia="Arial" w:hAnsi="Arial"/>
          <w:sz w:val="16"/>
          <w:szCs w:val="16"/>
          <w:color w:val="auto"/>
        </w:rPr>
        <w:t>404.</w:t>
      </w:r>
    </w:p>
    <w:p>
      <w:pPr>
        <w:spacing w:after="0" w:line="204" w:lineRule="exact"/>
        <w:rPr>
          <w:sz w:val="20"/>
          <w:szCs w:val="20"/>
          <w:color w:val="auto"/>
        </w:rPr>
      </w:pPr>
    </w:p>
    <w:p>
      <w:pPr>
        <w:ind w:right="60" w:firstLine="648"/>
        <w:spacing w:after="0" w:line="217" w:lineRule="exact"/>
        <w:rPr>
          <w:sz w:val="20"/>
          <w:szCs w:val="20"/>
          <w:color w:val="auto"/>
        </w:rPr>
      </w:pPr>
      <w:r>
        <w:rPr>
          <w:rFonts w:ascii="Arial" w:cs="Arial" w:eastAsia="Arial" w:hAnsi="Arial"/>
          <w:sz w:val="16"/>
          <w:szCs w:val="16"/>
          <w:color w:val="auto"/>
        </w:rPr>
        <w:t>Our lead candidate is rilonacept, an interleukin</w:t>
      </w:r>
      <w:r>
        <w:rPr>
          <w:rFonts w:ascii="MS PGothic" w:cs="MS PGothic" w:eastAsia="MS PGothic" w:hAnsi="MS PGothic"/>
          <w:sz w:val="16"/>
          <w:szCs w:val="16"/>
          <w:color w:val="auto"/>
        </w:rPr>
        <w:t>‑</w:t>
      </w:r>
      <w:r>
        <w:rPr>
          <w:rFonts w:ascii="Arial" w:cs="Arial" w:eastAsia="Arial" w:hAnsi="Arial"/>
          <w:sz w:val="16"/>
          <w:szCs w:val="16"/>
          <w:color w:val="auto"/>
        </w:rPr>
        <w:t>1α, and interleukin</w:t>
      </w:r>
      <w:r>
        <w:rPr>
          <w:rFonts w:ascii="MS PGothic" w:cs="MS PGothic" w:eastAsia="MS PGothic" w:hAnsi="MS PGothic"/>
          <w:sz w:val="16"/>
          <w:szCs w:val="16"/>
          <w:color w:val="auto"/>
        </w:rPr>
        <w:t>‑</w:t>
      </w:r>
      <w:r>
        <w:rPr>
          <w:rFonts w:ascii="Arial" w:cs="Arial" w:eastAsia="Arial" w:hAnsi="Arial"/>
          <w:sz w:val="16"/>
          <w:szCs w:val="16"/>
          <w:color w:val="auto"/>
        </w:rPr>
        <w:t>1β, cytokine trap. We are developing rilonacept for the potential treatment of recurrent pericarditis, a painful inflammatory cardiovascular disease with an estimated U.S. prevalent population of approximately 40,000 patients seeking and receiving medical treatment. We are conducting a global, double-blind, placebo</w:t>
      </w:r>
      <w:r>
        <w:rPr>
          <w:rFonts w:ascii="MS PGothic" w:cs="MS PGothic" w:eastAsia="MS PGothic" w:hAnsi="MS PGothic"/>
          <w:sz w:val="16"/>
          <w:szCs w:val="16"/>
          <w:color w:val="auto"/>
        </w:rPr>
        <w:t>‑</w:t>
      </w:r>
      <w:r>
        <w:rPr>
          <w:rFonts w:ascii="Arial" w:cs="Arial" w:eastAsia="Arial" w:hAnsi="Arial"/>
          <w:sz w:val="16"/>
          <w:szCs w:val="16"/>
          <w:color w:val="auto"/>
        </w:rPr>
        <w:t>controlled, randomized</w:t>
      </w:r>
      <w:r>
        <w:rPr>
          <w:rFonts w:ascii="MS PGothic" w:cs="MS PGothic" w:eastAsia="MS PGothic" w:hAnsi="MS PGothic"/>
          <w:sz w:val="16"/>
          <w:szCs w:val="16"/>
          <w:color w:val="auto"/>
        </w:rPr>
        <w:t>‑</w:t>
      </w:r>
      <w:r>
        <w:rPr>
          <w:rFonts w:ascii="Arial" w:cs="Arial" w:eastAsia="Arial" w:hAnsi="Arial"/>
          <w:sz w:val="16"/>
          <w:szCs w:val="16"/>
          <w:color w:val="auto"/>
        </w:rPr>
        <w:t>withdrawal design, pivotal Phase 3 clinical trial of rilonacept in subjects with recurrent pericarditis, named RHAPSODY. We expect top-line data from this trial in the second half of 2020. We presented final data from our open</w:t>
      </w:r>
      <w:r>
        <w:rPr>
          <w:rFonts w:ascii="MS PGothic" w:cs="MS PGothic" w:eastAsia="MS PGothic" w:hAnsi="MS PGothic"/>
          <w:sz w:val="16"/>
          <w:szCs w:val="16"/>
          <w:color w:val="auto"/>
        </w:rPr>
        <w:t>‑</w:t>
      </w:r>
      <w:r>
        <w:rPr>
          <w:rFonts w:ascii="Arial" w:cs="Arial" w:eastAsia="Arial" w:hAnsi="Arial"/>
          <w:sz w:val="16"/>
          <w:szCs w:val="16"/>
          <w:color w:val="auto"/>
        </w:rPr>
        <w:t>label Phase 2 proof</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concept clinical trial in subjects with both symptomatic recurrent pericarditis as well as other patient subsets within pericarditis, including asymptomatic steroid</w:t>
      </w:r>
      <w:r>
        <w:rPr>
          <w:rFonts w:ascii="MS PGothic" w:cs="MS PGothic" w:eastAsia="MS PGothic" w:hAnsi="MS PGothic"/>
          <w:sz w:val="16"/>
          <w:szCs w:val="16"/>
          <w:color w:val="auto"/>
        </w:rPr>
        <w:t>‑</w:t>
      </w:r>
      <w:r>
        <w:rPr>
          <w:rFonts w:ascii="Arial" w:cs="Arial" w:eastAsia="Arial" w:hAnsi="Arial"/>
          <w:sz w:val="16"/>
          <w:szCs w:val="16"/>
          <w:color w:val="auto"/>
        </w:rPr>
        <w:t>dependent subjects with recurrent pericarditis and subjects with post</w:t>
      </w:r>
      <w:r>
        <w:rPr>
          <w:rFonts w:ascii="MS PGothic" w:cs="MS PGothic" w:eastAsia="MS PGothic" w:hAnsi="MS PGothic"/>
          <w:sz w:val="16"/>
          <w:szCs w:val="16"/>
          <w:color w:val="auto"/>
        </w:rPr>
        <w:t>‑</w:t>
      </w:r>
      <w:r>
        <w:rPr>
          <w:rFonts w:ascii="Arial" w:cs="Arial" w:eastAsia="Arial" w:hAnsi="Arial"/>
          <w:sz w:val="16"/>
          <w:szCs w:val="16"/>
          <w:color w:val="auto"/>
        </w:rPr>
        <w:t>pericardiotomy syndrome. We received Breakthrough Therapy designation from the Food and Drug Administration, or FDA, for rilonacept for the treatment of recurrent pericarditis in 2019, and reported final data from our open label Phase 2 proof of concept clinical trial of rilonacept in a range of recurrent pericarditis populations at the American Heart Association Scientific Sessions in November 2019.</w:t>
      </w:r>
    </w:p>
    <w:p>
      <w:pPr>
        <w:spacing w:after="0" w:line="207" w:lineRule="exact"/>
        <w:rPr>
          <w:sz w:val="20"/>
          <w:szCs w:val="20"/>
          <w:color w:val="auto"/>
        </w:rPr>
      </w:pPr>
    </w:p>
    <w:p>
      <w:pPr>
        <w:ind w:right="20" w:firstLine="648"/>
        <w:spacing w:after="0" w:line="217" w:lineRule="exact"/>
        <w:rPr>
          <w:sz w:val="20"/>
          <w:szCs w:val="20"/>
          <w:color w:val="auto"/>
        </w:rPr>
      </w:pPr>
      <w:r>
        <w:rPr>
          <w:rFonts w:ascii="Arial" w:cs="Arial" w:eastAsia="Arial" w:hAnsi="Arial"/>
          <w:sz w:val="17"/>
          <w:szCs w:val="17"/>
          <w:color w:val="auto"/>
        </w:rPr>
        <w:t>Mavrilimumab is a monoclonal antibody that antagonizes granulocyte-macrophage colony stimulating factor. We are evaluating mavrilimumab for the potential treatment of giant cell arteritis, or GCA, a chronic inflammatory disease of the medium-to-large arteries with an estimated U.S. prevalence of approximately 75,000 to 150,000 patients. We are conducting a randomized, double</w:t>
      </w:r>
      <w:r>
        <w:rPr>
          <w:rFonts w:ascii="MS PGothic" w:cs="MS PGothic" w:eastAsia="MS PGothic" w:hAnsi="MS PGothic"/>
          <w:sz w:val="17"/>
          <w:szCs w:val="17"/>
          <w:color w:val="auto"/>
        </w:rPr>
        <w:t>‑</w:t>
      </w:r>
      <w:r>
        <w:rPr>
          <w:rFonts w:ascii="Arial" w:cs="Arial" w:eastAsia="Arial" w:hAnsi="Arial"/>
          <w:sz w:val="17"/>
          <w:szCs w:val="17"/>
          <w:color w:val="auto"/>
        </w:rPr>
        <w:t>blind, placebo</w:t>
      </w:r>
      <w:r>
        <w:rPr>
          <w:rFonts w:ascii="MS PGothic" w:cs="MS PGothic" w:eastAsia="MS PGothic" w:hAnsi="MS PGothic"/>
          <w:sz w:val="17"/>
          <w:szCs w:val="17"/>
          <w:color w:val="auto"/>
        </w:rPr>
        <w:t>‑</w:t>
      </w:r>
      <w:r>
        <w:rPr>
          <w:rFonts w:ascii="Arial" w:cs="Arial" w:eastAsia="Arial" w:hAnsi="Arial"/>
          <w:sz w:val="17"/>
          <w:szCs w:val="17"/>
          <w:color w:val="auto"/>
        </w:rPr>
        <w:t>controlled, global Phase 2 proof</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concept trial for the study of mavrilimumab in GCA. We expect top-line data from this trial in the second half of 2020. In December 2019, we entered into a clinical collaboration with Kite Pharma, Inc., a Gilead Company, or Kite, to initiate a Phase 2 clinical trial evaluating the combination of Yescarta® (axicabtagene ciloleucel) and mavrilimumab in relapsed or refractory large B-Cell lymphoma. The objective of the Phase 2 trial is to determine the effect of mavrilimumab on the safety of Yescarta. Treatment related induction of GM-CSF has been identified through clinical, translational and preclinical studies as a potential key signal associated with side effects of chimeric antigen receptor T, or CAR T, cell therapy. Preclinical evidence suggest the potential for interruption of GM-CSF signaling to disrupt CAR T cell mediated inflammation without disrupting anti-tumor activity. Kite will be the sponsor of this study and responsible for its conduct.</w:t>
      </w:r>
    </w:p>
    <w:p>
      <w:pPr>
        <w:spacing w:after="0" w:line="209" w:lineRule="exact"/>
        <w:rPr>
          <w:sz w:val="20"/>
          <w:szCs w:val="20"/>
          <w:color w:val="auto"/>
        </w:rPr>
      </w:pPr>
    </w:p>
    <w:p>
      <w:pPr>
        <w:ind w:right="120" w:firstLine="648"/>
        <w:spacing w:after="0" w:line="219" w:lineRule="exact"/>
        <w:rPr>
          <w:sz w:val="20"/>
          <w:szCs w:val="20"/>
          <w:color w:val="auto"/>
        </w:rPr>
      </w:pPr>
      <w:r>
        <w:rPr>
          <w:rFonts w:ascii="Arial" w:cs="Arial" w:eastAsia="Arial" w:hAnsi="Arial"/>
          <w:sz w:val="16"/>
          <w:szCs w:val="16"/>
          <w:color w:val="auto"/>
        </w:rPr>
        <w:t>KPL</w:t>
      </w:r>
      <w:r>
        <w:rPr>
          <w:rFonts w:ascii="MS PGothic" w:cs="MS PGothic" w:eastAsia="MS PGothic" w:hAnsi="MS PGothic"/>
          <w:sz w:val="16"/>
          <w:szCs w:val="16"/>
          <w:color w:val="auto"/>
        </w:rPr>
        <w:t>‑</w:t>
      </w:r>
      <w:r>
        <w:rPr>
          <w:rFonts w:ascii="Arial" w:cs="Arial" w:eastAsia="Arial" w:hAnsi="Arial"/>
          <w:sz w:val="16"/>
          <w:szCs w:val="16"/>
          <w:color w:val="auto"/>
        </w:rPr>
        <w:t>716 is a monoclonal antibody that simultaneously inhibits the signaling of the cytokines interleukin 31, or IL-31, and oncostatin M, or OSM, by targeting their common receptor subunit, oncostatin M receptor beta, or OSMRβ. We are conducting a randomized, double-blind, placebo-controlled, Phase 2a clinical trial of KPL-716 in subjects with prurigo nodularis, a chronic inflammatory skin condition with an estimated U.S. prevalence of approximately 300,000 patients. We expect data from this trial by the end of April 2020. We are also conducting an exploratory Phase 2 clinical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trial in diseases characterized by chronic pruritus. This randomized, double-blind, placebo-controlled trial is designed to identify chronic pruritic conditions where signaling through OSMRβ may be playing a role and to investigate the efficacy, safety and tolerability of KPL-716 in reducing the moderate-to-severe pruritus experienced by these subjects. We expect interim data from cohorts of this trial in the first half of 2020. In August 2019, we reported interim data from our 12 week, repeated single dose cohort of the Phase 1b clinical trial in subjects with moderate-to-severe atopic dermatitis experiencing moderate-to-severe pruritus, which was designed to provide safety and exploratory data on disease response markers.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KPL-404 is a monoclonal antibody inhibitor of the CD40/CD40L interaction, a central control node of</w:t>
      </w:r>
    </w:p>
    <w:p>
      <w:pPr>
        <w:spacing w:after="0" w:line="2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w:t>
      </w:r>
      <w:r>
        <w:rPr>
          <w:rFonts w:ascii="MS PGothic" w:cs="MS PGothic" w:eastAsia="MS PGothic" w:hAnsi="MS PGothic"/>
          <w:sz w:val="16"/>
          <w:szCs w:val="16"/>
          <w:color w:val="auto"/>
        </w:rPr>
        <w:t>‑</w:t>
      </w:r>
      <w:r>
        <w:rPr>
          <w:rFonts w:ascii="Arial" w:cs="Arial" w:eastAsia="Arial" w:hAnsi="Arial"/>
          <w:sz w:val="16"/>
          <w:szCs w:val="16"/>
          <w:color w:val="auto"/>
        </w:rPr>
        <w:t>cell</w:t>
      </w:r>
      <w:r>
        <w:rPr>
          <w:rFonts w:ascii="MS PGothic" w:cs="MS PGothic" w:eastAsia="MS PGothic" w:hAnsi="MS PGothic"/>
          <w:sz w:val="16"/>
          <w:szCs w:val="16"/>
          <w:color w:val="auto"/>
        </w:rPr>
        <w:t>‑</w:t>
      </w:r>
      <w:r>
        <w:rPr>
          <w:rFonts w:ascii="Arial" w:cs="Arial" w:eastAsia="Arial" w:hAnsi="Arial"/>
          <w:sz w:val="16"/>
          <w:szCs w:val="16"/>
          <w:color w:val="auto"/>
        </w:rPr>
        <w:t>dependent, B</w:t>
      </w:r>
      <w:r>
        <w:rPr>
          <w:rFonts w:ascii="MS PGothic" w:cs="MS PGothic" w:eastAsia="MS PGothic" w:hAnsi="MS PGothic"/>
          <w:sz w:val="16"/>
          <w:szCs w:val="16"/>
          <w:color w:val="auto"/>
        </w:rPr>
        <w:t>‑</w:t>
      </w:r>
      <w:r>
        <w:rPr>
          <w:rFonts w:ascii="Arial" w:cs="Arial" w:eastAsia="Arial" w:hAnsi="Arial"/>
          <w:sz w:val="16"/>
          <w:szCs w:val="16"/>
          <w:color w:val="auto"/>
        </w:rPr>
        <w:t>cell</w:t>
      </w:r>
      <w:r>
        <w:rPr>
          <w:rFonts w:ascii="MS PGothic" w:cs="MS PGothic" w:eastAsia="MS PGothic" w:hAnsi="MS PGothic"/>
          <w:sz w:val="16"/>
          <w:szCs w:val="16"/>
          <w:color w:val="auto"/>
        </w:rPr>
        <w:t>‑</w:t>
      </w:r>
      <w:r>
        <w:rPr>
          <w:rFonts w:ascii="Arial" w:cs="Arial" w:eastAsia="Arial" w:hAnsi="Arial"/>
          <w:sz w:val="16"/>
          <w:szCs w:val="16"/>
          <w:color w:val="auto"/>
        </w:rPr>
        <w:t>mediated humoral adaptive immunity. In the first quarter of 2019, we acquired all of the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stock of Primatope Therapeutics, Inc., or Primatope, the company that owned or controlled the intellectual property</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related to KPL</w:t>
      </w:r>
      <w:r>
        <w:rPr>
          <w:rFonts w:ascii="MS PGothic" w:cs="MS PGothic" w:eastAsia="MS PGothic" w:hAnsi="MS PGothic"/>
          <w:sz w:val="17"/>
          <w:szCs w:val="17"/>
          <w:color w:val="auto"/>
        </w:rPr>
        <w:t>‑</w:t>
      </w:r>
      <w:r>
        <w:rPr>
          <w:rFonts w:ascii="Arial" w:cs="Arial" w:eastAsia="Arial" w:hAnsi="Arial"/>
          <w:sz w:val="17"/>
          <w:szCs w:val="17"/>
          <w:color w:val="auto"/>
        </w:rPr>
        <w:t>404. In the second half of 2019, we initiated a single-ascending-dose Phase 1 clinical trial of KPL-404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healthy volunteers. The first-in-human trial is designed to provide safety and pharmacokinetics data as well as data regarding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receptor occupancy and T-cell dependent antibody response (TDAR) in these subjects. We expect top-line data in the second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half of 2020.</w:t>
      </w:r>
    </w:p>
    <w:p>
      <w:pPr>
        <w:spacing w:after="0" w:line="21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Our future success is dependent on our ability to develop, obtain regulatory approval for and successfully commercialize one or more of our product candidates. We have not yet demonstrated our ability to successfully conduct and complete a Phase 3 or other pivotal clinical trial, obtain regulatory approvals, manufacture a commercial scale drug, or conduct sales and marketing activities. We currently generate no revenue from sales of any products, and we may never be able to develop or commercialize a marketable product.</w:t>
      </w:r>
    </w:p>
    <w:p>
      <w:pPr>
        <w:spacing w:after="0" w:line="173"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On May 23, 2018, our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1 relating to our initial public offering, or IPO, was declared effective by the SEC. On May 29, 2018, we completed our IPO of 8,477,777 Class A common shares at $18.00 per share for gross proceeds of $152.6 million. In addition, on June 22, 2018, we completed the sale of 1,006,425 Class A common shares to the underwriters of the IPO following the exercise of their over</w:t>
      </w:r>
      <w:r>
        <w:rPr>
          <w:rFonts w:ascii="MS PGothic" w:cs="MS PGothic" w:eastAsia="MS PGothic" w:hAnsi="MS PGothic"/>
          <w:sz w:val="16"/>
          <w:szCs w:val="16"/>
          <w:color w:val="auto"/>
        </w:rPr>
        <w:t>‑</w:t>
      </w:r>
      <w:r>
        <w:rPr>
          <w:rFonts w:ascii="Arial" w:cs="Arial" w:eastAsia="Arial" w:hAnsi="Arial"/>
          <w:sz w:val="16"/>
          <w:szCs w:val="16"/>
          <w:color w:val="auto"/>
        </w:rPr>
        <w:t>allotment option to purchase additional shares at $18.00 per share for gross proceeds of $18.1 million. The aggregate net proceeds to us from the IPO, inclusive of the over</w:t>
      </w:r>
      <w:r>
        <w:rPr>
          <w:rFonts w:ascii="MS PGothic" w:cs="MS PGothic" w:eastAsia="MS PGothic" w:hAnsi="MS PGothic"/>
          <w:sz w:val="16"/>
          <w:szCs w:val="16"/>
          <w:color w:val="auto"/>
        </w:rPr>
        <w:t>‑</w:t>
      </w:r>
      <w:r>
        <w:rPr>
          <w:rFonts w:ascii="Arial" w:cs="Arial" w:eastAsia="Arial" w:hAnsi="Arial"/>
          <w:sz w:val="16"/>
          <w:szCs w:val="16"/>
          <w:color w:val="auto"/>
        </w:rPr>
        <w:t>allotment option exercise, was $155.5 million after deducting underwriting discounts and commissions and other offering costs.</w:t>
      </w:r>
    </w:p>
    <w:p>
      <w:pPr>
        <w:spacing w:after="0" w:line="20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Upon the closing of the IPO, all convertible preferred shares then outstanding automatically converted into 5,546,019 Class A common shares, 1,070,502 Class B common shares, 12,995,954 Class A1 common shares and 16,057,618 Class B1 common shares.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February 4, 2019, we completed a follow-on offering of 2,654,984 Class A common shares and concurrent private placement of 2,000,000 Class A1 common shares, both at $18.26 per share for aggregate gross proceeds of $85.0 million. In addition, on March 1, 2019, we completed the sale of 161,126 Class A common shares to the underwriters of the follow-on offering following the exercise in part of their over-allotment option to purchase additional shares at $18.26 per share for gross proceeds of $2.9 million. The aggregate net proceeds to us from the follow-on offering and concurrent private placement, inclusive of the over-allotment option exercise, was $83.0 million after deducting underwriting discounts and commissions and other offering costs.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incurred significant operating losses since inception. Our ability to generate product revenue sufficient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achieve profitability will depend heavily on the successful development and eventual commercialization of one or more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current or future product candidates. Our net losses were $161.9 million and $103.2 million for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2019 and 2018, respectively. As of December 31, 2019 and 2018, we had an accumulated deficit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$356.1 million and $194.2 million, respectively. We expect to continue to incur significant operating losses for at least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next several years as we advance our product candidates through preclinical and clinical development and, ultimately, seek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regulatory approval. In addition, if we obtain marketing approval for any of our product candidates, we expect to incur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significant commercialization expenses related to product manufacturing, marketing, sales and distribution. We may also</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incur expenses in connection with the in</w:t>
      </w:r>
      <w:r>
        <w:rPr>
          <w:rFonts w:ascii="MS PGothic" w:cs="MS PGothic" w:eastAsia="MS PGothic" w:hAnsi="MS PGothic"/>
          <w:sz w:val="17"/>
          <w:szCs w:val="17"/>
          <w:color w:val="auto"/>
        </w:rPr>
        <w:t>‑</w:t>
      </w:r>
      <w:r>
        <w:rPr>
          <w:rFonts w:ascii="Arial" w:cs="Arial" w:eastAsia="Arial" w:hAnsi="Arial"/>
          <w:sz w:val="17"/>
          <w:szCs w:val="17"/>
          <w:color w:val="auto"/>
        </w:rPr>
        <w:t>licensing or acquisition of additional product candidates. We expect to incur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significant expenses in connection with our ongoing activities, particularly as we advance the clinical trials, preclinical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activities of our product candidates, and prepare for commercial operations. Additionally,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99"/>
        <w:spacing w:after="0" w:line="277" w:lineRule="auto"/>
        <w:rPr>
          <w:sz w:val="20"/>
          <w:szCs w:val="20"/>
          <w:color w:val="auto"/>
        </w:rPr>
      </w:pPr>
      <w:r>
        <w:rPr>
          <w:rFonts w:ascii="Arial" w:cs="Arial" w:eastAsia="Arial" w:hAnsi="Arial"/>
          <w:sz w:val="18"/>
          <w:szCs w:val="18"/>
          <w:color w:val="auto"/>
        </w:rPr>
        <w:t>we expect to continue to incur additional costs associated with operating as a public company, including significant legal, accounting, investor relations and other expenses.</w:t>
      </w:r>
    </w:p>
    <w:p>
      <w:pPr>
        <w:spacing w:after="0" w:line="170" w:lineRule="exact"/>
        <w:rPr>
          <w:sz w:val="20"/>
          <w:szCs w:val="20"/>
          <w:color w:val="auto"/>
        </w:rPr>
      </w:pPr>
    </w:p>
    <w:p>
      <w:pPr>
        <w:ind w:right="99" w:firstLine="648"/>
        <w:spacing w:after="0" w:line="218" w:lineRule="exact"/>
        <w:rPr>
          <w:sz w:val="20"/>
          <w:szCs w:val="20"/>
          <w:color w:val="auto"/>
        </w:rPr>
      </w:pPr>
      <w:r>
        <w:rPr>
          <w:rFonts w:ascii="Arial" w:cs="Arial" w:eastAsia="Arial" w:hAnsi="Arial"/>
          <w:sz w:val="18"/>
          <w:szCs w:val="18"/>
          <w:color w:val="auto"/>
        </w:rPr>
        <w:t>As a result, until such time as we can generate significant revenue from product sales, if ever, we expect to finance our operations through public or private securities offerings, debt financings or other sources, which may include licensing, collaborations or other strategic transactions or arrangements. We may be unable to raise additional funds or enter into such other transactions or arrangements when needed on favorable terms, or at all. If we fail to raise capital or enter into such transactions or arrangements as and when needed, we may have to significantly delay, scale back or discontinue the development and commercialization of one or more of our product candidates or delay our pursuit of potential in</w:t>
      </w:r>
      <w:r>
        <w:rPr>
          <w:rFonts w:ascii="MS PGothic" w:cs="MS PGothic" w:eastAsia="MS PGothic" w:hAnsi="MS PGothic"/>
          <w:sz w:val="18"/>
          <w:szCs w:val="18"/>
          <w:color w:val="auto"/>
        </w:rPr>
        <w:t>‑</w:t>
      </w:r>
      <w:r>
        <w:rPr>
          <w:rFonts w:ascii="Arial" w:cs="Arial" w:eastAsia="Arial" w:hAnsi="Arial"/>
          <w:sz w:val="18"/>
          <w:szCs w:val="18"/>
          <w:color w:val="auto"/>
        </w:rPr>
        <w:t>licenses or acquisitions.</w:t>
      </w:r>
    </w:p>
    <w:p>
      <w:pPr>
        <w:spacing w:after="0" w:line="207" w:lineRule="exact"/>
        <w:rPr>
          <w:sz w:val="20"/>
          <w:szCs w:val="20"/>
          <w:color w:val="auto"/>
        </w:rPr>
      </w:pPr>
    </w:p>
    <w:p>
      <w:pPr>
        <w:ind w:right="39" w:firstLine="648"/>
        <w:spacing w:after="0" w:line="257"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8" w:lineRule="exact"/>
        <w:rPr>
          <w:sz w:val="20"/>
          <w:szCs w:val="20"/>
          <w:color w:val="auto"/>
        </w:rPr>
      </w:pPr>
    </w:p>
    <w:p>
      <w:pPr>
        <w:ind w:right="39" w:firstLine="648"/>
        <w:spacing w:after="0" w:line="219" w:lineRule="exact"/>
        <w:rPr>
          <w:sz w:val="20"/>
          <w:szCs w:val="20"/>
          <w:color w:val="auto"/>
        </w:rPr>
      </w:pPr>
      <w:r>
        <w:rPr>
          <w:rFonts w:ascii="Arial" w:cs="Arial" w:eastAsia="Arial" w:hAnsi="Arial"/>
          <w:sz w:val="17"/>
          <w:szCs w:val="17"/>
          <w:color w:val="auto"/>
        </w:rPr>
        <w:t>As of December 31, 2019 and 2018, we had cash, cash equivalents and short</w:t>
      </w:r>
      <w:r>
        <w:rPr>
          <w:rFonts w:ascii="MS PGothic" w:cs="MS PGothic" w:eastAsia="MS PGothic" w:hAnsi="MS PGothic"/>
          <w:sz w:val="17"/>
          <w:szCs w:val="17"/>
          <w:color w:val="auto"/>
        </w:rPr>
        <w:t>‑</w:t>
      </w:r>
      <w:r>
        <w:rPr>
          <w:rFonts w:ascii="Arial" w:cs="Arial" w:eastAsia="Arial" w:hAnsi="Arial"/>
          <w:sz w:val="17"/>
          <w:szCs w:val="17"/>
          <w:color w:val="auto"/>
        </w:rPr>
        <w:t>term investments of $233.4 million and $307.3 million, respectively. We believe that our existing cash, cash equivalents and short</w:t>
      </w:r>
      <w:r>
        <w:rPr>
          <w:rFonts w:ascii="MS PGothic" w:cs="MS PGothic" w:eastAsia="MS PGothic" w:hAnsi="MS PGothic"/>
          <w:sz w:val="17"/>
          <w:szCs w:val="17"/>
          <w:color w:val="auto"/>
        </w:rPr>
        <w:t>‑</w:t>
      </w:r>
      <w:r>
        <w:rPr>
          <w:rFonts w:ascii="Arial" w:cs="Arial" w:eastAsia="Arial" w:hAnsi="Arial"/>
          <w:sz w:val="17"/>
          <w:szCs w:val="17"/>
          <w:color w:val="auto"/>
        </w:rPr>
        <w:t>term investments will enable us to fund our operating expenses and capital expenditure requirements for at least the next 12 months from the date of filing this Annual Report. We have based this estimate on assumptions that may prove to be wrong, and we could exhaust our available capital resources sooner than we expect. See “—Liquidity and Capital Resources.” Our future viability beyond that point is dependent on our ability to raise additional capital to finance our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99" w:firstLine="648"/>
        <w:spacing w:after="0" w:line="264" w:lineRule="auto"/>
        <w:rPr>
          <w:sz w:val="20"/>
          <w:szCs w:val="20"/>
          <w:color w:val="auto"/>
        </w:rPr>
      </w:pPr>
      <w:r>
        <w:rPr>
          <w:rFonts w:ascii="Arial" w:cs="Arial" w:eastAsia="Arial" w:hAnsi="Arial"/>
          <w:sz w:val="18"/>
          <w:szCs w:val="18"/>
          <w:color w:val="auto"/>
        </w:rPr>
        <w:t>To date, we have not generated any revenue from any products, and may never be able to develop and commercialize a marketable product. If our development efforts for our product candidates are successful and result in regulatory approval, we may generate revenue in the future from product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539" w:firstLine="648"/>
        <w:spacing w:after="0" w:line="264" w:lineRule="auto"/>
        <w:rPr>
          <w:sz w:val="20"/>
          <w:szCs w:val="20"/>
          <w:color w:val="auto"/>
        </w:rPr>
      </w:pPr>
      <w:r>
        <w:rPr>
          <w:rFonts w:ascii="Arial" w:cs="Arial" w:eastAsia="Arial" w:hAnsi="Arial"/>
          <w:sz w:val="18"/>
          <w:szCs w:val="18"/>
          <w:color w:val="auto"/>
        </w:rPr>
        <w:t>Research and development expenses consist primarily of costs incurred in connection with the research and development of our product candidates. We expense research and development costs as incurred. These expenses may include:</w:t>
      </w:r>
    </w:p>
    <w:p>
      <w:pPr>
        <w:spacing w:after="0" w:line="181" w:lineRule="exact"/>
        <w:rPr>
          <w:sz w:val="20"/>
          <w:szCs w:val="20"/>
          <w:color w:val="auto"/>
        </w:rPr>
      </w:pPr>
    </w:p>
    <w:p>
      <w:pPr>
        <w:ind w:left="980" w:right="219" w:hanging="329"/>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expenses incurred to conduct the necessary preclinical studies and clinical trials required to obtain regulatory approval;</w:t>
      </w:r>
    </w:p>
    <w:p>
      <w:pPr>
        <w:spacing w:after="0" w:line="170" w:lineRule="exact"/>
        <w:rPr>
          <w:rFonts w:ascii="Arial" w:cs="Arial" w:eastAsia="Arial" w:hAnsi="Arial"/>
          <w:sz w:val="18"/>
          <w:szCs w:val="18"/>
          <w:color w:val="auto"/>
        </w:rPr>
      </w:pPr>
    </w:p>
    <w:p>
      <w:pPr>
        <w:ind w:left="980" w:right="99" w:hanging="329"/>
        <w:spacing w:after="0" w:line="259"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that are primarily engaged in the oversight and conduct of our clinical trials and contract manufacturing organizations, or CMOs, that are primarily engaged to provide preclinical and clinical drug substance and product for our research and development programs for our product candidates;</w:t>
      </w:r>
    </w:p>
    <w:p>
      <w:pPr>
        <w:spacing w:after="0" w:line="186" w:lineRule="exact"/>
        <w:rPr>
          <w:rFonts w:ascii="Arial" w:cs="Arial" w:eastAsia="Arial" w:hAnsi="Arial"/>
          <w:sz w:val="18"/>
          <w:szCs w:val="18"/>
          <w:color w:val="auto"/>
        </w:rPr>
      </w:pPr>
    </w:p>
    <w:p>
      <w:pPr>
        <w:ind w:left="980" w:right="139" w:hanging="329"/>
        <w:spacing w:after="0" w:line="264"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 costs related to acquiring and manufacturing preclinical and clinical trial materials, including manufacturing validation batches, as well as investigative sites and consultants that conduct our clinical trials, preclinical studies and other scientific development services;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880" w:hanging="329"/>
        <w:spacing w:after="0" w:line="223" w:lineRule="exact"/>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payments made in cash or equity securities under third</w:t>
      </w:r>
      <w:r>
        <w:rPr>
          <w:rFonts w:ascii="MS PGothic" w:cs="MS PGothic" w:eastAsia="MS PGothic" w:hAnsi="MS PGothic"/>
          <w:sz w:val="18"/>
          <w:szCs w:val="18"/>
          <w:color w:val="auto"/>
        </w:rPr>
        <w:t>‑</w:t>
      </w:r>
      <w:r>
        <w:rPr>
          <w:rFonts w:ascii="Arial" w:cs="Arial" w:eastAsia="Arial" w:hAnsi="Arial"/>
          <w:sz w:val="18"/>
          <w:szCs w:val="18"/>
          <w:color w:val="auto"/>
        </w:rPr>
        <w:t>party licensing, acquisition and other similar agreements;</w:t>
      </w:r>
    </w:p>
    <w:p>
      <w:pPr>
        <w:spacing w:after="0" w:line="203" w:lineRule="exact"/>
        <w:rPr>
          <w:rFonts w:ascii="Arial" w:cs="Arial" w:eastAsia="Arial" w:hAnsi="Arial"/>
          <w:sz w:val="18"/>
          <w:szCs w:val="18"/>
          <w:color w:val="auto"/>
        </w:rPr>
      </w:pPr>
    </w:p>
    <w:p>
      <w:pPr>
        <w:ind w:left="980" w:right="240" w:hanging="329"/>
        <w:spacing w:after="0" w:line="223" w:lineRule="exact"/>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salaries and benefits, travel and share</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for employees engaged in research and development functions;</w:t>
      </w:r>
    </w:p>
    <w:p>
      <w:pPr>
        <w:spacing w:after="0" w:line="203" w:lineRule="exact"/>
        <w:rPr>
          <w:rFonts w:ascii="Arial" w:cs="Arial" w:eastAsia="Arial" w:hAnsi="Arial"/>
          <w:sz w:val="18"/>
          <w:szCs w:val="18"/>
          <w:color w:val="auto"/>
        </w:rPr>
      </w:pPr>
    </w:p>
    <w:p>
      <w:pPr>
        <w:ind w:left="980" w:hanging="329"/>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allocated facilities</w:t>
      </w:r>
      <w:r>
        <w:rPr>
          <w:rFonts w:ascii="MS PGothic" w:cs="MS PGothic" w:eastAsia="MS PGothic" w:hAnsi="MS PGothic"/>
          <w:sz w:val="18"/>
          <w:szCs w:val="18"/>
          <w:color w:val="auto"/>
        </w:rPr>
        <w:t>‑</w:t>
      </w:r>
      <w:r>
        <w:rPr>
          <w:rFonts w:ascii="Arial" w:cs="Arial" w:eastAsia="Arial" w:hAnsi="Arial"/>
          <w:sz w:val="18"/>
          <w:szCs w:val="18"/>
          <w:color w:val="auto"/>
        </w:rPr>
        <w:t>related costs, depreciation and other expenses, which include rent and utilities.</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recognize external development costs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Nonrefundable advance payments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79"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Our direct research and development expenses are tracked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for our product candidates and consist primarily of external costs, such as fees paid to outside consultants, CROs, CMOs and research laboratories in connection with our preclinical development, process development, manufacturing and clinical development activities. Our direct research and development expenses by program also include fees incurred under license, acquisition and other similar agreements. We do not allocate employee costs or facility expenses, including depreciation or other indirect costs, to specific programs because these costs are deployed across multiple programs and, as such, are not separately classified. We use internal resources primarily to conduct our research and discovery activities as well as for managing our preclinical and clinical development, process development and manufacturing activities.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research and development expenses incurred by program:</w:t>
      </w:r>
    </w:p>
    <w:p>
      <w:pPr>
        <w:spacing w:after="0" w:line="230"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Years Ended</w:t>
      </w:r>
    </w:p>
    <w:p>
      <w:pPr>
        <w:ind w:left="76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22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4"/>
          </w:tcPr>
          <w:p>
            <w:pPr>
              <w:jc w:val="right"/>
              <w:ind w:right="412"/>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Rilonacept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13,446</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 xml:space="preserve">Mavrilimumab </w:t>
            </w:r>
            <w:r>
              <w:rPr>
                <w:rFonts w:ascii="Arial" w:cs="Arial" w:eastAsia="Arial" w:hAnsi="Arial"/>
                <w:sz w:val="8"/>
                <w:szCs w:val="8"/>
                <w:color w:val="auto"/>
              </w:rPr>
              <w:t>(1)</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15,260</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KPL-716 </w:t>
            </w:r>
            <w:r>
              <w:rPr>
                <w:rFonts w:ascii="Arial" w:cs="Arial" w:eastAsia="Arial" w:hAnsi="Arial"/>
                <w:sz w:val="8"/>
                <w:szCs w:val="8"/>
                <w:color w:val="auto"/>
              </w:rPr>
              <w:t>(2)</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25,562</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 xml:space="preserve">KPL-404 </w:t>
            </w:r>
            <w:r>
              <w:rPr>
                <w:rFonts w:ascii="Arial" w:cs="Arial" w:eastAsia="Arial" w:hAnsi="Arial"/>
                <w:sz w:val="8"/>
                <w:szCs w:val="8"/>
                <w:color w:val="auto"/>
              </w:rPr>
              <w:t>(3)</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5,967</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KPL-045</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r>
      <w:tr>
        <w:trPr>
          <w:trHeight w:val="216"/>
        </w:trPr>
        <w:tc>
          <w:tcPr>
            <w:tcW w:w="5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Unallocated research and development expenses</w:t>
            </w:r>
          </w:p>
        </w:tc>
        <w:tc>
          <w:tcPr>
            <w:tcW w:w="1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20,655</w:t>
            </w:r>
          </w:p>
        </w:tc>
      </w:tr>
      <w:tr>
        <w:trPr>
          <w:trHeight w:val="217"/>
        </w:trPr>
        <w:tc>
          <w:tcPr>
            <w:tcW w:w="5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research and development expenses</w:t>
            </w:r>
          </w:p>
        </w:tc>
        <w:tc>
          <w:tcPr>
            <w:tcW w:w="1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135,001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86,597</w:t>
            </w:r>
          </w:p>
        </w:tc>
      </w:tr>
      <w:tr>
        <w:trPr>
          <w:trHeight w:val="108"/>
        </w:trPr>
        <w:tc>
          <w:tcPr>
            <w:tcW w:w="228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r>
    </w:tbl>
    <w:p>
      <w:pPr>
        <w:spacing w:after="0" w:line="89" w:lineRule="exact"/>
        <w:rPr>
          <w:sz w:val="20"/>
          <w:szCs w:val="20"/>
          <w:color w:val="auto"/>
        </w:rPr>
      </w:pPr>
    </w:p>
    <w:p>
      <w:pPr>
        <w:ind w:left="320" w:right="120" w:hanging="317"/>
        <w:spacing w:after="0" w:line="253" w:lineRule="auto"/>
        <w:tabs>
          <w:tab w:leader="none" w:pos="269" w:val="left"/>
        </w:tabs>
        <w:numPr>
          <w:ilvl w:val="0"/>
          <w:numId w:val="71"/>
        </w:numPr>
        <w:rPr>
          <w:rFonts w:ascii="Arial" w:cs="Arial" w:eastAsia="Arial" w:hAnsi="Arial"/>
          <w:sz w:val="14"/>
          <w:szCs w:val="14"/>
          <w:color w:val="auto"/>
          <w:vertAlign w:val="superscript"/>
        </w:rPr>
      </w:pPr>
      <w:r>
        <w:rPr>
          <w:rFonts w:ascii="Arial" w:cs="Arial" w:eastAsia="Arial" w:hAnsi="Arial"/>
          <w:sz w:val="14"/>
          <w:szCs w:val="14"/>
          <w:color w:val="auto"/>
        </w:rPr>
        <w:t>The amount for the year ended December 31, 2018 consists of $5.0 million related to a pass-through payment due upon the achievement of a specified clinical milestone event due under our license agreement with MedImmune, Limited, or MedImmune.</w:t>
      </w:r>
    </w:p>
    <w:p>
      <w:pPr>
        <w:spacing w:after="0" w:line="65" w:lineRule="exact"/>
        <w:rPr>
          <w:rFonts w:ascii="Arial" w:cs="Arial" w:eastAsia="Arial" w:hAnsi="Arial"/>
          <w:sz w:val="14"/>
          <w:szCs w:val="14"/>
          <w:color w:val="auto"/>
          <w:vertAlign w:val="superscript"/>
        </w:rPr>
      </w:pPr>
    </w:p>
    <w:p>
      <w:pPr>
        <w:ind w:left="320" w:right="220" w:hanging="317"/>
        <w:spacing w:after="0" w:line="253" w:lineRule="auto"/>
        <w:tabs>
          <w:tab w:leader="none" w:pos="269" w:val="left"/>
        </w:tabs>
        <w:numPr>
          <w:ilvl w:val="0"/>
          <w:numId w:val="71"/>
        </w:numPr>
        <w:rPr>
          <w:rFonts w:ascii="Arial" w:cs="Arial" w:eastAsia="Arial" w:hAnsi="Arial"/>
          <w:sz w:val="14"/>
          <w:szCs w:val="14"/>
          <w:color w:val="auto"/>
          <w:vertAlign w:val="superscript"/>
        </w:rPr>
      </w:pPr>
      <w:r>
        <w:rPr>
          <w:rFonts w:ascii="Arial" w:cs="Arial" w:eastAsia="Arial" w:hAnsi="Arial"/>
          <w:sz w:val="14"/>
          <w:szCs w:val="14"/>
          <w:color w:val="auto"/>
        </w:rPr>
        <w:t>The amount for the year ended December 31, 2019 includes expense of $10.0 million related to a milestone under our asset purchase agreement with Biogen MA, Inc., or Biogen, associated with the achievement of a specified clinical milestone event.</w:t>
      </w:r>
    </w:p>
    <w:p>
      <w:pPr>
        <w:spacing w:after="0" w:line="65" w:lineRule="exact"/>
        <w:rPr>
          <w:rFonts w:ascii="Arial" w:cs="Arial" w:eastAsia="Arial" w:hAnsi="Arial"/>
          <w:sz w:val="14"/>
          <w:szCs w:val="14"/>
          <w:color w:val="auto"/>
          <w:vertAlign w:val="superscript"/>
        </w:rPr>
      </w:pPr>
    </w:p>
    <w:p>
      <w:pPr>
        <w:ind w:left="320" w:right="300" w:hanging="317"/>
        <w:spacing w:after="0" w:line="256" w:lineRule="auto"/>
        <w:tabs>
          <w:tab w:leader="none" w:pos="228" w:val="left"/>
        </w:tabs>
        <w:numPr>
          <w:ilvl w:val="0"/>
          <w:numId w:val="71"/>
        </w:numPr>
        <w:rPr>
          <w:rFonts w:ascii="Arial" w:cs="Arial" w:eastAsia="Arial" w:hAnsi="Arial"/>
          <w:sz w:val="13"/>
          <w:szCs w:val="13"/>
          <w:color w:val="auto"/>
          <w:vertAlign w:val="superscript"/>
        </w:rPr>
      </w:pPr>
      <w:r>
        <w:rPr>
          <w:rFonts w:ascii="Arial" w:cs="Arial" w:eastAsia="Arial" w:hAnsi="Arial"/>
          <w:sz w:val="13"/>
          <w:szCs w:val="13"/>
          <w:color w:val="auto"/>
        </w:rPr>
        <w:t>The amount for the year ended December 31, 2019 includes expense of $18.0 million related to our acquisition of the issued and outstanding equity securities of Primatope and milestone achievements, paid in a combination of cash and Class A common shares (inclusive of escrow and holdback amounts) in accordance with the stock purchase option agreement with Primatope, or the Primatope Agreement. The amount for the year ended December 31, 2018 includes expense of $0.8 million related to the extension of the option period under the Primatope Agreement.</w:t>
      </w:r>
    </w:p>
    <w:p>
      <w:pPr>
        <w:spacing w:after="0" w:line="163" w:lineRule="exact"/>
        <w:rPr>
          <w:sz w:val="20"/>
          <w:szCs w:val="20"/>
          <w:color w:val="auto"/>
        </w:rPr>
      </w:pPr>
    </w:p>
    <w:p>
      <w:pPr>
        <w:ind w:right="180" w:firstLine="648"/>
        <w:spacing w:after="0" w:line="221" w:lineRule="exact"/>
        <w:rPr>
          <w:sz w:val="20"/>
          <w:szCs w:val="20"/>
          <w:color w:val="auto"/>
        </w:rPr>
      </w:pPr>
      <w:r>
        <w:rPr>
          <w:rFonts w:ascii="Arial" w:cs="Arial" w:eastAsia="Arial" w:hAnsi="Arial"/>
          <w:sz w:val="17"/>
          <w:szCs w:val="17"/>
          <w:color w:val="auto"/>
        </w:rPr>
        <w:t>Research and development activities are central to our business. Product candidates in later stages of clinical development generally have higher costs than those in earlier stages of clinical development, primarily due to the increased size and duration of later</w:t>
      </w:r>
      <w:r>
        <w:rPr>
          <w:rFonts w:ascii="MS PGothic" w:cs="MS PGothic" w:eastAsia="MS PGothic" w:hAnsi="MS PGothic"/>
          <w:sz w:val="17"/>
          <w:szCs w:val="17"/>
          <w:color w:val="auto"/>
        </w:rPr>
        <w:t>‑</w:t>
      </w:r>
      <w:r>
        <w:rPr>
          <w:rFonts w:ascii="Arial" w:cs="Arial" w:eastAsia="Arial" w:hAnsi="Arial"/>
          <w:sz w:val="17"/>
          <w:szCs w:val="17"/>
          <w:color w:val="auto"/>
        </w:rPr>
        <w:t>stage clinical trials. As a result, we expect that our research and development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2" w:name="page123"/>
    <w:bookmarkEnd w:id="1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expenses will be substantial over the next several years as we conduct our ongoing and planned clinical trials for rilonacept, mavrilimumab, KPL</w:t>
      </w:r>
      <w:r>
        <w:rPr>
          <w:rFonts w:ascii="MS PGothic" w:cs="MS PGothic" w:eastAsia="MS PGothic" w:hAnsi="MS PGothic"/>
          <w:sz w:val="18"/>
          <w:szCs w:val="18"/>
          <w:color w:val="auto"/>
        </w:rPr>
        <w:t>‑</w:t>
      </w:r>
      <w:r>
        <w:rPr>
          <w:rFonts w:ascii="Arial" w:cs="Arial" w:eastAsia="Arial" w:hAnsi="Arial"/>
          <w:sz w:val="18"/>
          <w:szCs w:val="18"/>
          <w:color w:val="auto"/>
        </w:rPr>
        <w:t>716 and KPL-404, as well as conduct other preclinical and clinical development including regulatory filings for our product candidates. As a result, our related personnel costs will increase, including costs associated with share</w:t>
      </w:r>
      <w:r>
        <w:rPr>
          <w:rFonts w:ascii="MS PGothic" w:cs="MS PGothic" w:eastAsia="MS PGothic" w:hAnsi="MS PGothic"/>
          <w:sz w:val="18"/>
          <w:szCs w:val="18"/>
          <w:color w:val="auto"/>
        </w:rPr>
        <w:t>‑</w:t>
      </w:r>
      <w:r>
        <w:rPr>
          <w:rFonts w:ascii="Arial" w:cs="Arial" w:eastAsia="Arial" w:hAnsi="Arial"/>
          <w:sz w:val="18"/>
          <w:szCs w:val="18"/>
          <w:color w:val="auto"/>
        </w:rPr>
        <w:t>based compensation. We also expect to incur additional expenses related to milestone and royalty payments payable to third parties with whom we have entered into license, acquisition and other similar agreements to acquire the rights to our product candidates.</w:t>
      </w:r>
    </w:p>
    <w:p>
      <w:pPr>
        <w:spacing w:after="0" w:line="203"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173" w:lineRule="exact"/>
        <w:rPr>
          <w:sz w:val="20"/>
          <w:szCs w:val="20"/>
          <w:color w:val="auto"/>
        </w:rPr>
      </w:pPr>
    </w:p>
    <w:p>
      <w:pPr>
        <w:ind w:left="980" w:right="600" w:hanging="329"/>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scope, progress, outcome and costs of our preclinical development activities, clinical trials and other research and development activities;</w:t>
      </w:r>
    </w:p>
    <w:p>
      <w:pPr>
        <w:spacing w:after="0" w:line="170" w:lineRule="exact"/>
        <w:rPr>
          <w:rFonts w:ascii="Arial" w:cs="Arial" w:eastAsia="Arial" w:hAnsi="Arial"/>
          <w:sz w:val="18"/>
          <w:szCs w:val="18"/>
          <w:color w:val="auto"/>
        </w:rPr>
      </w:pPr>
    </w:p>
    <w:p>
      <w:pPr>
        <w:ind w:left="980" w:right="320" w:hanging="329"/>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establishing an appropriate safety and efficacy profile with Investigational New Drug, or IND, enabling and clinical studies;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225" w:lineRule="exact"/>
        <w:rPr>
          <w:rFonts w:ascii="Arial" w:cs="Arial" w:eastAsia="Arial" w:hAnsi="Arial"/>
          <w:sz w:val="18"/>
          <w:szCs w:val="18"/>
          <w:color w:val="auto"/>
        </w:rPr>
      </w:pPr>
    </w:p>
    <w:p>
      <w:pPr>
        <w:ind w:left="980" w:right="240" w:hanging="329"/>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 including the U.S. Federal Drug Administration, or FDA;</w:t>
      </w:r>
    </w:p>
    <w:p>
      <w:pPr>
        <w:spacing w:after="0" w:line="170"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extent of any required post</w:t>
      </w:r>
      <w:r>
        <w:rPr>
          <w:rFonts w:ascii="MS PGothic" w:cs="MS PGothic" w:eastAsia="MS PGothic" w:hAnsi="MS PGothic"/>
          <w:sz w:val="18"/>
          <w:szCs w:val="18"/>
          <w:color w:val="auto"/>
        </w:rPr>
        <w:t>‑</w:t>
      </w:r>
      <w:r>
        <w:rPr>
          <w:rFonts w:ascii="Arial" w:cs="Arial" w:eastAsia="Arial" w:hAnsi="Arial"/>
          <w:sz w:val="18"/>
          <w:szCs w:val="18"/>
          <w:color w:val="auto"/>
        </w:rPr>
        <w:t>marketing approval commitments to applicable regulatory authorities;</w:t>
      </w:r>
    </w:p>
    <w:p>
      <w:pPr>
        <w:spacing w:after="0" w:line="225" w:lineRule="exact"/>
        <w:rPr>
          <w:rFonts w:ascii="Arial" w:cs="Arial" w:eastAsia="Arial" w:hAnsi="Arial"/>
          <w:sz w:val="18"/>
          <w:szCs w:val="18"/>
          <w:color w:val="auto"/>
        </w:rPr>
      </w:pPr>
    </w:p>
    <w:p>
      <w:pPr>
        <w:ind w:left="980" w:hanging="329"/>
        <w:spacing w:after="0" w:line="224" w:lineRule="exact"/>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establishing clinical and commercial manufacturing capabilities or making arrangements with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in order to ensure that we or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are able to make product successfully;</w:t>
      </w:r>
    </w:p>
    <w:p>
      <w:pPr>
        <w:spacing w:after="0" w:line="202" w:lineRule="exact"/>
        <w:rPr>
          <w:rFonts w:ascii="Arial" w:cs="Arial" w:eastAsia="Arial" w:hAnsi="Arial"/>
          <w:sz w:val="16"/>
          <w:szCs w:val="16"/>
          <w:color w:val="auto"/>
        </w:rPr>
      </w:pPr>
    </w:p>
    <w:p>
      <w:pPr>
        <w:ind w:left="980" w:right="100" w:hanging="329"/>
        <w:spacing w:after="0" w:line="223" w:lineRule="exact"/>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development and timely delivery of clinical</w:t>
      </w:r>
      <w:r>
        <w:rPr>
          <w:rFonts w:ascii="MS PGothic" w:cs="MS PGothic" w:eastAsia="MS PGothic" w:hAnsi="MS PGothic"/>
          <w:sz w:val="18"/>
          <w:szCs w:val="18"/>
          <w:color w:val="auto"/>
        </w:rPr>
        <w:t>‑</w:t>
      </w:r>
      <w:r>
        <w:rPr>
          <w:rFonts w:ascii="Arial" w:cs="Arial" w:eastAsia="Arial" w:hAnsi="Arial"/>
          <w:sz w:val="18"/>
          <w:szCs w:val="18"/>
          <w:color w:val="auto"/>
        </w:rPr>
        <w:t>grade and commercial</w:t>
      </w:r>
      <w:r>
        <w:rPr>
          <w:rFonts w:ascii="MS PGothic" w:cs="MS PGothic" w:eastAsia="MS PGothic" w:hAnsi="MS PGothic"/>
          <w:sz w:val="18"/>
          <w:szCs w:val="18"/>
          <w:color w:val="auto"/>
        </w:rPr>
        <w:t>‑</w:t>
      </w:r>
      <w:r>
        <w:rPr>
          <w:rFonts w:ascii="Arial" w:cs="Arial" w:eastAsia="Arial" w:hAnsi="Arial"/>
          <w:sz w:val="18"/>
          <w:szCs w:val="18"/>
          <w:color w:val="auto"/>
        </w:rPr>
        <w:t>grade drug formulations that can be used in our clinical trials and for commercial launch;</w:t>
      </w:r>
    </w:p>
    <w:p>
      <w:pPr>
        <w:spacing w:after="0" w:line="203" w:lineRule="exact"/>
        <w:rPr>
          <w:rFonts w:ascii="Arial" w:cs="Arial" w:eastAsia="Arial" w:hAnsi="Arial"/>
          <w:sz w:val="18"/>
          <w:szCs w:val="18"/>
          <w:color w:val="auto"/>
        </w:rPr>
      </w:pPr>
    </w:p>
    <w:p>
      <w:pPr>
        <w:ind w:left="980" w:hanging="329"/>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225" w:lineRule="exact"/>
        <w:rPr>
          <w:rFonts w:ascii="Arial" w:cs="Arial" w:eastAsia="Arial" w:hAnsi="Arial"/>
          <w:sz w:val="18"/>
          <w:szCs w:val="18"/>
          <w:color w:val="auto"/>
        </w:rPr>
      </w:pPr>
    </w:p>
    <w:p>
      <w:pPr>
        <w:ind w:left="980" w:right="80" w:hanging="329"/>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170" w:lineRule="exact"/>
        <w:rPr>
          <w:rFonts w:ascii="Arial" w:cs="Arial" w:eastAsia="Arial" w:hAnsi="Arial"/>
          <w:sz w:val="18"/>
          <w:szCs w:val="18"/>
          <w:color w:val="auto"/>
        </w:rPr>
      </w:pPr>
    </w:p>
    <w:p>
      <w:pPr>
        <w:ind w:left="980" w:right="220" w:hanging="329"/>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 candidates following approval, if any,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General and administrative expenses consist primarily of salaries and benefits, travel and share</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for personnel in executive, business development, finance, human resources, legal, information technology, pre</w:t>
      </w:r>
      <w:r>
        <w:rPr>
          <w:rFonts w:ascii="MS PGothic" w:cs="MS PGothic" w:eastAsia="MS PGothic" w:hAnsi="MS PGothic"/>
          <w:sz w:val="18"/>
          <w:szCs w:val="18"/>
          <w:color w:val="auto"/>
        </w:rPr>
        <w:t>‑</w:t>
      </w:r>
      <w:r>
        <w:rPr>
          <w:rFonts w:ascii="Arial" w:cs="Arial" w:eastAsia="Arial" w:hAnsi="Arial"/>
          <w:sz w:val="18"/>
          <w:szCs w:val="18"/>
          <w:color w:val="auto"/>
        </w:rPr>
        <w:t>commercial and support personnel functions. General and administrative expenses also include insurance and professional fees for legal, patent, consulting, accounting and audit services.</w:t>
      </w:r>
    </w:p>
    <w:p>
      <w:pPr>
        <w:spacing w:after="0" w:line="204"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We expect that our general and administrative expenses will continue to increase in the future as we continue to prepare for potential commercialization activities and increase our headcount to support our business objectives. We also</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anticipate that we will continue to incur significant costs associated with being a public company, including accounting, audit, legal, compliance and director and officer insurance costs as well as investor and public relations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income consists of income recognized from investments in money market funds and U.S. Treasury notes.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As an exempted company incorporated under the laws of Bermuda, we are principally subject to taxation in Bermuda. Under the current laws of Bermuda, tax on a company’s income is assessed at a zero percent tax rate. As a result, we have not recorded any income tax benefits from our losses incurred in Bermuda during each reporting period, and no net operating loss carryforwards are currently available to us for those losses, while our assets remain in Bermuda. Our wholly owned U.S. subsidiary, Kiniksa Pharmaceuticals Corp., or Kiniksa US, and Primatope are subject to federal and state income taxes in the United States. Our wholly owned subsidiary Kiniksa Pharmaceuticals (UK), Ltd., and its wholly owned subsidiaries, Kiniksa Pharmaceuticals (Germany) GmbH and Kiniksa Pharmaceuticals (France) SARL are subject to taxation in their respective countries. Our benefit for income taxes relates to deferred tax attributes and net credits earned against taxable income generated by our wholly owned subsidiaries, primarily, Kiniksa US, under cost</w:t>
      </w:r>
      <w:r>
        <w:rPr>
          <w:rFonts w:ascii="MS PGothic" w:cs="MS PGothic" w:eastAsia="MS PGothic" w:hAnsi="MS PGothic"/>
          <w:sz w:val="17"/>
          <w:szCs w:val="17"/>
          <w:color w:val="auto"/>
        </w:rPr>
        <w:t>‑</w:t>
      </w:r>
      <w:r>
        <w:rPr>
          <w:rFonts w:ascii="Arial" w:cs="Arial" w:eastAsia="Arial" w:hAnsi="Arial"/>
          <w:sz w:val="17"/>
          <w:szCs w:val="17"/>
          <w:color w:val="auto"/>
        </w:rPr>
        <w:t>plus arrangements that they have with us.</w:t>
      </w:r>
    </w:p>
    <w:p>
      <w:pPr>
        <w:spacing w:after="0" w:line="20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As of December 31, 2019 and 2018, the Company had federal research and development tax credit carryforwards of approximately $0.2 million and $0 respectively, available to reduce future tax liabilities, which begin to expire in 2039. As of December 31, 2019 and 2018, the Company had state research and development tax credit carryforwards of approximately $0.3 million and $0.1 million respectively, available to reduce future tax liabilities, which begin to expire in 2034.</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summarizes our results of operations for the years ended December 31, 2019 and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Years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135,001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86,597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48,404</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13,399</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2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169,963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108,160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61,803</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(169,963)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(108,160)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(61,803)</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w:t>
            </w:r>
          </w:p>
        </w:tc>
        <w:tc>
          <w:tcPr>
            <w:tcW w:w="2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for income taxes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(163,914)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(103,441)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(60,473)</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Benefit for income taxes</w:t>
            </w:r>
          </w:p>
        </w:tc>
        <w:tc>
          <w:tcPr>
            <w:tcW w:w="2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(161,867)</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(103,227)</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(58,640)</w:t>
            </w:r>
          </w:p>
        </w:tc>
        <w:tc>
          <w:tcPr>
            <w:tcW w:w="0" w:type="dxa"/>
            <w:vAlign w:val="bottom"/>
          </w:tcPr>
          <w:p>
            <w:pPr>
              <w:spacing w:after="0"/>
              <w:rPr>
                <w:sz w:val="1"/>
                <w:szCs w:val="1"/>
                <w:color w:val="auto"/>
              </w:rPr>
            </w:pPr>
          </w:p>
        </w:tc>
      </w:tr>
      <w:tr>
        <w:trPr>
          <w:trHeight w:val="851"/>
        </w:trPr>
        <w:tc>
          <w:tcPr>
            <w:tcW w:w="3520" w:type="dxa"/>
            <w:vAlign w:val="bottom"/>
          </w:tcPr>
          <w:p>
            <w:pPr>
              <w:spacing w:after="0"/>
              <w:rPr>
                <w:sz w:val="24"/>
                <w:szCs w:val="24"/>
                <w:color w:val="auto"/>
              </w:rPr>
            </w:pPr>
          </w:p>
        </w:tc>
        <w:tc>
          <w:tcPr>
            <w:tcW w:w="2740" w:type="dxa"/>
            <w:vAlign w:val="bottom"/>
          </w:tcPr>
          <w:p>
            <w:pPr>
              <w:jc w:val="right"/>
              <w:ind w:right="151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5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Years Ended</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7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Rilonacept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25,677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$ 13,446</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$ 12,231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Mavrilimumab</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15,260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KPL-716</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28,772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25,562</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KPL-404</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16,881</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KPL-045</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5,707</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Personnel related (including share-based compensation)</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27,194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15,032</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12,162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17"/>
        </w:trPr>
        <w:tc>
          <w:tcPr>
            <w:tcW w:w="5320" w:type="dxa"/>
            <w:vAlign w:val="bottom"/>
          </w:tcPr>
          <w:p>
            <w:pPr>
              <w:ind w:left="320"/>
              <w:spacing w:after="0"/>
              <w:rPr>
                <w:sz w:val="20"/>
                <w:szCs w:val="20"/>
                <w:color w:val="auto"/>
              </w:rPr>
            </w:pPr>
            <w:r>
              <w:rPr>
                <w:rFonts w:ascii="Arial" w:cs="Arial" w:eastAsia="Arial" w:hAnsi="Arial"/>
                <w:sz w:val="18"/>
                <w:szCs w:val="18"/>
                <w:color w:val="auto"/>
              </w:rPr>
              <w:t>Total research and development expenses</w:t>
            </w:r>
          </w:p>
        </w:tc>
        <w:tc>
          <w:tcPr>
            <w:tcW w:w="10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135,001</w:t>
            </w:r>
          </w:p>
        </w:tc>
        <w:tc>
          <w:tcPr>
            <w:tcW w:w="2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$ 86,597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$ 48,404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Research and development expenses were $135.0 million for the year ended December 31, 2019, compared to $86.6 million for the year ended December 31, 2018. The increase of $48.4 million was primarily due to a $27.1 million increase in external fees related to our development programs for our product candidates, as well as an increase of $21.2 million in unallocated research and development expenses.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direct costs for our rilonacept program were $25.7 million for the year ended December 31, 2019, compared to $13.5 million for the year ended December 31, 2018, or an increase of $12.2 million. During the year ended December 31, 2019, expenses incurred primarily related to conducting RHAPSODY, our global, pivotal Phase 3 clinical trial in recurrent pericarditis, including purchases of drug materials under our clinical supply agreement with Regeneron, compared to the year ended December 31, 2018, in which expenses incurred related to clinical research and development for our Phase 2 open label clinical trial and initiation of RHAPSODY.</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direct costs of our mavrilimumab program were $13.8 million for the year ended December 31, 2019, compared to $15.3 million for the year ended December 31, 2018, or a decrease of $1.5 million. During the year ended December 31, 2019, expenses incurred related primarily to our global Phase 2 clinical trial in GCA and manufacturing process development related expenses, compared to the year ended December 31, 2018, in which expenses incurred related to $5.0 million pass-through payment due upon the achievement of a specified clinical milestone event due under our license agreement with MedImmune as well as expenses related to preparation for our planned global Phase 2 trial in GCA and manufacturing process development expenses.</w:t>
      </w:r>
    </w:p>
    <w:p>
      <w:pPr>
        <w:spacing w:after="0" w:line="189"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The direct costs for our KPL</w:t>
      </w:r>
      <w:r>
        <w:rPr>
          <w:rFonts w:ascii="MS PGothic" w:cs="MS PGothic" w:eastAsia="MS PGothic" w:hAnsi="MS PGothic"/>
          <w:sz w:val="17"/>
          <w:szCs w:val="17"/>
          <w:color w:val="auto"/>
        </w:rPr>
        <w:t>‑</w:t>
      </w:r>
      <w:r>
        <w:rPr>
          <w:rFonts w:ascii="Arial" w:cs="Arial" w:eastAsia="Arial" w:hAnsi="Arial"/>
          <w:sz w:val="17"/>
          <w:szCs w:val="17"/>
          <w:color w:val="auto"/>
        </w:rPr>
        <w:t>716 program were $28.8 million for the year ended December 31, 2019, compared to $25.6 million for the year ended December 31, 2018, or an increase of $3.2 million. During the year ended December 31, 2019, expenses incurred related primarily to a milestone payment of $10.0 million under our asset purchase agreement with Biogen associated with the achievement of a specified clinical milestone event as well as expenses incurred for our Phase 2a clinical trial in prurigo nodularis, our exploratory Phase 2 clinical trial in diseases characterized by chronic pruritus, our Phase 1b clinical trial, and manufacturing and development costs for our clinical drug supply, compared to the year ended December 31, 2018, in which expenses incurred related to manufacturing and development costs for our clinical drug supply, our Phase 1a/1b clinical trial, and our LOTUS-PN observational study.</w:t>
      </w:r>
    </w:p>
    <w:p>
      <w:pPr>
        <w:spacing w:after="0" w:line="205" w:lineRule="exact"/>
        <w:rPr>
          <w:sz w:val="20"/>
          <w:szCs w:val="20"/>
          <w:color w:val="auto"/>
        </w:rPr>
      </w:pPr>
    </w:p>
    <w:p>
      <w:pPr>
        <w:ind w:right="40" w:firstLine="648"/>
        <w:spacing w:after="0" w:line="218" w:lineRule="exact"/>
        <w:rPr>
          <w:sz w:val="20"/>
          <w:szCs w:val="20"/>
          <w:color w:val="auto"/>
        </w:rPr>
      </w:pPr>
      <w:r>
        <w:rPr>
          <w:rFonts w:ascii="Arial" w:cs="Arial" w:eastAsia="Arial" w:hAnsi="Arial"/>
          <w:sz w:val="16"/>
          <w:szCs w:val="16"/>
          <w:color w:val="auto"/>
        </w:rPr>
        <w:t>The direct costs for our KPL</w:t>
      </w:r>
      <w:r>
        <w:rPr>
          <w:rFonts w:ascii="MS PGothic" w:cs="MS PGothic" w:eastAsia="MS PGothic" w:hAnsi="MS PGothic"/>
          <w:sz w:val="16"/>
          <w:szCs w:val="16"/>
          <w:color w:val="auto"/>
        </w:rPr>
        <w:t>‑</w:t>
      </w:r>
      <w:r>
        <w:rPr>
          <w:rFonts w:ascii="Arial" w:cs="Arial" w:eastAsia="Arial" w:hAnsi="Arial"/>
          <w:sz w:val="16"/>
          <w:szCs w:val="16"/>
          <w:color w:val="auto"/>
        </w:rPr>
        <w:t>404 program were $22.8 million for the year ended December 31, 2019, compared to $6.0 million for the year ended December 31, 2018, or an increase of $16.8 million. During the year ended December 31, 2019, expenses incurred primarily related to $18.0 million of expense related to the acquisition of the issued and outstanding equity securities of Primatope and milestone achievements, comprised of upfront consideration of $10.0 million paid at closing and milestone payments of $5.0 million, which had been achieved as of the closing date, and $3.0 million, which was achieved after the closing during the year ended December 31, 2019, each paid in a combination of cash and Class A common shares (inclusive of escrow and holdback amounts) in accordance with the Primatope Agreement, as well as preclinical expenses and initiation of our Phase 1 trial. During the year ended December 31, 2018,</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5" w:name="page126"/>
    <w:bookmarkEnd w:id="1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expenses incurred primarily related to clinical research and development, including manufacturing development costs as well as $0.8 million related to the extension of the option period under our stock purchase option agreement with Primatope. The Primatope acquisition was accounted for as an asset acquisition in 2019 as it did not meet the definition of a business. We recorded the upfront payment, milestone payments and the accrued milestone as research and development expense in the consolidated statement of operations and comprehensive loss because the acquired technology represented in-process research and development and had no alternative future use.</w:t>
      </w:r>
    </w:p>
    <w:p>
      <w:pPr>
        <w:spacing w:after="0" w:line="178" w:lineRule="exact"/>
        <w:rPr>
          <w:sz w:val="20"/>
          <w:szCs w:val="20"/>
          <w:color w:val="auto"/>
        </w:rPr>
      </w:pPr>
    </w:p>
    <w:p>
      <w:pPr>
        <w:ind w:right="100" w:firstLine="648"/>
        <w:spacing w:after="0" w:line="219" w:lineRule="exact"/>
        <w:rPr>
          <w:sz w:val="20"/>
          <w:szCs w:val="20"/>
          <w:color w:val="auto"/>
        </w:rPr>
      </w:pPr>
      <w:r>
        <w:rPr>
          <w:rFonts w:ascii="Arial" w:cs="Arial" w:eastAsia="Arial" w:hAnsi="Arial"/>
          <w:sz w:val="17"/>
          <w:szCs w:val="17"/>
          <w:color w:val="auto"/>
        </w:rPr>
        <w:t>The direct costs for our former KPL</w:t>
      </w:r>
      <w:r>
        <w:rPr>
          <w:rFonts w:ascii="MS PGothic" w:cs="MS PGothic" w:eastAsia="MS PGothic" w:hAnsi="MS PGothic"/>
          <w:sz w:val="17"/>
          <w:szCs w:val="17"/>
          <w:color w:val="auto"/>
        </w:rPr>
        <w:t>‑</w:t>
      </w:r>
      <w:r>
        <w:rPr>
          <w:rFonts w:ascii="Arial" w:cs="Arial" w:eastAsia="Arial" w:hAnsi="Arial"/>
          <w:sz w:val="17"/>
          <w:szCs w:val="17"/>
          <w:color w:val="auto"/>
        </w:rPr>
        <w:t>045 program were $1.9 million during the year ended December 31, 2019, compared to $5.7 million during the year ended December 31, 2018, or a decrease of $3.8 million. In January 2020, we terminated our license agreement with Novo Nordisk and ceased development of KPL-045. During the year ended December 31, 2019, expenses incurred related to preclinical research and development, including manufacturing development costs, compared to the year ended December 31, 2018, in which expenses incurred related primarily to clinical research and development, including manufacturing development costs.</w:t>
      </w:r>
    </w:p>
    <w:p>
      <w:pPr>
        <w:spacing w:after="0" w:line="20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Unallocated research and development expenses were $41.9 million for the year ended December 31, 2019 compared to $20.7 million for the year ended December 31, 2018. The increase of $21.2 million in unallocated research and development expenses was due to an increase of $12.2 million in personnel-related costs, including share-based compensation, and an increase of $9.1 million in other costs, including research costs related to potential future programs and internal lab costs. The increase in personnel-related costs was primarily due to additional personnel in our research and development functions to support our ongoing clinical trials, including development and manufacture of clinical supply and regulatory filings. Personnel-related costs for the year ended December 31, 2019 and 2018 included share-based compensation of $5.7 million and $2.3 million,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General and administrative expenses were $35.0 million for the year ended December 31, 2019 compared to $21.6 million for the year ended December 31, 2018. The increase of $13.4 million was primarily due to increases of $11.7 million in personnel-related costs and $2.1 million in professional fees, partially offset by a decrease of $0.4 million in other general expenses. The increase in personnel-related costs was due to additional personnel in our general and administrative functions, primarily in our commercial and corporate departments, including legal, finance and human resources. Personnel-related costs for the year ended December 31, 2019 and 2018, included share-based compensation of $9.3 million and $3.4 million, respectively. Professional fees increased due to costs related to commercial preparations, including market research as well as legal costs incurred in connection with maintaining and registering worldwide patents and costs associated with our ongoing business operations, as well as expenses for higher recruiting, accounting and other costs incurred as a public company for a full fiscal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Interest income was $6.0 million for the year ended December 31, 2019 compared to $4.7 million for the year ended December 31, 2018. The increase was largely due to higher average invested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225"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For the year ended December 31, 2019, we recorded a benefit for income taxes of $2.0 million relating primarily to the impact of the Foreign Derived Intangible Income, or FDII, deduction for 2019 and 2018; and U.S. federal and state research and development tax credits. FDII was enacted as part of the tax reform enacted by the United States in December 2017, generally referred to as the U.S. Tax Cuts and Jobs Act, with additional proposed regulations and guidance issued in 2019. Upon the completion of our assessment we have included the tax impact of FDII in our income tax expense for</w:t>
      </w:r>
    </w:p>
    <w:p>
      <w:pPr>
        <w:spacing w:after="0" w:line="2"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the year ended December 31, 2019, based on our understanding of the rules available at the time of the filing of this Annual Report. However, the amounts recorded could be impacted in the future when the proposed regulations and guidance are finalized. For the year ended December 31, 2018, we recorded an insignificant benefit for income taxes.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26" w:name="page127"/>
    <w:bookmarkEnd w:id="1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Since our inception, we have not generated any revenue from any sources, including from product sales, and have incurred significant operating losses and negative cash flows from our operations. Prior to the completion of our IPO in May 2018, we funded our operations primarily with proceeds from the sale of preferred shares, from which we had received net proceeds of $310.6 million.</w:t>
      </w:r>
    </w:p>
    <w:p>
      <w:pPr>
        <w:spacing w:after="0" w:line="187"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On May 23, 2018, our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1 relating to our IPO was declared effective by the SEC. On May 29, 2018, we completed the IPO of 8,477,777 Class A common shares at $18.00 per share for gross proceeds of $152.6 million. In addition, on June 22, 2018, we completed the sale of 1,006,425 Class A common shares to the underwriters of the IPO following the exercise of their over-allotment option to purchase additional shares at $18.00 per share, for gross proceeds of $18.1 million. The aggregate net proceeds to us from the IPO, inclusive of the over-allotment option exercise, was $155.5 million after deducting underwriting discounts and commissions and other offering costs.</w:t>
      </w:r>
    </w:p>
    <w:p>
      <w:pPr>
        <w:spacing w:after="0" w:line="20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February 4, 2019, we completed a follow-on offering of 2,654,984 Class A common shares and concurrent private placement of 2,000,000 Class A1 common shares, both at $18.26 per share for aggregate gross proceeds of $85.0 million. In addition, on March 1, 2019, we completed the sale of 161,126 Class A common shares to the underwriters of the follow-on offering following the exercise in part of their over-allotment option to purchase additional shares at $18.26 per share for gross proceeds of $2.9 million. The aggregate net proceeds to us from the follow-on offering and concurrent private placement, inclusive of the over-allotment option exercise, was $83.0 million after deducting underwriting discounts and commissions and other offering costs.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we had cash, cash equivalents and short-term investments of $233.4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30"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Years Ended</w:t>
      </w:r>
    </w:p>
    <w:p>
      <w:pPr>
        <w:ind w:left="76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6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5"/>
          </w:tcPr>
          <w:p>
            <w:pPr>
              <w:jc w:val="right"/>
              <w:ind w:right="454"/>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(158,369)</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(81,012)</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49,214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(239,198)</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346,736</w:t>
            </w:r>
          </w:p>
        </w:tc>
      </w:tr>
      <w:tr>
        <w:trPr>
          <w:trHeight w:val="217"/>
        </w:trPr>
        <w:tc>
          <w:tcPr>
            <w:tcW w:w="6300" w:type="dxa"/>
            <w:vAlign w:val="bottom"/>
          </w:tcPr>
          <w:p>
            <w:pPr>
              <w:ind w:left="32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8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During the year ended December 31, 2019, operating activities used $158.4 million of cash, primarily resulting from our net loss of $161.9 million and net cash used by changes in our operating assets and liabilities of $17.0 million partially offset by non-cash charges of $20.5 million. Net cash used by changes in our operating assets and liabilities for the year ended December 31, 2019 consisted of a $15.0 million decrease in accrued milestones, a $4.7 million decrease in accounts payable, and a $1.3 million decrease in operating lease liabilities partially offset by a $1.0 million increase in prepaid expenses and other current assets, a $0.3 million increase in other long-term liabilities and a $4.6 million increase in accrued expenses. The decrease in accrued milestones resulted from the payment of outstanding milestones for which the expense was recognized in prior years. The decrease in accounts payable was primarily due to the timing of vendor invoicing and payments. The increase in prepaid expenses and other current assets was due to increases in prepaid insurance expenses and prepaid expenses to CROs related to our clinical trials. The decrease in operating lease liabilities is due to monthly payments for our right-of-use assets.</w:t>
      </w:r>
    </w:p>
    <w:p>
      <w:pPr>
        <w:spacing w:after="0" w:line="183"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During the year ended December 31, 2018, operating activities used $81.0 million of cash, primarily resulting from our net loss of $103.2 million, partially offset by net non-cash charges of $3.9 million and net cash provided by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7" w:name="page128"/>
    <w:bookmarkEnd w:id="1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changes in our operating assets and liabilities of $18.3 million. Net cash provided by changes in our operating assets and liabilities for the year ended December 31, 2018 consisted of a $14.3 million increase in accrued expenses and other liabilities and a $8.8 million increase in accounts payable, partially offset by a $4.8 million increase in prepaid expenses and other current assets. The increase in accrued expenses was primarily due to our increased level of operating activities and the timing of vendor invoicing and payments, an increase in accrued milestones as well as an increase in accrued employee compensation expense. The increase in accounts payable was primarily due to increased operating activities as well as the timing of vendor invoicing and payments. The increase in prepaid expenses and other current assets was due to increases in prepaid insurance expenses, interest receivable and prepaid expenses to CMOs related to manufacturing development and CROs related to our clinical trials.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During the year ended December 31, 2019, investing activities provided $49.2 million of cash, consisting of $541.2 million from proceeds of maturities of short-term investments partially offset by $488.8 million of purchases of short-term investments and $3.2 million of purchases of property and equipment.</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During the year ended December 31, 2018, investing activities used $239.2 million of cash, consisting of $5.3 million of purchases of property and equipment and $402.0 million of purchases of short-term investments partially offset by $168.1 million from proceeds of maturities of short-term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year ended December 31, 2019, financing activities provided $84.1 million of cash, consisting of $83.0 million from proceeds from our issuance and sale of Class A common shares in a follow-on public offering, inclusive of the concurrent issuance and sale of Class A1 common shares in a private placement, and exercise in part of the underwriters’ over-allotment option to purchase additional Class A common shares and concurrent issuance after deduction of underwriting commissions and discounts and other offering costs.</w:t>
      </w:r>
    </w:p>
    <w:p>
      <w:pPr>
        <w:spacing w:after="0" w:line="18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During the year ended December 31, 2018, net cash provided by financing activities was $346.7 million, primarily consisting of proceeds of $159.2 million from our issuance and sale of Class A common shares, net of underwriting commissions and discounts upon completion of our IPO, inclusive of the over-allotment option exercise, $190.8 million in net proceeds from our issuance and sale of Series C preferred shares partially offset by $3.7 million of payments of other offering costs associated with our IPO, inclusive of the over-allotment option exercise.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expect to incur significant expenses in connection with our ongoing activities, particularly as we advance the clinical trials, preclinical activities of our product candidates and prepare for commercial operations. Additionally, we expect to continue to incur additional costs associated with operating as a public company, including significant legal, accounting, investor relations and other expenses. We expect to incur expenses as we:</w:t>
      </w:r>
    </w:p>
    <w:p>
      <w:pPr>
        <w:spacing w:after="0" w:line="187" w:lineRule="exact"/>
        <w:rPr>
          <w:sz w:val="20"/>
          <w:szCs w:val="20"/>
          <w:color w:val="auto"/>
        </w:rPr>
      </w:pPr>
    </w:p>
    <w:p>
      <w:pPr>
        <w:ind w:left="980" w:right="800" w:hanging="329"/>
        <w:spacing w:after="0" w:line="223" w:lineRule="exact"/>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continue to conduct our current clinical trials and/or initiate our planned clinical trials, for rilonacept, mavrilimumab, KPL</w:t>
      </w:r>
      <w:r>
        <w:rPr>
          <w:rFonts w:ascii="MS PGothic" w:cs="MS PGothic" w:eastAsia="MS PGothic" w:hAnsi="MS PGothic"/>
          <w:sz w:val="18"/>
          <w:szCs w:val="18"/>
          <w:color w:val="auto"/>
        </w:rPr>
        <w:t>‑</w:t>
      </w:r>
      <w:r>
        <w:rPr>
          <w:rFonts w:ascii="Arial" w:cs="Arial" w:eastAsia="Arial" w:hAnsi="Arial"/>
          <w:sz w:val="18"/>
          <w:szCs w:val="18"/>
          <w:color w:val="auto"/>
        </w:rPr>
        <w:t>716 and KPL-404 as applicable;</w:t>
      </w:r>
    </w:p>
    <w:p>
      <w:pPr>
        <w:spacing w:after="0" w:line="203" w:lineRule="exact"/>
        <w:rPr>
          <w:rFonts w:ascii="Arial" w:cs="Arial" w:eastAsia="Arial" w:hAnsi="Arial"/>
          <w:sz w:val="18"/>
          <w:szCs w:val="18"/>
          <w:color w:val="auto"/>
        </w:rPr>
      </w:pPr>
    </w:p>
    <w:p>
      <w:pPr>
        <w:ind w:left="980" w:right="580" w:hanging="329"/>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manufacture, or have manufactured on our behalf, our preclinical and clinical drug material and develop processes for late-stage and commercial manufacturing;</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980" w:right="100" w:hanging="329"/>
        <w:spacing w:after="0" w:line="264"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including rilonacept, for which we may obtain marketing approval and intend to commercialize on our own;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8" w:name="page129"/>
    <w:bookmarkEnd w:id="1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hire additional clinical, quality and research and development personnel;</w:t>
      </w:r>
    </w:p>
    <w:p>
      <w:pPr>
        <w:spacing w:after="0" w:line="225" w:lineRule="exact"/>
        <w:rPr>
          <w:rFonts w:ascii="Arial" w:cs="Arial" w:eastAsia="Arial" w:hAnsi="Arial"/>
          <w:sz w:val="18"/>
          <w:szCs w:val="18"/>
          <w:color w:val="auto"/>
        </w:rPr>
      </w:pPr>
    </w:p>
    <w:p>
      <w:pPr>
        <w:ind w:left="980" w:right="280" w:hanging="329"/>
        <w:spacing w:after="0" w:line="342" w:lineRule="auto"/>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expand our operational, financial and management systems and increase personnel globally to support our clinical development, manufacturing and commercialization efforts and our operations as a public company;</w:t>
      </w:r>
    </w:p>
    <w:p>
      <w:pPr>
        <w:spacing w:after="0" w:line="123" w:lineRule="exact"/>
        <w:rPr>
          <w:rFonts w:ascii="Arial" w:cs="Arial" w:eastAsia="Arial" w:hAnsi="Arial"/>
          <w:sz w:val="16"/>
          <w:szCs w:val="16"/>
          <w:color w:val="auto"/>
        </w:rPr>
      </w:pPr>
    </w:p>
    <w:p>
      <w:pPr>
        <w:ind w:left="980" w:hanging="329"/>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225" w:lineRule="exact"/>
        <w:rPr>
          <w:rFonts w:ascii="Arial" w:cs="Arial" w:eastAsia="Arial" w:hAnsi="Arial"/>
          <w:sz w:val="18"/>
          <w:szCs w:val="18"/>
          <w:color w:val="auto"/>
        </w:rPr>
      </w:pPr>
    </w:p>
    <w:p>
      <w:pPr>
        <w:ind w:left="980" w:hanging="329"/>
        <w:spacing w:after="0" w:line="223" w:lineRule="exact"/>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or acquire other product candidates and technologies or their related businesses, if we determine to do so.</w:t>
      </w:r>
    </w:p>
    <w:p>
      <w:pPr>
        <w:spacing w:after="0" w:line="203" w:lineRule="exact"/>
        <w:rPr>
          <w:sz w:val="20"/>
          <w:szCs w:val="20"/>
          <w:color w:val="auto"/>
        </w:rPr>
      </w:pPr>
    </w:p>
    <w:p>
      <w:pPr>
        <w:ind w:right="40" w:firstLine="648"/>
        <w:spacing w:after="0" w:line="218" w:lineRule="exact"/>
        <w:rPr>
          <w:sz w:val="20"/>
          <w:szCs w:val="20"/>
          <w:color w:val="auto"/>
        </w:rPr>
      </w:pPr>
      <w:r>
        <w:rPr>
          <w:rFonts w:ascii="Arial" w:cs="Arial" w:eastAsia="Arial" w:hAnsi="Arial"/>
          <w:sz w:val="16"/>
          <w:szCs w:val="16"/>
          <w:color w:val="auto"/>
        </w:rPr>
        <w:t>We believe that our existing cash, cash equivalents and short</w:t>
      </w:r>
      <w:r>
        <w:rPr>
          <w:rFonts w:ascii="MS PGothic" w:cs="MS PGothic" w:eastAsia="MS PGothic" w:hAnsi="MS PGothic"/>
          <w:sz w:val="16"/>
          <w:szCs w:val="16"/>
          <w:color w:val="auto"/>
        </w:rPr>
        <w:t>‑</w:t>
      </w:r>
      <w:r>
        <w:rPr>
          <w:rFonts w:ascii="Arial" w:cs="Arial" w:eastAsia="Arial" w:hAnsi="Arial"/>
          <w:sz w:val="16"/>
          <w:szCs w:val="16"/>
          <w:color w:val="auto"/>
        </w:rPr>
        <w:t>term investments will enable us to fund our operating expenses and capital expenditure requirements for at least the next 12 months from the date of filing this Annual Report. We have based these estimates on assumptions that may prove to be wrong, and we could utilize our available capital resources sooner than we expect. We anticipate that we may require additional capital if we choose to pursue in</w:t>
      </w:r>
      <w:r>
        <w:rPr>
          <w:rFonts w:ascii="MS PGothic" w:cs="MS PGothic" w:eastAsia="MS PGothic" w:hAnsi="MS PGothic"/>
          <w:sz w:val="16"/>
          <w:szCs w:val="16"/>
          <w:color w:val="auto"/>
        </w:rPr>
        <w:t>‑</w:t>
      </w:r>
      <w:r>
        <w:rPr>
          <w:rFonts w:ascii="Arial" w:cs="Arial" w:eastAsia="Arial" w:hAnsi="Arial"/>
          <w:sz w:val="16"/>
          <w:szCs w:val="16"/>
          <w:color w:val="auto"/>
        </w:rPr>
        <w:t>licenses or acquisitions of other product candidates and technologies or their related businesses. If we receive regulatory approval for rilonacept or our other product candidates, we expect to incur significant commercialization expenses related to product manufacturing, sales, marketing and distribution, depending on where we choose to commercialize.</w:t>
      </w:r>
    </w:p>
    <w:p>
      <w:pPr>
        <w:spacing w:after="0" w:line="205"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Because of the numerous risks and uncertainties associated with research, development and commercialization of biologic products, we are unable to estimate the exact amount of our working capital requirements. Our future funding requirements will depend on and could increase significantly as a result of many factors, including:</w:t>
      </w:r>
    </w:p>
    <w:p>
      <w:pPr>
        <w:spacing w:after="0" w:line="147" w:lineRule="exact"/>
        <w:rPr>
          <w:sz w:val="20"/>
          <w:szCs w:val="20"/>
          <w:color w:val="auto"/>
        </w:rPr>
      </w:pPr>
    </w:p>
    <w:p>
      <w:pPr>
        <w:ind w:left="980" w:right="340" w:hanging="329"/>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conducting preclinical and clinical trials;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980" w:right="600" w:hanging="329"/>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costs, timing and ability to manufacture our product candidates to supply our clinical and preclinical development efforts and our clinical trials;</w:t>
      </w:r>
    </w:p>
    <w:p>
      <w:pPr>
        <w:spacing w:after="0" w:line="170" w:lineRule="exact"/>
        <w:rPr>
          <w:rFonts w:ascii="Arial" w:cs="Arial" w:eastAsia="Arial" w:hAnsi="Arial"/>
          <w:sz w:val="18"/>
          <w:szCs w:val="18"/>
          <w:color w:val="auto"/>
        </w:rPr>
      </w:pPr>
    </w:p>
    <w:p>
      <w:pPr>
        <w:ind w:left="980" w:right="80" w:hanging="329"/>
        <w:spacing w:after="0" w:line="264"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pricing and reimbursement, distribution and compliance, for any of our product candidates for which we receive marketing approval;</w:t>
      </w:r>
    </w:p>
    <w:p>
      <w:pPr>
        <w:spacing w:after="0" w:line="181" w:lineRule="exact"/>
        <w:rPr>
          <w:rFonts w:ascii="Arial" w:cs="Arial" w:eastAsia="Arial" w:hAnsi="Arial"/>
          <w:sz w:val="18"/>
          <w:szCs w:val="18"/>
          <w:color w:val="auto"/>
        </w:rPr>
      </w:pPr>
    </w:p>
    <w:p>
      <w:pPr>
        <w:ind w:left="980" w:hanging="329"/>
        <w:spacing w:after="0" w:line="184" w:lineRule="exact"/>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costs of manufacturing commercial</w:t>
      </w:r>
      <w:r>
        <w:rPr>
          <w:rFonts w:ascii="MS PGothic" w:cs="MS PGothic" w:eastAsia="MS PGothic" w:hAnsi="MS PGothic"/>
          <w:sz w:val="16"/>
          <w:szCs w:val="16"/>
          <w:color w:val="auto"/>
        </w:rPr>
        <w:t>‑</w:t>
      </w:r>
      <w:r>
        <w:rPr>
          <w:rFonts w:ascii="Arial" w:cs="Arial" w:eastAsia="Arial" w:hAnsi="Arial"/>
          <w:sz w:val="16"/>
          <w:szCs w:val="16"/>
          <w:color w:val="auto"/>
        </w:rPr>
        <w:t>grade product and necessary inventory to support commercial launch;</w:t>
      </w:r>
    </w:p>
    <w:p>
      <w:pPr>
        <w:spacing w:after="0" w:line="248" w:lineRule="exact"/>
        <w:rPr>
          <w:rFonts w:ascii="Arial" w:cs="Arial" w:eastAsia="Arial" w:hAnsi="Arial"/>
          <w:sz w:val="16"/>
          <w:szCs w:val="16"/>
          <w:color w:val="auto"/>
        </w:rPr>
      </w:pPr>
    </w:p>
    <w:p>
      <w:pPr>
        <w:ind w:left="980" w:hanging="329"/>
        <w:spacing w:after="0" w:line="207" w:lineRule="exact"/>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ability to receive additional non</w:t>
      </w:r>
      <w:r>
        <w:rPr>
          <w:rFonts w:ascii="MS PGothic" w:cs="MS PGothic" w:eastAsia="MS PGothic" w:hAnsi="MS PGothic"/>
          <w:sz w:val="18"/>
          <w:szCs w:val="18"/>
          <w:color w:val="auto"/>
        </w:rPr>
        <w:t>‑</w:t>
      </w:r>
      <w:r>
        <w:rPr>
          <w:rFonts w:ascii="Arial" w:cs="Arial" w:eastAsia="Arial" w:hAnsi="Arial"/>
          <w:sz w:val="18"/>
          <w:szCs w:val="18"/>
          <w:color w:val="auto"/>
        </w:rPr>
        <w:t>dilutive funding;</w:t>
      </w:r>
    </w:p>
    <w:p>
      <w:pPr>
        <w:spacing w:after="0" w:line="225" w:lineRule="exact"/>
        <w:rPr>
          <w:rFonts w:ascii="Arial" w:cs="Arial" w:eastAsia="Arial" w:hAnsi="Arial"/>
          <w:sz w:val="18"/>
          <w:szCs w:val="18"/>
          <w:color w:val="auto"/>
        </w:rPr>
      </w:pPr>
    </w:p>
    <w:p>
      <w:pPr>
        <w:ind w:left="980" w:right="540" w:hanging="329"/>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revenue, if any, received from commercial sale of our products, should any of our product candidates receive marketing approval;</w:t>
      </w:r>
    </w:p>
    <w:p>
      <w:pPr>
        <w:spacing w:after="0" w:line="170" w:lineRule="exact"/>
        <w:rPr>
          <w:rFonts w:ascii="Arial" w:cs="Arial" w:eastAsia="Arial" w:hAnsi="Arial"/>
          <w:sz w:val="18"/>
          <w:szCs w:val="18"/>
          <w:color w:val="auto"/>
        </w:rPr>
      </w:pPr>
    </w:p>
    <w:p>
      <w:pPr>
        <w:ind w:left="980" w:right="340" w:hanging="329"/>
        <w:spacing w:after="0" w:line="223" w:lineRule="exact"/>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203" w:lineRule="exact"/>
        <w:rPr>
          <w:rFonts w:ascii="Arial" w:cs="Arial" w:eastAsia="Arial" w:hAnsi="Arial"/>
          <w:sz w:val="18"/>
          <w:szCs w:val="18"/>
          <w:color w:val="auto"/>
        </w:rPr>
      </w:pPr>
    </w:p>
    <w:p>
      <w:pPr>
        <w:ind w:left="980" w:right="60" w:hanging="329"/>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ability to establish and maintain licensing, collaboration or other strategic transactions and arrangements on favorable terms, if at all;</w:t>
      </w:r>
    </w:p>
    <w:p>
      <w:pPr>
        <w:spacing w:after="0" w:line="170" w:lineRule="exact"/>
        <w:rPr>
          <w:rFonts w:ascii="Arial" w:cs="Arial" w:eastAsia="Arial" w:hAnsi="Arial"/>
          <w:sz w:val="18"/>
          <w:szCs w:val="18"/>
          <w:color w:val="auto"/>
        </w:rPr>
      </w:pPr>
    </w:p>
    <w:p>
      <w:pPr>
        <w:ind w:left="980" w:right="60" w:hanging="329"/>
        <w:spacing w:after="0" w:line="223" w:lineRule="exact"/>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 technologies and their related businesses;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9" w:name="page130"/>
    <w:bookmarkEnd w:id="1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0" w:hanging="329"/>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timing, receipt and amount of sales of, or milestone payments related to or royalties on, our current or future product candidates, if any.</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public or private equity offerings, debt financings, or other sources, including, licensing, collaboration, marketing, distribution or other strategic transactions or arrangements with third parties. To the extent that we raise additional capital through the sale of equity or convertible debt securities, our shareholders’ ownership interest may be materially diluted, and the terms of such securities could include liquidation or other preferences that adversely affect our shareholders’ rights as a common shareholder. Debt financing and preferred equity financing, if available, may involve agreements that include restrictive covenants that limit our ability to take specified actions, such as incurring additional debt, making capital expenditures or declaring dividends. In addition, debt financing would result in fixed payment obligations.</w:t>
      </w:r>
    </w:p>
    <w:p>
      <w:pPr>
        <w:spacing w:after="0" w:line="16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If we raise funds through licensing, collaboration, marketing, distribution or other strategic transactions or arrangements with third parties, we may have to relinquish valuable rights to our technologies, product candidates or future revenue streams, or otherwise agree to terms that may not be favorable to us. If we are unable to obtain funding, we could be forced to delay, reduce or eliminate some or all of our research and development programs for product candidates, product portfolio expansion or commercialization efforts, which could adversely affect our business prospects, or we may be unable to continue operations.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2019 and the effects that such obligations are expected to have on our liquidity and cash flows in future periods: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04"/>
        </w:trPr>
        <w:tc>
          <w:tcPr>
            <w:tcW w:w="2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6"/>
              <w:spacing w:after="0"/>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1 to 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4 to 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More than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74"/>
              <w:spacing w:after="0"/>
              <w:rPr>
                <w:sz w:val="20"/>
                <w:szCs w:val="20"/>
                <w:color w:val="auto"/>
              </w:rPr>
            </w:pPr>
            <w:r>
              <w:rPr>
                <w:rFonts w:ascii="Arial" w:cs="Arial" w:eastAsia="Arial" w:hAnsi="Arial"/>
                <w:sz w:val="14"/>
                <w:szCs w:val="14"/>
                <w:b w:val="1"/>
                <w:bCs w:val="1"/>
                <w:color w:val="auto"/>
              </w:rPr>
              <w:t>Total</w:t>
            </w:r>
          </w:p>
        </w:tc>
      </w:tr>
      <w:tr>
        <w:trPr>
          <w:trHeight w:val="216"/>
        </w:trPr>
        <w:tc>
          <w:tcPr>
            <w:tcW w:w="2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36"/>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years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years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5 years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2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1"/>
        </w:trPr>
        <w:tc>
          <w:tcPr>
            <w:tcW w:w="2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5"/>
        </w:trPr>
        <w:tc>
          <w:tcPr>
            <w:tcW w:w="2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16"/>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Manufacturing commitments </w:t>
            </w:r>
            <w:r>
              <w:rPr>
                <w:rFonts w:ascii="Arial" w:cs="Arial" w:eastAsia="Arial" w:hAnsi="Arial"/>
                <w:sz w:val="8"/>
                <w:szCs w:val="8"/>
                <w:color w:val="auto"/>
              </w:rPr>
              <w:t>(1)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r>
      <w:tr>
        <w:trPr>
          <w:trHeight w:val="216"/>
        </w:trPr>
        <w:tc>
          <w:tcPr>
            <w:tcW w:w="3200" w:type="dxa"/>
            <w:vAlign w:val="bottom"/>
            <w:gridSpan w:val="2"/>
          </w:tcPr>
          <w:p>
            <w:pPr>
              <w:ind w:left="120"/>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8"/>
                <w:szCs w:val="8"/>
                <w:color w:val="auto"/>
              </w:rPr>
              <w:t>(2)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2,793</w:t>
            </w:r>
          </w:p>
        </w:tc>
      </w:tr>
      <w:tr>
        <w:trPr>
          <w:trHeight w:val="216"/>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Rilonacept long-term incentive plan </w:t>
            </w:r>
            <w:r>
              <w:rPr>
                <w:rFonts w:ascii="Arial" w:cs="Arial" w:eastAsia="Arial" w:hAnsi="Arial"/>
                <w:sz w:val="8"/>
                <w:szCs w:val="8"/>
                <w:color w:val="auto"/>
              </w:rPr>
              <w:t>(3)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r>
      <w:tr>
        <w:trPr>
          <w:trHeight w:val="217"/>
        </w:trPr>
        <w:tc>
          <w:tcPr>
            <w:tcW w:w="320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4,684</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7,739</w:t>
            </w:r>
          </w:p>
        </w:tc>
      </w:tr>
      <w:tr>
        <w:trPr>
          <w:trHeight w:val="108"/>
        </w:trPr>
        <w:tc>
          <w:tcPr>
            <w:tcW w:w="228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89" w:lineRule="exact"/>
        <w:rPr>
          <w:sz w:val="20"/>
          <w:szCs w:val="20"/>
          <w:color w:val="auto"/>
        </w:rPr>
      </w:pPr>
    </w:p>
    <w:p>
      <w:pPr>
        <w:ind w:left="320" w:right="20" w:hanging="317"/>
        <w:spacing w:after="0" w:line="155" w:lineRule="exact"/>
        <w:tabs>
          <w:tab w:leader="none" w:pos="269" w:val="left"/>
        </w:tabs>
        <w:numPr>
          <w:ilvl w:val="0"/>
          <w:numId w:val="77"/>
        </w:numPr>
        <w:rPr>
          <w:rFonts w:ascii="Arial" w:cs="Arial" w:eastAsia="Arial" w:hAnsi="Arial"/>
          <w:sz w:val="14"/>
          <w:szCs w:val="14"/>
          <w:color w:val="auto"/>
          <w:vertAlign w:val="superscript"/>
        </w:rPr>
      </w:pPr>
      <w:r>
        <w:rPr>
          <w:rFonts w:ascii="Arial" w:cs="Arial" w:eastAsia="Arial" w:hAnsi="Arial"/>
          <w:sz w:val="14"/>
          <w:szCs w:val="14"/>
          <w:color w:val="auto"/>
        </w:rPr>
        <w:t>Amounts in the table reflect commitments for costs associated with our external CMOs, which we have engaged to manufacture clinical trial materials. Manufacturing commitments include agreements that are enforceable and legally binding on us and that specify all significant terms, including fixed or minimum quantities to be purchased; fixed, minimum or variable price provisions; and the approximate timing of the transaction. For obligations with cancellation provisions, the amounts included in the preceding table are limited to the non</w:t>
      </w:r>
      <w:r>
        <w:rPr>
          <w:rFonts w:ascii="MS PGothic" w:cs="MS PGothic" w:eastAsia="MS PGothic" w:hAnsi="MS PGothic"/>
          <w:sz w:val="14"/>
          <w:szCs w:val="14"/>
          <w:color w:val="auto"/>
        </w:rPr>
        <w:t>‑</w:t>
      </w:r>
      <w:r>
        <w:rPr>
          <w:rFonts w:ascii="Arial" w:cs="Arial" w:eastAsia="Arial" w:hAnsi="Arial"/>
          <w:sz w:val="14"/>
          <w:szCs w:val="14"/>
          <w:color w:val="auto"/>
        </w:rPr>
        <w:t>cancelable portion of the agreement terms or the minimum cancellation fee.</w:t>
      </w:r>
    </w:p>
    <w:p>
      <w:pPr>
        <w:spacing w:after="0" w:line="184" w:lineRule="exact"/>
        <w:rPr>
          <w:rFonts w:ascii="Arial" w:cs="Arial" w:eastAsia="Arial" w:hAnsi="Arial"/>
          <w:sz w:val="14"/>
          <w:szCs w:val="14"/>
          <w:color w:val="auto"/>
          <w:vertAlign w:val="superscript"/>
        </w:rPr>
      </w:pPr>
    </w:p>
    <w:p>
      <w:pPr>
        <w:ind w:left="320" w:right="120" w:hanging="317"/>
        <w:spacing w:after="0" w:line="291" w:lineRule="auto"/>
        <w:tabs>
          <w:tab w:leader="none" w:pos="269" w:val="left"/>
        </w:tabs>
        <w:numPr>
          <w:ilvl w:val="0"/>
          <w:numId w:val="77"/>
        </w:numPr>
        <w:rPr>
          <w:rFonts w:ascii="Arial" w:cs="Arial" w:eastAsia="Arial" w:hAnsi="Arial"/>
          <w:sz w:val="13"/>
          <w:szCs w:val="13"/>
          <w:color w:val="auto"/>
          <w:vertAlign w:val="superscript"/>
        </w:rPr>
      </w:pPr>
      <w:r>
        <w:rPr>
          <w:rFonts w:ascii="Arial" w:cs="Arial" w:eastAsia="Arial" w:hAnsi="Arial"/>
          <w:sz w:val="13"/>
          <w:szCs w:val="13"/>
          <w:color w:val="auto"/>
        </w:rPr>
        <w:t>Amounts in the table reflect minimum payments due under operating lease agreements entered into by our wholly owned U.S. subsidiary Kiniksa US for office and laboratory space in Lexington, Massachusetts, which expires in 2021, and office space in San Diego, California, which expires in 2020.</w:t>
      </w:r>
    </w:p>
    <w:p>
      <w:pPr>
        <w:spacing w:after="0" w:line="150" w:lineRule="exact"/>
        <w:rPr>
          <w:rFonts w:ascii="Arial" w:cs="Arial" w:eastAsia="Arial" w:hAnsi="Arial"/>
          <w:sz w:val="13"/>
          <w:szCs w:val="13"/>
          <w:color w:val="auto"/>
          <w:vertAlign w:val="superscript"/>
        </w:rPr>
      </w:pPr>
    </w:p>
    <w:p>
      <w:pPr>
        <w:ind w:left="320" w:right="40" w:hanging="317"/>
        <w:spacing w:after="0" w:line="253" w:lineRule="auto"/>
        <w:tabs>
          <w:tab w:leader="none" w:pos="269" w:val="left"/>
        </w:tabs>
        <w:numPr>
          <w:ilvl w:val="0"/>
          <w:numId w:val="77"/>
        </w:numPr>
        <w:rPr>
          <w:rFonts w:ascii="Arial" w:cs="Arial" w:eastAsia="Arial" w:hAnsi="Arial"/>
          <w:sz w:val="14"/>
          <w:szCs w:val="14"/>
          <w:color w:val="auto"/>
          <w:vertAlign w:val="superscript"/>
        </w:rPr>
      </w:pPr>
      <w:r>
        <w:rPr>
          <w:rFonts w:ascii="Arial" w:cs="Arial" w:eastAsia="Arial" w:hAnsi="Arial"/>
          <w:sz w:val="14"/>
          <w:szCs w:val="14"/>
          <w:color w:val="auto"/>
        </w:rPr>
        <w:t>Amounts in the table reflect the cash awards granted to employees under the Rilonacept Long-Term Incentive Plan, or RLTIP, which become payable in such amounts if the performance goals defined in the RLTIP are achieved at target.</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contracts with CMOs, CROs and other third parties for the manufacture of our product candidates and to support clinical trials and preclinical research studies and testing are generally cancelable by us upon prior notice. Payments due upon cancellation consisting only of payments for services provided or expenses incurred, including noncancelable obligations of our service providers, up to the date of cancellation are not included in the preceding table as the amount and timing of such payments are not known.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0" w:name="page131"/>
    <w:bookmarkEnd w:id="1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Under various agreements with third parties, we have agreed to make milestone payments, pay royalties, annual maintenance fees and to meet due diligence requirements based upon specified milestones. We generally have not included any contingent payment obligations, such as milestones, royalties or due diligence, in the table above as the amount, timing and likelihood of such payments are not known. We have not included any of the annual maintenance fee payments in the above table, as although the amount and timing are known, we cannot currently determine the final termination dates of the agreements and, as a result, we cannot determine the total amounts of such payments we will be required to make under the agreements.</w:t>
      </w:r>
    </w:p>
    <w:p>
      <w:pPr>
        <w:spacing w:after="0" w:line="18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Under our license agreement with Regeneron, we are obligated to make future regulatory milestone payments of $27.5 million in the aggregate. Thereafter, we have agreed to evenly split profits on our sales of rilonacept with Regeneron after deducting certain commercialization expenses subject to specified limits.</w:t>
      </w:r>
    </w:p>
    <w:p>
      <w:pPr>
        <w:spacing w:after="0" w:line="181"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Under our license agreement with MedImmune, we are obligated to make future clinical, regulatory and initial sales milestone payments of up to $57.5 million in aggregate for the first two indications we develop. In addition, we are obligated to make clinical and regulatory milestone payments of up to $15,000 in the aggregate for each subsequent indication. We are also obligated to make milestone payments to MedImmune of up to $85.0 million upon the achievement of annual net sales thresholds of up to, but excluding, $1.0 billion in annual net sales as well as additional milestone payments aggregating up to $1.1 billion upon the achievement of additional specified annual net sales thresholds starting at $1.0 billion and higher. Commencing on the first commercial sale of licensed products, we are obligated to pay tiered royalties on escalating tiers of annual net sales of licensed products starting in the low double</w:t>
      </w:r>
      <w:r>
        <w:rPr>
          <w:rFonts w:ascii="MS PGothic" w:cs="MS PGothic" w:eastAsia="MS PGothic" w:hAnsi="MS PGothic"/>
          <w:sz w:val="17"/>
          <w:szCs w:val="17"/>
          <w:color w:val="auto"/>
        </w:rPr>
        <w:t>‑</w:t>
      </w:r>
      <w:r>
        <w:rPr>
          <w:rFonts w:ascii="Arial" w:cs="Arial" w:eastAsia="Arial" w:hAnsi="Arial"/>
          <w:sz w:val="17"/>
          <w:szCs w:val="17"/>
          <w:color w:val="auto"/>
        </w:rPr>
        <w:t>digit percentages and ending at twenty percent. We must pay such royalties on a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and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until the latest to occur of the expiration of licensed patents, the expiration of regulatory exclusivity or the tenth anniversary of the first commercial sale of such product in such country.</w:t>
      </w:r>
    </w:p>
    <w:p>
      <w:pPr>
        <w:spacing w:after="0" w:line="210"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Under our asset purchase agreement with Biogen, we are obligated to make future milestone payments of up to $315.0 million upon the achievement of specified clinical and regulatory milestones as well as upon the achievement of annual net sales thresholds. We have also agreed to pay certain obligations under third</w:t>
      </w:r>
      <w:r>
        <w:rPr>
          <w:rFonts w:ascii="MS PGothic" w:cs="MS PGothic" w:eastAsia="MS PGothic" w:hAnsi="MS PGothic"/>
          <w:sz w:val="17"/>
          <w:szCs w:val="17"/>
          <w:color w:val="auto"/>
        </w:rPr>
        <w:t>‑</w:t>
      </w:r>
      <w:r>
        <w:rPr>
          <w:rFonts w:ascii="Arial" w:cs="Arial" w:eastAsia="Arial" w:hAnsi="Arial"/>
          <w:sz w:val="17"/>
          <w:szCs w:val="17"/>
          <w:color w:val="auto"/>
        </w:rPr>
        <w:t>party contracts retained by Biogen that relate to KPL</w:t>
      </w:r>
      <w:r>
        <w:rPr>
          <w:rFonts w:ascii="MS PGothic" w:cs="MS PGothic" w:eastAsia="MS PGothic" w:hAnsi="MS PGothic"/>
          <w:sz w:val="17"/>
          <w:szCs w:val="17"/>
          <w:color w:val="auto"/>
        </w:rPr>
        <w:t>‑</w:t>
      </w:r>
      <w:r>
        <w:rPr>
          <w:rFonts w:ascii="Arial" w:cs="Arial" w:eastAsia="Arial" w:hAnsi="Arial"/>
          <w:sz w:val="17"/>
          <w:szCs w:val="17"/>
          <w:color w:val="auto"/>
        </w:rPr>
        <w:t>716. Additionally, we are obligated to pay tiered royalties on escalating tiers of annual net sales of licensed products starting in the high single</w:t>
      </w:r>
      <w:r>
        <w:rPr>
          <w:rFonts w:ascii="MS PGothic" w:cs="MS PGothic" w:eastAsia="MS PGothic" w:hAnsi="MS PGothic"/>
          <w:sz w:val="17"/>
          <w:szCs w:val="17"/>
          <w:color w:val="auto"/>
        </w:rPr>
        <w:t>‑</w:t>
      </w:r>
      <w:r>
        <w:rPr>
          <w:rFonts w:ascii="Arial" w:cs="Arial" w:eastAsia="Arial" w:hAnsi="Arial"/>
          <w:sz w:val="17"/>
          <w:szCs w:val="17"/>
          <w:color w:val="auto"/>
        </w:rPr>
        <w:t>digit percentages and ending below the teens.</w:t>
      </w:r>
    </w:p>
    <w:p>
      <w:pPr>
        <w:spacing w:after="0" w:line="20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January 2020, we terminated our license agreement with Novo Nordisk, as such we are no longer obligated to make future milestone payments under the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7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While our significant accounting policies are described in more detail in Note 2 to our consolidated financial statements included elsewhere in this Annual Report, we believe that the following accounting policies are those most critical to the judgments and estimates used in the preparation of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1" w:name="page132"/>
    <w:bookmarkEnd w:id="1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notified of actual costs. The majority of our service providers invoice us in arrears for services performed, on a</w:t>
      </w:r>
    </w:p>
    <w:p>
      <w:pPr>
        <w:spacing w:after="0" w:line="23" w:lineRule="exact"/>
        <w:rPr>
          <w:sz w:val="20"/>
          <w:szCs w:val="20"/>
          <w:color w:val="auto"/>
        </w:rPr>
      </w:pPr>
    </w:p>
    <w:p>
      <w:pPr>
        <w:ind w:right="100"/>
        <w:spacing w:after="0" w:line="216" w:lineRule="exact"/>
        <w:rPr>
          <w:sz w:val="20"/>
          <w:szCs w:val="20"/>
          <w:color w:val="auto"/>
        </w:rPr>
      </w:pPr>
      <w:r>
        <w:rPr>
          <w:rFonts w:ascii="Arial" w:cs="Arial" w:eastAsia="Arial" w:hAnsi="Arial"/>
          <w:sz w:val="15"/>
          <w:szCs w:val="15"/>
          <w:color w:val="auto"/>
        </w:rPr>
        <w:t>pre</w:t>
      </w:r>
      <w:r>
        <w:rPr>
          <w:rFonts w:ascii="MS PGothic" w:cs="MS PGothic" w:eastAsia="MS PGothic" w:hAnsi="MS PGothic"/>
          <w:sz w:val="15"/>
          <w:szCs w:val="15"/>
          <w:color w:val="auto"/>
        </w:rPr>
        <w:t>‑</w:t>
      </w:r>
      <w:r>
        <w:rPr>
          <w:rFonts w:ascii="Arial" w:cs="Arial" w:eastAsia="Arial" w:hAnsi="Arial"/>
          <w:sz w:val="15"/>
          <w:szCs w:val="15"/>
          <w:color w:val="auto"/>
        </w:rPr>
        <w:t>determined schedule or when contractual milestones are met; however, some require advanced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204" w:lineRule="exact"/>
        <w:rPr>
          <w:sz w:val="20"/>
          <w:szCs w:val="20"/>
          <w:color w:val="auto"/>
        </w:rPr>
      </w:pPr>
    </w:p>
    <w:p>
      <w:pPr>
        <w:ind w:left="980" w:hanging="329"/>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vendors, including research laboratories, in connection with preclinical development activities;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studies and clinical trials;</w:t>
      </w:r>
    </w:p>
    <w:p>
      <w:pPr>
        <w:spacing w:after="0" w:line="225" w:lineRule="exact"/>
        <w:rPr>
          <w:rFonts w:ascii="Arial" w:cs="Arial" w:eastAsia="Arial" w:hAnsi="Arial"/>
          <w:sz w:val="18"/>
          <w:szCs w:val="18"/>
          <w:color w:val="auto"/>
        </w:rPr>
      </w:pPr>
    </w:p>
    <w:p>
      <w:pPr>
        <w:ind w:left="980" w:right="460" w:hanging="329"/>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third parties in the connection with the achievement of milestones due under license acquisition and other similar agreements;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CMOs in connection with drug substance and drug product formulation and manufacturing of materials.</w:t>
      </w:r>
    </w:p>
    <w:p>
      <w:pPr>
        <w:spacing w:after="0" w:line="23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Share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measure all share-based awards granted to employees and directors based on their fair value on the date of the grant and recognize compensation expense for those awards over the requisite service period. Forfeitures are accounted for as they occur. We issue share-based awards with both service-based vesting conditions and performance-based vesting conditions. Expense for awards with service-based vesting is recorded using the straight-line method, and expense for awards with performance-based vesting conditions is recognized using the accelerated-attribution method.</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share-based awards granted to consultants and non-employees, compensation expense is recognized over the vesting period of the awards, which is generally the period during which services are rendered by such consultants and non-employees until completed. At the end of each financial reporting period prior to completion of the service, the fair value of these awards is remeasured using the then-current fair value of our Class A common shares and updated assumption inputs in the Black-Scholes option-pricing model.</w:t>
      </w:r>
    </w:p>
    <w:p>
      <w:pPr>
        <w:spacing w:after="0" w:line="188"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We classified share-based compensation expense in the consolidated statements of operations and comprehensive loss in the same manner in which the award recipient's payroll costs are classified or in which the award recipient's service payments are classified.</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fair value of each restricted share award was estimated on the date of grant based on the fair value of the Company’s Class A common shares or Class B common shares on that same date.</w:t>
      </w:r>
    </w:p>
    <w:p>
      <w:pPr>
        <w:spacing w:after="0" w:line="17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fair value of each option grant is estimated on the date of grant using the Black-Scholes option-pricing model, which requires inputs based on certain subjective assumptions, including the expected share price volatility, the expected term of the award, the risk-free interest rate, and expected dividends (see Note 9). Prior to May 2018, we were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32" w:name="page133"/>
    <w:bookmarkEnd w:id="1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private company and, accordingly, lacked company-specific historical and implied volatility information. Therefore, we estimate our expected share price volatility based on the historical volatility of publicly traded peer companies and expect to continue to do so until such time as we have adequate historical data regarding the volatility of our traded share price. The expected term of our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and do not expect to pay any cash dividends in the foreseeable future.</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fair value of each restricted share unit award is based on the closing price of our Class A common shares on the date of grant. Restricted share unit awards with an associated performance condition are evaluated on a regular basis for probability of achievement, to determine the timing of recording share-based compensation expense to include in our consolidated statements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Jumpstart Our Business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annual consolidated financial statements included elsewhere of this Annual Report.</w:t>
      </w:r>
    </w:p>
    <w:p>
      <w:pPr>
        <w:spacing w:after="0" w:line="39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are exposed to market risk related to changes in interest rates. As of December 31, 2019, our cash, cash equivalents and short-term investments consisted of money market funds and U.S. Treasury notes. Our primary exposure to market risk is interest income sensitivity, which is affected by changes in the general level of U.S. interest rates. However, because of the short-term nature of the instruments in our portfolio, an immediate 10% change in market interest rates would not have a material impact on the fair market value of our investment portfolio or on our financial position or results of operations.</w:t>
      </w:r>
    </w:p>
    <w:p>
      <w:pPr>
        <w:spacing w:after="0" w:line="18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3" w:name="page134"/>
    <w:bookmarkEnd w:id="1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980" w:right="559"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39" w:firstLine="648"/>
        <w:spacing w:after="0" w:line="219" w:lineRule="exact"/>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Annual Report, the effectiveness of our 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Securities Exchange Act of 1934, as amended, or the Exchange Act. Based on that evaluation, our Chief Executive Officer and Chief Financial Officer concluded that our disclosure controls and procedures were effective at the reasonable assurance level as of December 31, 2019.</w:t>
      </w:r>
    </w:p>
    <w:p>
      <w:pPr>
        <w:spacing w:after="0" w:line="20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In designing and evaluating our disclosure controls and procedures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w:t>
      </w:r>
    </w:p>
    <w:p>
      <w:pPr>
        <w:spacing w:after="0" w:line="2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15d</w:t>
      </w:r>
      <w:r>
        <w:rPr>
          <w:rFonts w:ascii="MS PGothic" w:cs="MS PGothic" w:eastAsia="MS PGothic" w:hAnsi="MS PGothic"/>
          <w:sz w:val="16"/>
          <w:szCs w:val="16"/>
          <w:color w:val="auto"/>
        </w:rPr>
        <w:t>‑</w:t>
      </w:r>
      <w:r>
        <w:rPr>
          <w:rFonts w:ascii="Arial" w:cs="Arial" w:eastAsia="Arial" w:hAnsi="Arial"/>
          <w:sz w:val="16"/>
          <w:szCs w:val="16"/>
          <w:color w:val="auto"/>
        </w:rPr>
        <w:t>15(e) under the Exchange Act), management recognizes that any controls and procedures, no matter how well designed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operated, can provide only reasonable assurance of achieving the desired control objectives.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 for the Fiscal Year Ended December 31, 2019.</w:t>
      </w:r>
    </w:p>
    <w:p>
      <w:pPr>
        <w:spacing w:after="0" w:line="248" w:lineRule="exact"/>
        <w:rPr>
          <w:sz w:val="20"/>
          <w:szCs w:val="20"/>
          <w:color w:val="auto"/>
        </w:rPr>
      </w:pPr>
    </w:p>
    <w:p>
      <w:pPr>
        <w:ind w:right="579" w:firstLine="648"/>
        <w:spacing w:after="0" w:line="342" w:lineRule="auto"/>
        <w:rPr>
          <w:sz w:val="20"/>
          <w:szCs w:val="20"/>
          <w:color w:val="auto"/>
        </w:rPr>
      </w:pPr>
      <w:r>
        <w:rPr>
          <w:rFonts w:ascii="Arial" w:cs="Arial" w:eastAsia="Arial" w:hAnsi="Arial"/>
          <w:sz w:val="16"/>
          <w:szCs w:val="16"/>
          <w:color w:val="auto"/>
        </w:rPr>
        <w:t>Our management is responsible for establishing and maintaining adequate internal control over our financial reporting, as such term is defined in Rule 13a-15(f) under the Securities Exchange Act of 1934, as amended.</w:t>
      </w:r>
    </w:p>
    <w:p>
      <w:pPr>
        <w:spacing w:after="0" w:line="124" w:lineRule="exact"/>
        <w:rPr>
          <w:sz w:val="20"/>
          <w:szCs w:val="20"/>
          <w:color w:val="auto"/>
        </w:rPr>
      </w:pPr>
    </w:p>
    <w:p>
      <w:pPr>
        <w:ind w:right="39" w:firstLine="648"/>
        <w:spacing w:after="0" w:line="264" w:lineRule="auto"/>
        <w:rPr>
          <w:sz w:val="20"/>
          <w:szCs w:val="20"/>
          <w:color w:val="auto"/>
        </w:rPr>
      </w:pPr>
      <w:r>
        <w:rPr>
          <w:rFonts w:ascii="Arial" w:cs="Arial" w:eastAsia="Arial" w:hAnsi="Arial"/>
          <w:sz w:val="18"/>
          <w:szCs w:val="18"/>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181" w:lineRule="exact"/>
        <w:rPr>
          <w:sz w:val="20"/>
          <w:szCs w:val="20"/>
          <w:color w:val="auto"/>
        </w:rPr>
      </w:pPr>
    </w:p>
    <w:p>
      <w:pPr>
        <w:ind w:right="439" w:firstLine="648"/>
        <w:spacing w:after="0" w:line="277" w:lineRule="auto"/>
        <w:rPr>
          <w:sz w:val="20"/>
          <w:szCs w:val="20"/>
          <w:color w:val="auto"/>
        </w:rPr>
      </w:pPr>
      <w:r>
        <w:rPr>
          <w:rFonts w:ascii="Arial" w:cs="Arial" w:eastAsia="Arial" w:hAnsi="Arial"/>
          <w:sz w:val="18"/>
          <w:szCs w:val="18"/>
          <w:color w:val="auto"/>
        </w:rPr>
        <w:t>Based on this assessment, our management concluded that, as of December 31, 2019, our internal control over financial reporting was effective.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There was no change in our internal control over financial reporting,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15(f) and</w:t>
      </w:r>
    </w:p>
    <w:p>
      <w:pPr>
        <w:spacing w:after="0" w:line="23"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15d</w:t>
      </w:r>
      <w:r>
        <w:rPr>
          <w:rFonts w:ascii="MS PGothic" w:cs="MS PGothic" w:eastAsia="MS PGothic" w:hAnsi="MS PGothic"/>
          <w:sz w:val="17"/>
          <w:szCs w:val="17"/>
          <w:color w:val="auto"/>
        </w:rPr>
        <w:t>‑</w:t>
      </w:r>
      <w:r>
        <w:rPr>
          <w:rFonts w:ascii="Arial" w:cs="Arial" w:eastAsia="Arial" w:hAnsi="Arial"/>
          <w:sz w:val="17"/>
          <w:szCs w:val="17"/>
          <w:color w:val="auto"/>
        </w:rPr>
        <w:t>15(f) under the Exchange Act) during the fourth quarter of the year ended December 31, 2019 that has materially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affected, or is reasonably likely to materially affect, our internal control over financial reporting.</w:t>
      </w:r>
    </w:p>
    <w:p>
      <w:pPr>
        <w:spacing w:after="0" w:line="20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19" w:firstLine="648"/>
        <w:spacing w:after="0" w:line="254" w:lineRule="auto"/>
        <w:rPr>
          <w:sz w:val="20"/>
          <w:szCs w:val="20"/>
          <w:color w:val="auto"/>
        </w:rPr>
      </w:pPr>
      <w:r>
        <w:rPr>
          <w:rFonts w:ascii="Arial" w:cs="Arial" w:eastAsia="Arial" w:hAnsi="Arial"/>
          <w:sz w:val="18"/>
          <w:szCs w:val="18"/>
          <w:color w:val="auto"/>
        </w:rPr>
        <w:t>On March 2, 2020, our Board of Directors established that our 2020 Annual Meeting of Shareholders, or our 2020 Annual Meeting, will be held on Tuesday, June 30, 2020. Because the date of our 2020 Annual Meeting differs by more than thirty days from the anniversary date of the Company’s 2019 Annual Meeting of Shareholders held on May 29, 2019, the deadlines for shareholder proposals pursuant to Rule 14a-8 under the Exchange Act, and shareholder proposals for director nominations outside of Rule 14a-8, as listed in our 2019 Proxy Statement on Schedule 14A, filed with the SEC on April 17, 2019, are no longer applicable. Pursuant to Rule 14a-5(f) of the Exchange Act and our amended and restated bye-laws (our “Bye-laws”), we are hereby providing notice of the revised deadlines for such proposals within this Item 9B of this Annual Report.</w:t>
      </w:r>
    </w:p>
    <w:p>
      <w:pPr>
        <w:spacing w:after="0" w:line="192" w:lineRule="exact"/>
        <w:rPr>
          <w:sz w:val="20"/>
          <w:szCs w:val="20"/>
          <w:color w:val="auto"/>
        </w:rPr>
      </w:pPr>
    </w:p>
    <w:p>
      <w:pPr>
        <w:ind w:right="39" w:firstLine="648"/>
        <w:spacing w:after="0" w:line="273" w:lineRule="auto"/>
        <w:rPr>
          <w:sz w:val="20"/>
          <w:szCs w:val="20"/>
          <w:color w:val="auto"/>
        </w:rPr>
      </w:pPr>
      <w:r>
        <w:rPr>
          <w:rFonts w:ascii="Arial" w:cs="Arial" w:eastAsia="Arial" w:hAnsi="Arial"/>
          <w:sz w:val="17"/>
          <w:szCs w:val="17"/>
          <w:color w:val="auto"/>
        </w:rPr>
        <w:t>To be considered for inclusion in this year’s proxy statement and related materials under Rule 14a-8 for our 2020 Annual Meeting, shareholder proposals must be in writing and be received by us no later than March 15, 2020, and comply with all applicable rules and regulations promulgated by the SEC under the Exchange Act. In addition, shareholders intending to present a proposal at our 2020 Annual Meeting for director nominations, but not include such nomination in this year’s proxy statement and related materials for our 2020 Annual Meeting, must give notice thereof to us in writing no later than March 15, 2020 and comply with all applicable provisions of our Bye-laws (including any</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34" w:name="page135"/>
    <w:bookmarkEnd w:id="1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 information specified in therein). The March 15, 2020 deadline will also apply in determining whether notice of a shareholder proposal is timely for purposes of exercising discretionary voting authority with respect to proxies under Rule 14a-4(c)(1) of the Exchange Act.</w:t>
      </w:r>
    </w:p>
    <w:p>
      <w:pPr>
        <w:spacing w:after="0" w:line="181"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Any shareholder proposal for inclusion in our proxy statement and related materials or shareholder notice of intention to present a proposal for director nomination outside of our proxy statement and related materials to be brought before the 2020 Annual Meeting should be sent to: our Secretary c/o Kiniksa Pharmaceuticals Corp. at our offices at 100 Hayden Avenue, Lexington, MA 02421.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Except to the extent provided below, the information required to be disclosed by this Item will be set forth in our proxy statement for our 2020 Annual Meeting to be filed with the SEC within 120 days of December 31, 2019, and is incorporated into this Annual Report by reference.</w:t>
      </w:r>
    </w:p>
    <w:p>
      <w:pPr>
        <w:spacing w:after="0" w:line="18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We have adopted a written code of business conduct and ethics that applies to all of our directors, officers and employees, including our principal executive officer, principal financial officer, principal accounting officer and controller, or persons performing similar functions. Our code of business conduct and ethics is available in the “Investors &amp; Media” section of our website at </w:t>
      </w:r>
      <w:r>
        <w:rPr>
          <w:rFonts w:ascii="Arial" w:cs="Arial" w:eastAsia="Arial" w:hAnsi="Arial"/>
          <w:sz w:val="17"/>
          <w:szCs w:val="17"/>
          <w:i w:val="1"/>
          <w:iCs w:val="1"/>
          <w:color w:val="auto"/>
        </w:rPr>
        <w:t>www.kiniksa.com</w:t>
      </w:r>
      <w:r>
        <w:rPr>
          <w:rFonts w:ascii="Arial" w:cs="Arial" w:eastAsia="Arial" w:hAnsi="Arial"/>
          <w:sz w:val="17"/>
          <w:szCs w:val="17"/>
          <w:color w:val="auto"/>
        </w:rPr>
        <w:t xml:space="preserve"> under “Corporate Governance”. We intend to post on our website all disclosures that are required by law or the Nasdaq rules concerning any amendments to, or waivers from, any provision of the code. The reference to our website address does not constitute incorporation by reference of the information contained at or available through our website, and you should not consider it to be a part of this Annual Report.</w:t>
      </w:r>
    </w:p>
    <w:p>
      <w:pPr>
        <w:spacing w:after="0" w:line="17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information required to be disclosed by this Item will be set forth in our proxy statement for our 2020 Annual Meeting to be filed with the SEC within 120 days of December 31, 2019, and is incorporated into this Annual Report by reference.</w:t>
      </w:r>
    </w:p>
    <w:p>
      <w:pPr>
        <w:spacing w:after="0" w:line="177" w:lineRule="exact"/>
        <w:rPr>
          <w:sz w:val="20"/>
          <w:szCs w:val="20"/>
          <w:color w:val="auto"/>
        </w:rPr>
      </w:pPr>
    </w:p>
    <w:p>
      <w:pPr>
        <w:ind w:left="980" w:right="2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SHAREHOLDER MATTERS.</w:t>
      </w:r>
    </w:p>
    <w:p>
      <w:pPr>
        <w:spacing w:after="0" w:line="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to be disclosed by this Item will be set forth in our proxy statement for our 2020 Annual Meeting to be filed with the SEC within 120 days of December 31, 2019, and is incorporated into this Annual Report by reference.</w:t>
      </w:r>
    </w:p>
    <w:p>
      <w:pPr>
        <w:spacing w:after="0" w:line="177" w:lineRule="exact"/>
        <w:rPr>
          <w:sz w:val="20"/>
          <w:szCs w:val="20"/>
          <w:color w:val="auto"/>
        </w:rPr>
      </w:pPr>
    </w:p>
    <w:p>
      <w:pPr>
        <w:ind w:left="980" w:right="11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to be disclosed by this Item will be set forth in our proxy statement for our 2020 Annual Meeting to be filed with the SEC within 120 days of December 31, 2019, and is incorporated into this Annual Report by reference.</w:t>
      </w:r>
    </w:p>
    <w:p>
      <w:pPr>
        <w:spacing w:after="0" w:line="1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to be disclosed by this Item will be set forth in our proxy statement for our 2020 Annual Meeting to be filed with the SEC within 120 days of December 31, 2019, and is incorporated into this Annual Report by reference.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5" w:name="page136"/>
    <w:bookmarkEnd w:id="1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158" w:lineRule="exact"/>
        <w:rPr>
          <w:sz w:val="20"/>
          <w:szCs w:val="20"/>
          <w:color w:val="auto"/>
        </w:rPr>
      </w:pPr>
    </w:p>
    <w:p>
      <w:pPr>
        <w:ind w:left="980" w:right="339"/>
        <w:spacing w:after="0" w:line="246" w:lineRule="auto"/>
        <w:rPr>
          <w:sz w:val="20"/>
          <w:szCs w:val="20"/>
          <w:color w:val="auto"/>
        </w:rPr>
      </w:pPr>
      <w:r>
        <w:rPr>
          <w:rFonts w:ascii="Arial" w:cs="Arial" w:eastAsia="Arial" w:hAnsi="Arial"/>
          <w:sz w:val="18"/>
          <w:szCs w:val="18"/>
          <w:color w:val="auto"/>
        </w:rPr>
        <w:t>See the “Index to Consolidated Financial Statements” on page F-1 below for the list of financial statements filed as part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171" w:lineRule="exact"/>
        <w:rPr>
          <w:sz w:val="20"/>
          <w:szCs w:val="20"/>
          <w:color w:val="auto"/>
        </w:rPr>
      </w:pPr>
    </w:p>
    <w:p>
      <w:pPr>
        <w:ind w:left="980" w:right="159"/>
        <w:spacing w:after="0" w:line="275" w:lineRule="auto"/>
        <w:rPr>
          <w:sz w:val="20"/>
          <w:szCs w:val="20"/>
          <w:color w:val="auto"/>
        </w:rPr>
      </w:pPr>
      <w:r>
        <w:rPr>
          <w:rFonts w:ascii="Arial" w:cs="Arial" w:eastAsia="Arial" w:hAnsi="Arial"/>
          <w:sz w:val="17"/>
          <w:szCs w:val="17"/>
          <w:color w:val="auto"/>
        </w:rPr>
        <w:t>All schedules have been omitted because they are not required or because the required information is given in the Consolidated Financial Statements or Notes thereto set forth below beginning on page F-1.</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(a)(3) Exhibits. See Exhibit Index.</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36" w:name="page137"/>
    <w:bookmarkEnd w:id="1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Filing</w:t>
            </w: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Filed/</w:t>
            </w:r>
          </w:p>
        </w:tc>
        <w:tc>
          <w:tcPr>
            <w:tcW w:w="0" w:type="dxa"/>
            <w:vAlign w:val="bottom"/>
          </w:tcPr>
          <w:p>
            <w:pPr>
              <w:spacing w:after="0"/>
              <w:rPr>
                <w:sz w:val="1"/>
                <w:szCs w:val="1"/>
                <w:color w:val="auto"/>
              </w:rPr>
            </w:pPr>
          </w:p>
        </w:tc>
      </w:tr>
      <w:tr>
        <w:trPr>
          <w:trHeight w:val="149"/>
        </w:trPr>
        <w:tc>
          <w:tcPr>
            <w:tcW w:w="6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940" w:type="dxa"/>
            <w:vAlign w:val="bottom"/>
            <w:gridSpan w:val="22"/>
            <w:vMerge w:val="restart"/>
          </w:tcPr>
          <w:p>
            <w:pPr>
              <w:ind w:left="100"/>
              <w:spacing w:after="0"/>
              <w:rPr>
                <w:sz w:val="20"/>
                <w:szCs w:val="20"/>
                <w:color w:val="auto"/>
              </w:rPr>
            </w:pPr>
            <w:r>
              <w:rPr>
                <w:rFonts w:ascii="Arial" w:cs="Arial" w:eastAsia="Arial" w:hAnsi="Arial"/>
                <w:sz w:val="14"/>
                <w:szCs w:val="14"/>
                <w:b w:val="1"/>
                <w:bCs w:val="1"/>
                <w:color w:val="auto"/>
              </w:rPr>
              <w:t>Exhibit Description</w:t>
            </w:r>
          </w:p>
        </w:tc>
        <w:tc>
          <w:tcPr>
            <w:tcW w:w="140" w:type="dxa"/>
            <w:vAlign w:val="bottom"/>
            <w:vMerge w:val="restart"/>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40" w:type="dxa"/>
            <w:vAlign w:val="bottom"/>
            <w:vMerge w:val="restart"/>
          </w:tcPr>
          <w:p>
            <w:pPr>
              <w:spacing w:after="0"/>
              <w:rPr>
                <w:sz w:val="12"/>
                <w:szCs w:val="12"/>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File No.</w:t>
            </w:r>
          </w:p>
        </w:tc>
        <w:tc>
          <w:tcPr>
            <w:tcW w:w="140" w:type="dxa"/>
            <w:vAlign w:val="bottom"/>
            <w:vMerge w:val="restart"/>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40" w:type="dxa"/>
            <w:vAlign w:val="bottom"/>
            <w:vMerge w:val="restart"/>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2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72"/>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620" w:type="dxa"/>
            <w:vAlign w:val="bottom"/>
            <w:gridSpan w:val="25"/>
          </w:tcPr>
          <w:p>
            <w:pPr>
              <w:spacing w:after="0"/>
              <w:rPr>
                <w:rFonts w:ascii="Arial" w:cs="Arial" w:eastAsia="Arial" w:hAnsi="Arial"/>
                <w:sz w:val="18"/>
                <w:szCs w:val="18"/>
                <w:color w:val="0000EE"/>
              </w:rPr>
            </w:pPr>
            <w:hyperlink r:id="rId154">
              <w:r>
                <w:rPr>
                  <w:rFonts w:ascii="Arial" w:cs="Arial" w:eastAsia="Arial" w:hAnsi="Arial"/>
                  <w:sz w:val="18"/>
                  <w:szCs w:val="18"/>
                  <w:color w:val="0000EE"/>
                </w:rPr>
                <w:t>Memorandum of Association of Kiniksa</w:t>
              </w:r>
            </w:hyperlink>
          </w:p>
        </w:tc>
        <w:tc>
          <w:tcPr>
            <w:tcW w:w="62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1</w:t>
            </w:r>
          </w:p>
        </w:tc>
        <w:tc>
          <w:tcPr>
            <w:tcW w:w="104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224488</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3"/>
              </w:rPr>
              <w:t>4/27/18</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tcBorders>
              <w:top w:val="single" w:sz="8" w:color="0000EE"/>
            </w:tcBorders>
            <w:gridSpan w:val="7"/>
          </w:tcPr>
          <w:p>
            <w:pPr>
              <w:spacing w:after="0" w:line="170" w:lineRule="exact"/>
              <w:rPr>
                <w:rFonts w:ascii="Arial" w:cs="Arial" w:eastAsia="Arial" w:hAnsi="Arial"/>
                <w:sz w:val="18"/>
                <w:szCs w:val="18"/>
                <w:color w:val="0000EE"/>
              </w:rPr>
            </w:pPr>
            <w:hyperlink r:id="rId154">
              <w:r>
                <w:rPr>
                  <w:rFonts w:ascii="Arial" w:cs="Arial" w:eastAsia="Arial" w:hAnsi="Arial"/>
                  <w:sz w:val="18"/>
                  <w:szCs w:val="18"/>
                  <w:color w:val="0000EE"/>
                </w:rPr>
                <w:t>Pharmaceuticals, Ltd.</w:t>
              </w:r>
            </w:hyperlink>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620" w:type="dxa"/>
            <w:vAlign w:val="bottom"/>
            <w:gridSpan w:val="25"/>
          </w:tcPr>
          <w:p>
            <w:pPr>
              <w:spacing w:after="0" w:line="207" w:lineRule="exact"/>
              <w:rPr>
                <w:rFonts w:ascii="Arial" w:cs="Arial" w:eastAsia="Arial" w:hAnsi="Arial"/>
                <w:sz w:val="18"/>
                <w:szCs w:val="18"/>
                <w:color w:val="0000EE"/>
              </w:rPr>
            </w:pPr>
            <w:hyperlink r:id="rId155">
              <w:r>
                <w:rPr>
                  <w:rFonts w:ascii="Arial" w:cs="Arial" w:eastAsia="Arial" w:hAnsi="Arial"/>
                  <w:sz w:val="18"/>
                  <w:szCs w:val="18"/>
                  <w:color w:val="0000EE"/>
                </w:rPr>
                <w:t>Amended and Restated Bye</w:t>
              </w:r>
              <w:r>
                <w:rPr>
                  <w:rFonts w:ascii="MS PGothic" w:cs="MS PGothic" w:eastAsia="MS PGothic" w:hAnsi="MS PGothic"/>
                  <w:sz w:val="18"/>
                  <w:szCs w:val="18"/>
                  <w:color w:val="0000EE"/>
                </w:rPr>
                <w:t>‑</w:t>
              </w:r>
              <w:r>
                <w:rPr>
                  <w:rFonts w:ascii="Arial" w:cs="Arial" w:eastAsia="Arial" w:hAnsi="Arial"/>
                  <w:sz w:val="18"/>
                  <w:szCs w:val="18"/>
                  <w:color w:val="0000EE"/>
                </w:rPr>
                <w:t>Laws of Kiniksa</w:t>
              </w:r>
            </w:hyperlink>
          </w:p>
        </w:tc>
        <w:tc>
          <w:tcPr>
            <w:tcW w:w="62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04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38492</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3"/>
              </w:rPr>
              <w:t>5/29/18</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tcBorders>
              <w:top w:val="single" w:sz="8" w:color="0000EE"/>
            </w:tcBorders>
            <w:gridSpan w:val="8"/>
          </w:tcPr>
          <w:p>
            <w:pPr>
              <w:spacing w:after="0" w:line="170" w:lineRule="exact"/>
              <w:rPr>
                <w:rFonts w:ascii="Arial" w:cs="Arial" w:eastAsia="Arial" w:hAnsi="Arial"/>
                <w:sz w:val="18"/>
                <w:szCs w:val="18"/>
                <w:color w:val="0000EE"/>
              </w:rPr>
            </w:pPr>
            <w:hyperlink r:id="rId155">
              <w:r>
                <w:rPr>
                  <w:rFonts w:ascii="Arial" w:cs="Arial" w:eastAsia="Arial" w:hAnsi="Arial"/>
                  <w:sz w:val="18"/>
                  <w:szCs w:val="18"/>
                  <w:color w:val="0000EE"/>
                </w:rPr>
                <w:t>Pharmaceuticals, Ltd.</w:t>
              </w:r>
            </w:hyperlink>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4620" w:type="dxa"/>
            <w:vAlign w:val="bottom"/>
            <w:gridSpan w:val="25"/>
          </w:tcPr>
          <w:p>
            <w:pPr>
              <w:spacing w:after="0"/>
              <w:rPr>
                <w:rFonts w:ascii="Arial" w:cs="Arial" w:eastAsia="Arial" w:hAnsi="Arial"/>
                <w:sz w:val="18"/>
                <w:szCs w:val="18"/>
                <w:color w:val="0000EE"/>
                <w:w w:val="95"/>
              </w:rPr>
            </w:pPr>
            <w:hyperlink r:id="rId156">
              <w:r>
                <w:rPr>
                  <w:rFonts w:ascii="Arial" w:cs="Arial" w:eastAsia="Arial" w:hAnsi="Arial"/>
                  <w:sz w:val="18"/>
                  <w:szCs w:val="18"/>
                  <w:color w:val="0000EE"/>
                  <w:w w:val="95"/>
                </w:rPr>
                <w:t>Specimen Share Certificate evidencing the Class A common</w:t>
              </w:r>
            </w:hyperlink>
          </w:p>
        </w:tc>
        <w:tc>
          <w:tcPr>
            <w:tcW w:w="62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98"/>
              </w:rPr>
              <w:t>S</w:t>
            </w:r>
            <w:r>
              <w:rPr>
                <w:rFonts w:ascii="MS PGothic" w:cs="MS PGothic" w:eastAsia="MS PGothic" w:hAnsi="MS PGothic"/>
                <w:sz w:val="18"/>
                <w:szCs w:val="18"/>
                <w:color w:val="auto"/>
                <w:w w:val="98"/>
              </w:rPr>
              <w:t>‑</w:t>
            </w:r>
            <w:r>
              <w:rPr>
                <w:rFonts w:ascii="Arial" w:cs="Arial" w:eastAsia="Arial" w:hAnsi="Arial"/>
                <w:sz w:val="18"/>
                <w:szCs w:val="18"/>
                <w:color w:val="auto"/>
                <w:w w:val="98"/>
              </w:rPr>
              <w:t>1/A</w:t>
            </w:r>
          </w:p>
        </w:tc>
        <w:tc>
          <w:tcPr>
            <w:tcW w:w="104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224488</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3"/>
              </w:rPr>
              <w:t>5/14/18</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tcBorders>
              <w:top w:val="single" w:sz="8" w:color="0000EE"/>
            </w:tcBorders>
            <w:gridSpan w:val="19"/>
          </w:tcPr>
          <w:p>
            <w:pPr>
              <w:spacing w:after="0" w:line="170" w:lineRule="exact"/>
              <w:rPr>
                <w:rFonts w:ascii="Arial" w:cs="Arial" w:eastAsia="Arial" w:hAnsi="Arial"/>
                <w:sz w:val="18"/>
                <w:szCs w:val="18"/>
                <w:color w:val="0000EE"/>
              </w:rPr>
            </w:pPr>
            <w:hyperlink r:id="rId156">
              <w:r>
                <w:rPr>
                  <w:rFonts w:ascii="Arial" w:cs="Arial" w:eastAsia="Arial" w:hAnsi="Arial"/>
                  <w:sz w:val="18"/>
                  <w:szCs w:val="18"/>
                  <w:color w:val="0000EE"/>
                </w:rPr>
                <w:t>shares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4620" w:type="dxa"/>
            <w:vAlign w:val="bottom"/>
            <w:gridSpan w:val="25"/>
          </w:tcPr>
          <w:p>
            <w:pPr>
              <w:spacing w:after="0"/>
              <w:rPr>
                <w:rFonts w:ascii="Arial" w:cs="Arial" w:eastAsia="Arial" w:hAnsi="Arial"/>
                <w:sz w:val="18"/>
                <w:szCs w:val="18"/>
                <w:color w:val="0000EE"/>
                <w:w w:val="93"/>
              </w:rPr>
            </w:pPr>
            <w:hyperlink r:id="rId157">
              <w:r>
                <w:rPr>
                  <w:rFonts w:ascii="Arial" w:cs="Arial" w:eastAsia="Arial" w:hAnsi="Arial"/>
                  <w:sz w:val="18"/>
                  <w:szCs w:val="18"/>
                  <w:color w:val="0000EE"/>
                  <w:w w:val="93"/>
                </w:rPr>
                <w:t>Second Amended and Restated Investors’ Rights Agreement,</w:t>
              </w:r>
            </w:hyperlink>
          </w:p>
        </w:tc>
        <w:tc>
          <w:tcPr>
            <w:tcW w:w="62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1</w:t>
            </w:r>
          </w:p>
        </w:tc>
        <w:tc>
          <w:tcPr>
            <w:tcW w:w="104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224488</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24"/>
                <w:szCs w:val="24"/>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3"/>
              </w:rPr>
              <w:t>4/27/18</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Borders>
              <w:top w:val="single" w:sz="8" w:color="0000EE"/>
              <w:bottom w:val="single" w:sz="8" w:color="0000EE"/>
            </w:tcBorders>
            <w:gridSpan w:val="6"/>
          </w:tcPr>
          <w:p>
            <w:pPr>
              <w:spacing w:after="0" w:line="170" w:lineRule="exact"/>
              <w:rPr>
                <w:rFonts w:ascii="Arial" w:cs="Arial" w:eastAsia="Arial" w:hAnsi="Arial"/>
                <w:sz w:val="18"/>
                <w:szCs w:val="18"/>
                <w:color w:val="0000EE"/>
                <w:w w:val="88"/>
              </w:rPr>
            </w:pPr>
            <w:hyperlink r:id="rId157">
              <w:r>
                <w:rPr>
                  <w:rFonts w:ascii="Arial" w:cs="Arial" w:eastAsia="Arial" w:hAnsi="Arial"/>
                  <w:sz w:val="18"/>
                  <w:szCs w:val="18"/>
                  <w:color w:val="0000EE"/>
                  <w:w w:val="88"/>
                </w:rPr>
                <w:t>dated as of February 9, 2018</w:t>
              </w:r>
            </w:hyperlink>
          </w:p>
        </w:tc>
        <w:tc>
          <w:tcPr>
            <w:tcW w:w="2380" w:type="dxa"/>
            <w:vAlign w:val="bottom"/>
            <w:tcBorders>
              <w:top w:val="single" w:sz="8" w:color="0000EE"/>
            </w:tcBorders>
            <w:gridSpan w:val="17"/>
          </w:tcPr>
          <w:p>
            <w:pPr>
              <w:spacing w:after="0"/>
              <w:rPr>
                <w:sz w:val="14"/>
                <w:szCs w:val="14"/>
                <w:color w:val="auto"/>
              </w:rPr>
            </w:pPr>
          </w:p>
        </w:tc>
        <w:tc>
          <w:tcPr>
            <w:tcW w:w="180" w:type="dxa"/>
            <w:vAlign w:val="bottom"/>
            <w:gridSpan w:val="2"/>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4620" w:type="dxa"/>
            <w:vAlign w:val="bottom"/>
            <w:gridSpan w:val="25"/>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Description of Kiniksa Pharmaceuticals, Ltd. Securities</w:t>
              </w:r>
            </w:hyperlink>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620" w:type="dxa"/>
            <w:vAlign w:val="bottom"/>
            <w:gridSpan w:val="25"/>
          </w:tcPr>
          <w:p>
            <w:pPr>
              <w:spacing w:after="0"/>
              <w:rPr>
                <w:rFonts w:ascii="Arial" w:cs="Arial" w:eastAsia="Arial" w:hAnsi="Arial"/>
                <w:sz w:val="18"/>
                <w:szCs w:val="18"/>
                <w:color w:val="0000EE"/>
                <w:w w:val="94"/>
              </w:rPr>
            </w:pPr>
            <w:hyperlink r:id="rId158">
              <w:r>
                <w:rPr>
                  <w:rFonts w:ascii="Arial" w:cs="Arial" w:eastAsia="Arial" w:hAnsi="Arial"/>
                  <w:sz w:val="18"/>
                  <w:szCs w:val="18"/>
                  <w:color w:val="0000EE"/>
                  <w:w w:val="94"/>
                </w:rPr>
                <w:t>Amended and Restated Employment Agreement, dated as of</w:t>
              </w:r>
            </w:hyperlink>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80" w:type="dxa"/>
            <w:vAlign w:val="bottom"/>
            <w:tcBorders>
              <w:top w:val="single" w:sz="8" w:color="0000EE"/>
            </w:tcBorders>
            <w:gridSpan w:val="20"/>
          </w:tcPr>
          <w:p>
            <w:pPr>
              <w:spacing w:after="0" w:line="170" w:lineRule="exact"/>
              <w:rPr>
                <w:rFonts w:ascii="Arial" w:cs="Arial" w:eastAsia="Arial" w:hAnsi="Arial"/>
                <w:sz w:val="18"/>
                <w:szCs w:val="18"/>
                <w:color w:val="0000EE"/>
                <w:w w:val="97"/>
              </w:rPr>
            </w:pPr>
            <w:hyperlink r:id="rId158">
              <w:r>
                <w:rPr>
                  <w:rFonts w:ascii="Arial" w:cs="Arial" w:eastAsia="Arial" w:hAnsi="Arial"/>
                  <w:sz w:val="18"/>
                  <w:szCs w:val="18"/>
                  <w:color w:val="0000EE"/>
                  <w:w w:val="97"/>
                </w:rPr>
                <w:t>May 29, 2018, by and between Kiniksa Pharmaceuticals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62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90"/>
              </w:rPr>
              <w:t>10</w:t>
            </w:r>
            <w:r>
              <w:rPr>
                <w:rFonts w:ascii="MS PGothic" w:cs="MS PGothic" w:eastAsia="MS PGothic" w:hAnsi="MS PGothic"/>
                <w:sz w:val="18"/>
                <w:szCs w:val="18"/>
                <w:color w:val="auto"/>
                <w:w w:val="90"/>
              </w:rPr>
              <w:t>‑</w:t>
            </w:r>
            <w:r>
              <w:rPr>
                <w:rFonts w:ascii="Arial" w:cs="Arial" w:eastAsia="Arial" w:hAnsi="Arial"/>
                <w:sz w:val="18"/>
                <w:szCs w:val="18"/>
                <w:color w:val="auto"/>
                <w:w w:val="90"/>
              </w:rPr>
              <w:t>Q</w:t>
            </w:r>
          </w:p>
        </w:tc>
        <w:tc>
          <w:tcPr>
            <w:tcW w:w="104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38492</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5"/>
              </w:rPr>
              <w:t>10.7</w:t>
            </w:r>
          </w:p>
        </w:tc>
        <w:tc>
          <w:tcPr>
            <w:tcW w:w="1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1"/>
              </w:rPr>
              <w:t>8/6/18</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Borders>
              <w:top w:val="single" w:sz="8" w:color="0000EE"/>
              <w:bottom w:val="single" w:sz="8" w:color="0000EE"/>
            </w:tcBorders>
            <w:gridSpan w:val="4"/>
          </w:tcPr>
          <w:p>
            <w:pPr>
              <w:spacing w:after="0" w:line="170" w:lineRule="exact"/>
              <w:rPr>
                <w:rFonts w:ascii="Arial" w:cs="Arial" w:eastAsia="Arial" w:hAnsi="Arial"/>
                <w:sz w:val="18"/>
                <w:szCs w:val="18"/>
                <w:color w:val="0000EE"/>
                <w:w w:val="89"/>
              </w:rPr>
            </w:pPr>
            <w:hyperlink r:id="rId158">
              <w:r>
                <w:rPr>
                  <w:rFonts w:ascii="Arial" w:cs="Arial" w:eastAsia="Arial" w:hAnsi="Arial"/>
                  <w:sz w:val="18"/>
                  <w:szCs w:val="18"/>
                  <w:color w:val="0000EE"/>
                  <w:w w:val="89"/>
                </w:rPr>
                <w:t>Corp. and Sanj K. Patel</w:t>
              </w:r>
            </w:hyperlink>
          </w:p>
        </w:tc>
        <w:tc>
          <w:tcPr>
            <w:tcW w:w="2360" w:type="dxa"/>
            <w:vAlign w:val="bottom"/>
            <w:tcBorders>
              <w:top w:val="single" w:sz="8" w:color="0000EE"/>
            </w:tcBorders>
            <w:gridSpan w:val="8"/>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4620" w:type="dxa"/>
            <w:vAlign w:val="bottom"/>
            <w:gridSpan w:val="25"/>
          </w:tcPr>
          <w:p>
            <w:pPr>
              <w:spacing w:after="0"/>
              <w:rPr>
                <w:rFonts w:ascii="Arial" w:cs="Arial" w:eastAsia="Arial" w:hAnsi="Arial"/>
                <w:sz w:val="18"/>
                <w:szCs w:val="18"/>
                <w:color w:val="0000EE"/>
                <w:w w:val="94"/>
              </w:rPr>
            </w:pPr>
            <w:hyperlink r:id="rId159">
              <w:r>
                <w:rPr>
                  <w:rFonts w:ascii="Arial" w:cs="Arial" w:eastAsia="Arial" w:hAnsi="Arial"/>
                  <w:sz w:val="18"/>
                  <w:szCs w:val="18"/>
                  <w:color w:val="0000EE"/>
                  <w:w w:val="94"/>
                </w:rPr>
                <w:t>Amended and Restated Employment Agreement, dated as of</w:t>
              </w:r>
            </w:hyperlink>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80" w:type="dxa"/>
            <w:vAlign w:val="bottom"/>
            <w:tcBorders>
              <w:top w:val="single" w:sz="8" w:color="0000EE"/>
            </w:tcBorders>
            <w:gridSpan w:val="20"/>
          </w:tcPr>
          <w:p>
            <w:pPr>
              <w:spacing w:after="0" w:line="170" w:lineRule="exact"/>
              <w:rPr>
                <w:rFonts w:ascii="Arial" w:cs="Arial" w:eastAsia="Arial" w:hAnsi="Arial"/>
                <w:sz w:val="18"/>
                <w:szCs w:val="18"/>
                <w:color w:val="0000EE"/>
                <w:w w:val="97"/>
              </w:rPr>
            </w:pPr>
            <w:hyperlink r:id="rId159">
              <w:r>
                <w:rPr>
                  <w:rFonts w:ascii="Arial" w:cs="Arial" w:eastAsia="Arial" w:hAnsi="Arial"/>
                  <w:sz w:val="18"/>
                  <w:szCs w:val="18"/>
                  <w:color w:val="0000EE"/>
                  <w:w w:val="97"/>
                </w:rPr>
                <w:t>May 29, 2018, by and between Kiniksa Pharmaceuticals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62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90"/>
              </w:rPr>
              <w:t>10</w:t>
            </w:r>
            <w:r>
              <w:rPr>
                <w:rFonts w:ascii="MS PGothic" w:cs="MS PGothic" w:eastAsia="MS PGothic" w:hAnsi="MS PGothic"/>
                <w:sz w:val="18"/>
                <w:szCs w:val="18"/>
                <w:color w:val="auto"/>
                <w:w w:val="90"/>
              </w:rPr>
              <w:t>‑</w:t>
            </w:r>
            <w:r>
              <w:rPr>
                <w:rFonts w:ascii="Arial" w:cs="Arial" w:eastAsia="Arial" w:hAnsi="Arial"/>
                <w:sz w:val="18"/>
                <w:szCs w:val="18"/>
                <w:color w:val="auto"/>
                <w:w w:val="90"/>
              </w:rPr>
              <w:t>Q</w:t>
            </w:r>
          </w:p>
        </w:tc>
        <w:tc>
          <w:tcPr>
            <w:tcW w:w="104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38492</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5"/>
              </w:rPr>
              <w:t>10.8</w:t>
            </w:r>
          </w:p>
        </w:tc>
        <w:tc>
          <w:tcPr>
            <w:tcW w:w="1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1"/>
              </w:rPr>
              <w:t>8/6/18</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Borders>
              <w:top w:val="single" w:sz="8" w:color="0000EE"/>
              <w:bottom w:val="single" w:sz="8" w:color="0000EE"/>
            </w:tcBorders>
            <w:gridSpan w:val="6"/>
          </w:tcPr>
          <w:p>
            <w:pPr>
              <w:spacing w:after="0" w:line="170" w:lineRule="exact"/>
              <w:rPr>
                <w:rFonts w:ascii="Arial" w:cs="Arial" w:eastAsia="Arial" w:hAnsi="Arial"/>
                <w:sz w:val="18"/>
                <w:szCs w:val="18"/>
                <w:color w:val="0000EE"/>
                <w:w w:val="88"/>
              </w:rPr>
            </w:pPr>
            <w:hyperlink r:id="rId159">
              <w:r>
                <w:rPr>
                  <w:rFonts w:ascii="Arial" w:cs="Arial" w:eastAsia="Arial" w:hAnsi="Arial"/>
                  <w:sz w:val="18"/>
                  <w:szCs w:val="18"/>
                  <w:color w:val="0000EE"/>
                  <w:w w:val="88"/>
                </w:rPr>
                <w:t>Corp. and Stephen Mahoney</w:t>
              </w:r>
            </w:hyperlink>
          </w:p>
        </w:tc>
        <w:tc>
          <w:tcPr>
            <w:tcW w:w="2000" w:type="dxa"/>
            <w:vAlign w:val="bottom"/>
            <w:tcBorders>
              <w:top w:val="single" w:sz="8" w:color="0000EE"/>
            </w:tcBorders>
            <w:gridSpan w:val="6"/>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4620" w:type="dxa"/>
            <w:vAlign w:val="bottom"/>
            <w:gridSpan w:val="25"/>
          </w:tcPr>
          <w:p>
            <w:pPr>
              <w:spacing w:after="0"/>
              <w:rPr>
                <w:rFonts w:ascii="Arial" w:cs="Arial" w:eastAsia="Arial" w:hAnsi="Arial"/>
                <w:sz w:val="18"/>
                <w:szCs w:val="18"/>
                <w:color w:val="0000EE"/>
                <w:w w:val="94"/>
              </w:rPr>
            </w:pPr>
            <w:hyperlink r:id="rId160">
              <w:r>
                <w:rPr>
                  <w:rFonts w:ascii="Arial" w:cs="Arial" w:eastAsia="Arial" w:hAnsi="Arial"/>
                  <w:sz w:val="18"/>
                  <w:szCs w:val="18"/>
                  <w:color w:val="0000EE"/>
                  <w:w w:val="94"/>
                </w:rPr>
                <w:t>Amended and Restated Employment Agreement, dated as of</w:t>
              </w:r>
            </w:hyperlink>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80" w:type="dxa"/>
            <w:vAlign w:val="bottom"/>
            <w:tcBorders>
              <w:top w:val="single" w:sz="8" w:color="0000EE"/>
            </w:tcBorders>
            <w:gridSpan w:val="20"/>
          </w:tcPr>
          <w:p>
            <w:pPr>
              <w:spacing w:after="0" w:line="170" w:lineRule="exact"/>
              <w:rPr>
                <w:rFonts w:ascii="Arial" w:cs="Arial" w:eastAsia="Arial" w:hAnsi="Arial"/>
                <w:sz w:val="18"/>
                <w:szCs w:val="18"/>
                <w:color w:val="0000EE"/>
                <w:w w:val="97"/>
              </w:rPr>
            </w:pPr>
            <w:hyperlink r:id="rId160">
              <w:r>
                <w:rPr>
                  <w:rFonts w:ascii="Arial" w:cs="Arial" w:eastAsia="Arial" w:hAnsi="Arial"/>
                  <w:sz w:val="18"/>
                  <w:szCs w:val="18"/>
                  <w:color w:val="0000EE"/>
                  <w:w w:val="97"/>
                </w:rPr>
                <w:t>May 29, 2018, by and between Kiniksa Pharmaceuticals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62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90"/>
              </w:rPr>
              <w:t>10</w:t>
            </w:r>
            <w:r>
              <w:rPr>
                <w:rFonts w:ascii="MS PGothic" w:cs="MS PGothic" w:eastAsia="MS PGothic" w:hAnsi="MS PGothic"/>
                <w:sz w:val="18"/>
                <w:szCs w:val="18"/>
                <w:color w:val="auto"/>
                <w:w w:val="90"/>
              </w:rPr>
              <w:t>‑</w:t>
            </w:r>
            <w:r>
              <w:rPr>
                <w:rFonts w:ascii="Arial" w:cs="Arial" w:eastAsia="Arial" w:hAnsi="Arial"/>
                <w:sz w:val="18"/>
                <w:szCs w:val="18"/>
                <w:color w:val="auto"/>
                <w:w w:val="90"/>
              </w:rPr>
              <w:t>Q</w:t>
            </w:r>
          </w:p>
        </w:tc>
        <w:tc>
          <w:tcPr>
            <w:tcW w:w="104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38492</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5"/>
              </w:rPr>
              <w:t>10.9</w:t>
            </w:r>
          </w:p>
        </w:tc>
        <w:tc>
          <w:tcPr>
            <w:tcW w:w="1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1"/>
              </w:rPr>
              <w:t>8/6/18</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60" w:type="dxa"/>
            <w:vAlign w:val="bottom"/>
            <w:tcBorders>
              <w:top w:val="single" w:sz="8" w:color="0000EE"/>
            </w:tcBorders>
            <w:gridSpan w:val="12"/>
          </w:tcPr>
          <w:p>
            <w:pPr>
              <w:spacing w:after="0" w:line="170" w:lineRule="exact"/>
              <w:rPr>
                <w:rFonts w:ascii="Arial" w:cs="Arial" w:eastAsia="Arial" w:hAnsi="Arial"/>
                <w:sz w:val="18"/>
                <w:szCs w:val="18"/>
                <w:color w:val="0000EE"/>
              </w:rPr>
            </w:pPr>
            <w:hyperlink r:id="rId160">
              <w:r>
                <w:rPr>
                  <w:rFonts w:ascii="Arial" w:cs="Arial" w:eastAsia="Arial" w:hAnsi="Arial"/>
                  <w:sz w:val="18"/>
                  <w:szCs w:val="18"/>
                  <w:color w:val="0000EE"/>
                </w:rPr>
                <w:t>Corp. and John F. Paolini</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gridSpan w:val="2"/>
          </w:tcPr>
          <w:p>
            <w:pPr>
              <w:spacing w:after="0"/>
              <w:rPr>
                <w:sz w:val="20"/>
                <w:szCs w:val="20"/>
                <w:color w:val="auto"/>
              </w:rPr>
            </w:pPr>
            <w:r>
              <w:rPr>
                <w:rFonts w:ascii="Arial" w:cs="Arial" w:eastAsia="Arial" w:hAnsi="Arial"/>
                <w:sz w:val="18"/>
                <w:szCs w:val="18"/>
                <w:color w:val="auto"/>
              </w:rPr>
              <w:t>10.4†</w:t>
            </w:r>
          </w:p>
        </w:tc>
        <w:tc>
          <w:tcPr>
            <w:tcW w:w="4620" w:type="dxa"/>
            <w:vAlign w:val="bottom"/>
            <w:gridSpan w:val="25"/>
          </w:tcPr>
          <w:p>
            <w:pPr>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Asset Purchase Agreement, dated September 7, 2016, by and</w:t>
              </w:r>
            </w:hyperlink>
          </w:p>
        </w:tc>
        <w:tc>
          <w:tcPr>
            <w:tcW w:w="62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1</w:t>
            </w:r>
          </w:p>
        </w:tc>
        <w:tc>
          <w:tcPr>
            <w:tcW w:w="104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224488</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5"/>
              </w:rPr>
              <w:t>10.6</w:t>
            </w:r>
          </w:p>
        </w:tc>
        <w:tc>
          <w:tcPr>
            <w:tcW w:w="140" w:type="dxa"/>
            <w:vAlign w:val="bottom"/>
          </w:tcPr>
          <w:p>
            <w:pPr>
              <w:spacing w:after="0"/>
              <w:rPr>
                <w:sz w:val="24"/>
                <w:szCs w:val="24"/>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3"/>
              </w:rPr>
              <w:t>4/27/18</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00" w:type="dxa"/>
            <w:vAlign w:val="bottom"/>
            <w:tcBorders>
              <w:top w:val="single" w:sz="8" w:color="0000EE"/>
              <w:bottom w:val="single" w:sz="8" w:color="0000EE"/>
            </w:tcBorders>
            <w:gridSpan w:val="13"/>
          </w:tcPr>
          <w:p>
            <w:pPr>
              <w:spacing w:after="0" w:line="170" w:lineRule="exact"/>
              <w:rPr>
                <w:rFonts w:ascii="Arial" w:cs="Arial" w:eastAsia="Arial" w:hAnsi="Arial"/>
                <w:sz w:val="18"/>
                <w:szCs w:val="18"/>
                <w:color w:val="0000EE"/>
                <w:w w:val="89"/>
              </w:rPr>
            </w:pPr>
            <w:hyperlink r:id="rId161">
              <w:r>
                <w:rPr>
                  <w:rFonts w:ascii="Arial" w:cs="Arial" w:eastAsia="Arial" w:hAnsi="Arial"/>
                  <w:sz w:val="18"/>
                  <w:szCs w:val="18"/>
                  <w:color w:val="0000EE"/>
                  <w:w w:val="89"/>
                </w:rPr>
                <w:t>between the Registrant and Biogen MA Inc., as amended</w:t>
              </w:r>
            </w:hyperlink>
          </w:p>
        </w:tc>
        <w:tc>
          <w:tcPr>
            <w:tcW w:w="320" w:type="dxa"/>
            <w:vAlign w:val="bottom"/>
            <w:tcBorders>
              <w:top w:val="single" w:sz="8" w:color="0000EE"/>
            </w:tcBorders>
            <w:gridSpan w:val="9"/>
          </w:tcPr>
          <w:p>
            <w:pPr>
              <w:spacing w:after="0"/>
              <w:rPr>
                <w:sz w:val="14"/>
                <w:szCs w:val="14"/>
                <w:color w:val="auto"/>
              </w:rPr>
            </w:pPr>
          </w:p>
        </w:tc>
        <w:tc>
          <w:tcPr>
            <w:tcW w:w="200" w:type="dxa"/>
            <w:vAlign w:val="bottom"/>
            <w:gridSpan w:val="3"/>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640" w:type="dxa"/>
            <w:vAlign w:val="bottom"/>
            <w:gridSpan w:val="2"/>
          </w:tcPr>
          <w:p>
            <w:pPr>
              <w:spacing w:after="0"/>
              <w:rPr>
                <w:sz w:val="20"/>
                <w:szCs w:val="20"/>
                <w:color w:val="auto"/>
              </w:rPr>
            </w:pPr>
            <w:r>
              <w:rPr>
                <w:rFonts w:ascii="Arial" w:cs="Arial" w:eastAsia="Arial" w:hAnsi="Arial"/>
                <w:sz w:val="18"/>
                <w:szCs w:val="18"/>
                <w:color w:val="auto"/>
              </w:rPr>
              <w:t>10.5†</w:t>
            </w:r>
          </w:p>
        </w:tc>
        <w:tc>
          <w:tcPr>
            <w:tcW w:w="4620" w:type="dxa"/>
            <w:vAlign w:val="bottom"/>
            <w:gridSpan w:val="25"/>
          </w:tcPr>
          <w:p>
            <w:pPr>
              <w:spacing w:after="0"/>
              <w:rPr>
                <w:rFonts w:ascii="Arial" w:cs="Arial" w:eastAsia="Arial" w:hAnsi="Arial"/>
                <w:sz w:val="18"/>
                <w:szCs w:val="18"/>
                <w:color w:val="0000EE"/>
              </w:rPr>
            </w:pPr>
            <w:hyperlink r:id="rId162">
              <w:r>
                <w:rPr>
                  <w:rFonts w:ascii="Arial" w:cs="Arial" w:eastAsia="Arial" w:hAnsi="Arial"/>
                  <w:sz w:val="18"/>
                  <w:szCs w:val="18"/>
                  <w:color w:val="0000EE"/>
                </w:rPr>
                <w:t>License Agreement, dated September 25, 2017, by and</w:t>
              </w:r>
            </w:hyperlink>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Borders>
              <w:top w:val="single" w:sz="8" w:color="0000EE"/>
              <w:bottom w:val="single" w:sz="8" w:color="0000EE"/>
            </w:tcBorders>
            <w:gridSpan w:val="11"/>
          </w:tcPr>
          <w:p>
            <w:pPr>
              <w:spacing w:after="0" w:line="170" w:lineRule="exact"/>
              <w:rPr>
                <w:rFonts w:ascii="Arial" w:cs="Arial" w:eastAsia="Arial" w:hAnsi="Arial"/>
                <w:sz w:val="18"/>
                <w:szCs w:val="18"/>
                <w:color w:val="0000EE"/>
                <w:w w:val="86"/>
              </w:rPr>
            </w:pPr>
            <w:hyperlink r:id="rId162">
              <w:r>
                <w:rPr>
                  <w:rFonts w:ascii="Arial" w:cs="Arial" w:eastAsia="Arial" w:hAnsi="Arial"/>
                  <w:sz w:val="18"/>
                  <w:szCs w:val="18"/>
                  <w:color w:val="0000EE"/>
                  <w:w w:val="86"/>
                </w:rPr>
                <w:t>between the Registrant and Regeneron Pharmaceuticals,</w:t>
              </w:r>
            </w:hyperlink>
          </w:p>
        </w:tc>
        <w:tc>
          <w:tcPr>
            <w:tcW w:w="400" w:type="dxa"/>
            <w:vAlign w:val="bottom"/>
            <w:tcBorders>
              <w:bottom w:val="single" w:sz="8" w:color="0000EE"/>
            </w:tcBorders>
            <w:gridSpan w:val="10"/>
          </w:tcPr>
          <w:p>
            <w:pPr>
              <w:ind w:left="100"/>
              <w:spacing w:after="0" w:line="170" w:lineRule="exact"/>
              <w:rPr>
                <w:rFonts w:ascii="Arial" w:cs="Arial" w:eastAsia="Arial" w:hAnsi="Arial"/>
                <w:sz w:val="18"/>
                <w:szCs w:val="18"/>
                <w:color w:val="0000EE"/>
                <w:w w:val="96"/>
              </w:rPr>
            </w:pPr>
            <w:hyperlink r:id="rId162">
              <w:r>
                <w:rPr>
                  <w:rFonts w:ascii="Arial" w:cs="Arial" w:eastAsia="Arial" w:hAnsi="Arial"/>
                  <w:sz w:val="18"/>
                  <w:szCs w:val="18"/>
                  <w:color w:val="0000EE"/>
                  <w:w w:val="96"/>
                </w:rPr>
                <w:t>Inc.</w:t>
              </w:r>
            </w:hyperlink>
          </w:p>
        </w:tc>
        <w:tc>
          <w:tcPr>
            <w:tcW w:w="220" w:type="dxa"/>
            <w:vAlign w:val="bottom"/>
            <w:gridSpan w:val="4"/>
          </w:tcPr>
          <w:p>
            <w:pPr>
              <w:spacing w:after="0"/>
              <w:rPr>
                <w:sz w:val="14"/>
                <w:szCs w:val="14"/>
                <w:color w:val="auto"/>
              </w:rPr>
            </w:pPr>
          </w:p>
        </w:tc>
        <w:tc>
          <w:tcPr>
            <w:tcW w:w="620" w:type="dxa"/>
            <w:vAlign w:val="bottom"/>
            <w:gridSpan w:val="2"/>
          </w:tcPr>
          <w:p>
            <w:pPr>
              <w:jc w:val="center"/>
              <w:ind w:right="140"/>
              <w:spacing w:after="0" w:line="170"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1</w:t>
            </w:r>
          </w:p>
        </w:tc>
        <w:tc>
          <w:tcPr>
            <w:tcW w:w="1040" w:type="dxa"/>
            <w:vAlign w:val="bottom"/>
            <w:gridSpan w:val="2"/>
          </w:tcPr>
          <w:p>
            <w:pPr>
              <w:jc w:val="center"/>
              <w:ind w:right="140"/>
              <w:spacing w:after="0" w:line="170"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224488</w:t>
            </w:r>
          </w:p>
        </w:tc>
        <w:tc>
          <w:tcPr>
            <w:tcW w:w="540" w:type="dxa"/>
            <w:vAlign w:val="bottom"/>
          </w:tcPr>
          <w:p>
            <w:pPr>
              <w:jc w:val="center"/>
              <w:spacing w:after="0" w:line="170" w:lineRule="exact"/>
              <w:rPr>
                <w:sz w:val="20"/>
                <w:szCs w:val="20"/>
                <w:color w:val="auto"/>
              </w:rPr>
            </w:pPr>
            <w:r>
              <w:rPr>
                <w:rFonts w:ascii="Arial" w:cs="Arial" w:eastAsia="Arial" w:hAnsi="Arial"/>
                <w:sz w:val="18"/>
                <w:szCs w:val="18"/>
                <w:color w:val="auto"/>
                <w:w w:val="85"/>
              </w:rPr>
              <w:t>10.7</w:t>
            </w:r>
          </w:p>
        </w:tc>
        <w:tc>
          <w:tcPr>
            <w:tcW w:w="140" w:type="dxa"/>
            <w:vAlign w:val="bottom"/>
          </w:tcPr>
          <w:p>
            <w:pPr>
              <w:spacing w:after="0"/>
              <w:rPr>
                <w:sz w:val="14"/>
                <w:szCs w:val="14"/>
                <w:color w:val="auto"/>
              </w:rPr>
            </w:pPr>
          </w:p>
        </w:tc>
        <w:tc>
          <w:tcPr>
            <w:tcW w:w="620" w:type="dxa"/>
            <w:vAlign w:val="bottom"/>
          </w:tcPr>
          <w:p>
            <w:pPr>
              <w:jc w:val="center"/>
              <w:spacing w:after="0" w:line="170" w:lineRule="exact"/>
              <w:rPr>
                <w:sz w:val="20"/>
                <w:szCs w:val="20"/>
                <w:color w:val="auto"/>
              </w:rPr>
            </w:pPr>
            <w:r>
              <w:rPr>
                <w:rFonts w:ascii="Arial" w:cs="Arial" w:eastAsia="Arial" w:hAnsi="Arial"/>
                <w:sz w:val="18"/>
                <w:szCs w:val="18"/>
                <w:color w:val="auto"/>
                <w:w w:val="93"/>
              </w:rPr>
              <w:t>4/27/18</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640" w:type="dxa"/>
            <w:vAlign w:val="bottom"/>
            <w:gridSpan w:val="2"/>
          </w:tcPr>
          <w:p>
            <w:pPr>
              <w:spacing w:after="0"/>
              <w:rPr>
                <w:sz w:val="20"/>
                <w:szCs w:val="20"/>
                <w:color w:val="auto"/>
              </w:rPr>
            </w:pPr>
            <w:r>
              <w:rPr>
                <w:rFonts w:ascii="Arial" w:cs="Arial" w:eastAsia="Arial" w:hAnsi="Arial"/>
                <w:sz w:val="18"/>
                <w:szCs w:val="18"/>
                <w:color w:val="auto"/>
              </w:rPr>
              <w:t>10.6†</w:t>
            </w:r>
          </w:p>
        </w:tc>
        <w:tc>
          <w:tcPr>
            <w:tcW w:w="4620" w:type="dxa"/>
            <w:vAlign w:val="bottom"/>
            <w:gridSpan w:val="25"/>
          </w:tcPr>
          <w:p>
            <w:pPr>
              <w:spacing w:after="0"/>
              <w:rPr>
                <w:rFonts w:ascii="Arial" w:cs="Arial" w:eastAsia="Arial" w:hAnsi="Arial"/>
                <w:sz w:val="18"/>
                <w:szCs w:val="18"/>
                <w:color w:val="0000EE"/>
                <w:w w:val="95"/>
              </w:rPr>
            </w:pPr>
            <w:hyperlink r:id="rId163">
              <w:r>
                <w:rPr>
                  <w:rFonts w:ascii="Arial" w:cs="Arial" w:eastAsia="Arial" w:hAnsi="Arial"/>
                  <w:sz w:val="18"/>
                  <w:szCs w:val="18"/>
                  <w:color w:val="0000EE"/>
                  <w:w w:val="95"/>
                </w:rPr>
                <w:t>License Agreement, dated as of December 21, 2017, by and</w:t>
              </w:r>
            </w:hyperlink>
          </w:p>
        </w:tc>
        <w:tc>
          <w:tcPr>
            <w:tcW w:w="62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1</w:t>
            </w:r>
          </w:p>
        </w:tc>
        <w:tc>
          <w:tcPr>
            <w:tcW w:w="104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224488</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5"/>
              </w:rPr>
              <w:t>10.8</w:t>
            </w:r>
          </w:p>
        </w:tc>
        <w:tc>
          <w:tcPr>
            <w:tcW w:w="140" w:type="dxa"/>
            <w:vAlign w:val="bottom"/>
          </w:tcPr>
          <w:p>
            <w:pPr>
              <w:spacing w:after="0"/>
              <w:rPr>
                <w:sz w:val="24"/>
                <w:szCs w:val="24"/>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3"/>
              </w:rPr>
              <w:t>4/27/18</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tcBorders>
              <w:top w:val="single" w:sz="8" w:color="0000EE"/>
            </w:tcBorders>
            <w:gridSpan w:val="17"/>
          </w:tcPr>
          <w:p>
            <w:pPr>
              <w:spacing w:after="0" w:line="170" w:lineRule="exact"/>
              <w:rPr>
                <w:rFonts w:ascii="Arial" w:cs="Arial" w:eastAsia="Arial" w:hAnsi="Arial"/>
                <w:sz w:val="18"/>
                <w:szCs w:val="18"/>
                <w:color w:val="0000EE"/>
              </w:rPr>
            </w:pPr>
            <w:hyperlink r:id="rId163">
              <w:r>
                <w:rPr>
                  <w:rFonts w:ascii="Arial" w:cs="Arial" w:eastAsia="Arial" w:hAnsi="Arial"/>
                  <w:sz w:val="18"/>
                  <w:szCs w:val="18"/>
                  <w:color w:val="0000EE"/>
                </w:rPr>
                <w:t>between the Registrant and MedImmune, Limited</w:t>
              </w:r>
            </w:hyperlink>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20" w:type="dxa"/>
            <w:vAlign w:val="bottom"/>
            <w:gridSpan w:val="4"/>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4620" w:type="dxa"/>
            <w:vAlign w:val="bottom"/>
            <w:gridSpan w:val="25"/>
          </w:tcPr>
          <w:p>
            <w:pPr>
              <w:spacing w:after="0"/>
              <w:rPr>
                <w:rFonts w:ascii="Arial" w:cs="Arial" w:eastAsia="Arial" w:hAnsi="Arial"/>
                <w:sz w:val="18"/>
                <w:szCs w:val="18"/>
                <w:color w:val="0000EE"/>
                <w:w w:val="95"/>
              </w:rPr>
            </w:pPr>
            <w:hyperlink r:id="rId164">
              <w:r>
                <w:rPr>
                  <w:rFonts w:ascii="Arial" w:cs="Arial" w:eastAsia="Arial" w:hAnsi="Arial"/>
                  <w:sz w:val="18"/>
                  <w:szCs w:val="18"/>
                  <w:color w:val="0000EE"/>
                  <w:w w:val="95"/>
                </w:rPr>
                <w:t>Clinical Supply Agreement, dated as of September 27, 2017,</w:t>
              </w:r>
            </w:hyperlink>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0" w:type="dxa"/>
            <w:vAlign w:val="bottom"/>
            <w:tcBorders>
              <w:top w:val="single" w:sz="8" w:color="0000EE"/>
            </w:tcBorders>
            <w:gridSpan w:val="21"/>
          </w:tcPr>
          <w:p>
            <w:pPr>
              <w:spacing w:after="0" w:line="170" w:lineRule="exact"/>
              <w:rPr>
                <w:rFonts w:ascii="Arial" w:cs="Arial" w:eastAsia="Arial" w:hAnsi="Arial"/>
                <w:sz w:val="18"/>
                <w:szCs w:val="18"/>
                <w:color w:val="0000EE"/>
              </w:rPr>
            </w:pPr>
            <w:hyperlink r:id="rId164">
              <w:r>
                <w:rPr>
                  <w:rFonts w:ascii="Arial" w:cs="Arial" w:eastAsia="Arial" w:hAnsi="Arial"/>
                  <w:sz w:val="18"/>
                  <w:szCs w:val="18"/>
                  <w:color w:val="0000EE"/>
                </w:rPr>
                <w:t>by and between the Registrant and Regeneron</w:t>
              </w:r>
            </w:hyperlink>
          </w:p>
        </w:tc>
        <w:tc>
          <w:tcPr>
            <w:tcW w:w="220" w:type="dxa"/>
            <w:vAlign w:val="bottom"/>
            <w:gridSpan w:val="4"/>
          </w:tcPr>
          <w:p>
            <w:pPr>
              <w:spacing w:after="0"/>
              <w:rPr>
                <w:sz w:val="14"/>
                <w:szCs w:val="14"/>
                <w:color w:val="auto"/>
              </w:rPr>
            </w:pPr>
          </w:p>
        </w:tc>
        <w:tc>
          <w:tcPr>
            <w:tcW w:w="62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1</w:t>
            </w:r>
          </w:p>
        </w:tc>
        <w:tc>
          <w:tcPr>
            <w:tcW w:w="104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224488</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5"/>
              </w:rPr>
              <w:t>10.9</w:t>
            </w:r>
          </w:p>
        </w:tc>
        <w:tc>
          <w:tcPr>
            <w:tcW w:w="1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3"/>
              </w:rPr>
              <w:t>4/27/18</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tcBorders>
              <w:top w:val="single" w:sz="8" w:color="0000EE"/>
            </w:tcBorders>
            <w:gridSpan w:val="9"/>
          </w:tcPr>
          <w:p>
            <w:pPr>
              <w:spacing w:after="0" w:line="170" w:lineRule="exact"/>
              <w:rPr>
                <w:rFonts w:ascii="Arial" w:cs="Arial" w:eastAsia="Arial" w:hAnsi="Arial"/>
                <w:sz w:val="18"/>
                <w:szCs w:val="18"/>
                <w:color w:val="0000EE"/>
              </w:rPr>
            </w:pPr>
            <w:hyperlink r:id="rId164">
              <w:r>
                <w:rPr>
                  <w:rFonts w:ascii="Arial" w:cs="Arial" w:eastAsia="Arial" w:hAnsi="Arial"/>
                  <w:sz w:val="18"/>
                  <w:szCs w:val="18"/>
                  <w:color w:val="0000EE"/>
                </w:rPr>
                <w:t>Pharmaceuticals, Inc.</w:t>
              </w:r>
            </w:hyperlink>
          </w:p>
        </w:tc>
        <w:tc>
          <w:tcPr>
            <w:tcW w:w="82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80" w:type="dxa"/>
            <w:vAlign w:val="bottom"/>
            <w:gridSpan w:val="7"/>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4620" w:type="dxa"/>
            <w:vAlign w:val="bottom"/>
            <w:gridSpan w:val="25"/>
          </w:tcPr>
          <w:p>
            <w:pPr>
              <w:spacing w:after="0"/>
              <w:rPr>
                <w:rFonts w:ascii="Arial" w:cs="Arial" w:eastAsia="Arial" w:hAnsi="Arial"/>
                <w:sz w:val="18"/>
                <w:szCs w:val="18"/>
                <w:color w:val="0000EE"/>
                <w:w w:val="99"/>
              </w:rPr>
            </w:pPr>
            <w:hyperlink r:id="rId165">
              <w:r>
                <w:rPr>
                  <w:rFonts w:ascii="Arial" w:cs="Arial" w:eastAsia="Arial" w:hAnsi="Arial"/>
                  <w:sz w:val="18"/>
                  <w:szCs w:val="18"/>
                  <w:color w:val="0000EE"/>
                  <w:w w:val="99"/>
                </w:rPr>
                <w:t>Sublease Agreement, dated as of March 13, 2018, by and</w:t>
              </w:r>
            </w:hyperlink>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20" w:type="dxa"/>
            <w:vAlign w:val="bottom"/>
            <w:tcBorders>
              <w:top w:val="single" w:sz="8" w:color="0000EE"/>
              <w:bottom w:val="single" w:sz="8" w:color="0000EE"/>
            </w:tcBorders>
            <w:gridSpan w:val="14"/>
          </w:tcPr>
          <w:p>
            <w:pPr>
              <w:spacing w:after="0" w:line="170" w:lineRule="exact"/>
              <w:rPr>
                <w:rFonts w:ascii="Arial" w:cs="Arial" w:eastAsia="Arial" w:hAnsi="Arial"/>
                <w:sz w:val="18"/>
                <w:szCs w:val="18"/>
                <w:color w:val="0000EE"/>
                <w:w w:val="88"/>
              </w:rPr>
            </w:pPr>
            <w:hyperlink r:id="rId165">
              <w:r>
                <w:rPr>
                  <w:rFonts w:ascii="Arial" w:cs="Arial" w:eastAsia="Arial" w:hAnsi="Arial"/>
                  <w:sz w:val="18"/>
                  <w:szCs w:val="18"/>
                  <w:color w:val="0000EE"/>
                  <w:w w:val="88"/>
                </w:rPr>
                <w:t>between Kiniksa Pharmaceuticals Corp. and Shire Human</w:t>
              </w:r>
            </w:hyperlink>
          </w:p>
        </w:tc>
        <w:tc>
          <w:tcPr>
            <w:tcW w:w="60" w:type="dxa"/>
            <w:vAlign w:val="bottom"/>
            <w:tcBorders>
              <w:bottom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80" w:type="dxa"/>
            <w:vAlign w:val="bottom"/>
            <w:gridSpan w:val="7"/>
          </w:tcPr>
          <w:p>
            <w:pPr>
              <w:spacing w:after="0"/>
              <w:rPr>
                <w:sz w:val="14"/>
                <w:szCs w:val="14"/>
                <w:color w:val="auto"/>
              </w:rPr>
            </w:pPr>
          </w:p>
        </w:tc>
        <w:tc>
          <w:tcPr>
            <w:tcW w:w="62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86"/>
              </w:rPr>
              <w:t>S</w:t>
            </w:r>
            <w:r>
              <w:rPr>
                <w:rFonts w:ascii="MS PGothic" w:cs="MS PGothic" w:eastAsia="MS PGothic" w:hAnsi="MS PGothic"/>
                <w:sz w:val="18"/>
                <w:szCs w:val="18"/>
                <w:color w:val="auto"/>
                <w:w w:val="86"/>
              </w:rPr>
              <w:t>‑</w:t>
            </w:r>
            <w:r>
              <w:rPr>
                <w:rFonts w:ascii="Arial" w:cs="Arial" w:eastAsia="Arial" w:hAnsi="Arial"/>
                <w:sz w:val="18"/>
                <w:szCs w:val="18"/>
                <w:color w:val="auto"/>
                <w:w w:val="86"/>
              </w:rPr>
              <w:t>1</w:t>
            </w:r>
          </w:p>
        </w:tc>
        <w:tc>
          <w:tcPr>
            <w:tcW w:w="104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224488</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93"/>
              </w:rPr>
              <w:t>10.10</w:t>
            </w:r>
          </w:p>
        </w:tc>
        <w:tc>
          <w:tcPr>
            <w:tcW w:w="1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3"/>
              </w:rPr>
              <w:t>4/27/18</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bottom w:val="single" w:sz="8" w:color="0000EE"/>
            </w:tcBorders>
            <w:gridSpan w:val="3"/>
          </w:tcPr>
          <w:p>
            <w:pPr>
              <w:spacing w:after="0" w:line="170"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Genetic Therapies, Inc.</w:t>
              </w:r>
            </w:hyperlink>
          </w:p>
        </w:tc>
        <w:tc>
          <w:tcPr>
            <w:tcW w:w="2500" w:type="dxa"/>
            <w:vAlign w:val="bottom"/>
            <w:gridSpan w:val="12"/>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80" w:type="dxa"/>
            <w:vAlign w:val="bottom"/>
            <w:gridSpan w:val="7"/>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4620" w:type="dxa"/>
            <w:vAlign w:val="bottom"/>
            <w:gridSpan w:val="25"/>
          </w:tcPr>
          <w:p>
            <w:pPr>
              <w:spacing w:after="0"/>
              <w:rPr>
                <w:rFonts w:ascii="Arial" w:cs="Arial" w:eastAsia="Arial" w:hAnsi="Arial"/>
                <w:sz w:val="18"/>
                <w:szCs w:val="18"/>
                <w:color w:val="0000EE"/>
                <w:w w:val="94"/>
              </w:rPr>
            </w:pPr>
            <w:hyperlink r:id="rId166">
              <w:r>
                <w:rPr>
                  <w:rFonts w:ascii="Arial" w:cs="Arial" w:eastAsia="Arial" w:hAnsi="Arial"/>
                  <w:sz w:val="18"/>
                  <w:szCs w:val="18"/>
                  <w:color w:val="0000EE"/>
                  <w:w w:val="94"/>
                </w:rPr>
                <w:t>First and Second Amendment to Sublease Agreement, dated</w:t>
              </w:r>
            </w:hyperlink>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40" w:type="dxa"/>
            <w:vAlign w:val="bottom"/>
            <w:tcBorders>
              <w:top w:val="single" w:sz="8" w:color="0000EE"/>
            </w:tcBorders>
            <w:gridSpan w:val="18"/>
          </w:tcPr>
          <w:p>
            <w:pPr>
              <w:spacing w:after="0" w:line="170"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as of June 26, 2018 and July 17, 2018, respectively, by and</w:t>
              </w:r>
            </w:hyperlink>
          </w:p>
        </w:tc>
        <w:tc>
          <w:tcPr>
            <w:tcW w:w="280" w:type="dxa"/>
            <w:vAlign w:val="bottom"/>
            <w:gridSpan w:val="7"/>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40" w:type="dxa"/>
            <w:vAlign w:val="bottom"/>
            <w:tcBorders>
              <w:top w:val="single" w:sz="8" w:color="0000EE"/>
            </w:tcBorders>
            <w:gridSpan w:val="16"/>
          </w:tcPr>
          <w:p>
            <w:pPr>
              <w:spacing w:after="0" w:line="170"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between Kiniksa Pharmaceuticals Corp. and Shire Human</w:t>
              </w:r>
            </w:hyperlink>
          </w:p>
        </w:tc>
        <w:tc>
          <w:tcPr>
            <w:tcW w:w="380" w:type="dxa"/>
            <w:vAlign w:val="bottom"/>
            <w:gridSpan w:val="9"/>
          </w:tcPr>
          <w:p>
            <w:pPr>
              <w:spacing w:after="0"/>
              <w:rPr>
                <w:sz w:val="14"/>
                <w:szCs w:val="14"/>
                <w:color w:val="auto"/>
              </w:rPr>
            </w:pPr>
          </w:p>
        </w:tc>
        <w:tc>
          <w:tcPr>
            <w:tcW w:w="62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90"/>
              </w:rPr>
              <w:t>10</w:t>
            </w:r>
            <w:r>
              <w:rPr>
                <w:rFonts w:ascii="MS PGothic" w:cs="MS PGothic" w:eastAsia="MS PGothic" w:hAnsi="MS PGothic"/>
                <w:sz w:val="18"/>
                <w:szCs w:val="18"/>
                <w:color w:val="auto"/>
                <w:w w:val="90"/>
              </w:rPr>
              <w:t>‑</w:t>
            </w:r>
            <w:r>
              <w:rPr>
                <w:rFonts w:ascii="Arial" w:cs="Arial" w:eastAsia="Arial" w:hAnsi="Arial"/>
                <w:sz w:val="18"/>
                <w:szCs w:val="18"/>
                <w:color w:val="auto"/>
                <w:w w:val="90"/>
              </w:rPr>
              <w:t>Q</w:t>
            </w:r>
          </w:p>
        </w:tc>
        <w:tc>
          <w:tcPr>
            <w:tcW w:w="104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38492</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93"/>
              </w:rPr>
              <w:t>10.10</w:t>
            </w:r>
          </w:p>
        </w:tc>
        <w:tc>
          <w:tcPr>
            <w:tcW w:w="1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1"/>
              </w:rPr>
              <w:t>8/6/18</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top w:val="single" w:sz="8" w:color="0000EE"/>
              <w:bottom w:val="single" w:sz="8" w:color="0000EE"/>
            </w:tcBorders>
            <w:gridSpan w:val="3"/>
          </w:tcPr>
          <w:p>
            <w:pPr>
              <w:spacing w:after="0" w:line="170" w:lineRule="exact"/>
              <w:rPr>
                <w:rFonts w:ascii="Arial" w:cs="Arial" w:eastAsia="Arial" w:hAnsi="Arial"/>
                <w:sz w:val="18"/>
                <w:szCs w:val="18"/>
                <w:color w:val="0000EE"/>
                <w:w w:val="89"/>
              </w:rPr>
            </w:pPr>
            <w:hyperlink r:id="rId166">
              <w:r>
                <w:rPr>
                  <w:rFonts w:ascii="Arial" w:cs="Arial" w:eastAsia="Arial" w:hAnsi="Arial"/>
                  <w:sz w:val="18"/>
                  <w:szCs w:val="18"/>
                  <w:color w:val="0000EE"/>
                  <w:w w:val="89"/>
                </w:rPr>
                <w:t>Genetic Therapies, Inc.</w:t>
              </w:r>
            </w:hyperlink>
          </w:p>
        </w:tc>
        <w:tc>
          <w:tcPr>
            <w:tcW w:w="2500" w:type="dxa"/>
            <w:vAlign w:val="bottom"/>
            <w:tcBorders>
              <w:top w:val="single" w:sz="8" w:color="0000EE"/>
            </w:tcBorders>
            <w:gridSpan w:val="12"/>
          </w:tcPr>
          <w:p>
            <w:pPr>
              <w:spacing w:after="0"/>
              <w:rPr>
                <w:sz w:val="14"/>
                <w:szCs w:val="14"/>
                <w:color w:val="auto"/>
              </w:rPr>
            </w:pPr>
          </w:p>
        </w:tc>
        <w:tc>
          <w:tcPr>
            <w:tcW w:w="440" w:type="dxa"/>
            <w:vAlign w:val="bottom"/>
            <w:gridSpan w:val="10"/>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12"/>
          </w:tcPr>
          <w:p>
            <w:pPr>
              <w:ind w:left="3760"/>
              <w:spacing w:after="0"/>
              <w:rPr>
                <w:sz w:val="20"/>
                <w:szCs w:val="20"/>
                <w:color w:val="auto"/>
              </w:rPr>
            </w:pPr>
            <w:r>
              <w:rPr>
                <w:rFonts w:ascii="Arial" w:cs="Arial" w:eastAsia="Arial" w:hAnsi="Arial"/>
                <w:sz w:val="18"/>
                <w:szCs w:val="18"/>
                <w:color w:val="auto"/>
                <w:w w:val="93"/>
              </w:rPr>
              <w:t>137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3"/>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3900" w:type="dxa"/>
            <w:vAlign w:val="bottom"/>
            <w:gridSpan w:val="33"/>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620" w:type="dxa"/>
            <w:vAlign w:val="bottom"/>
          </w:tcPr>
          <w:p>
            <w:pPr>
              <w:spacing w:after="0"/>
              <w:rPr>
                <w:sz w:val="20"/>
                <w:szCs w:val="20"/>
                <w:color w:val="auto"/>
              </w:rPr>
            </w:pPr>
            <w:r>
              <w:rPr>
                <w:rFonts w:ascii="Arial" w:cs="Arial" w:eastAsia="Arial" w:hAnsi="Arial"/>
                <w:sz w:val="18"/>
                <w:szCs w:val="18"/>
                <w:color w:val="auto"/>
              </w:rPr>
              <w:t>10.10</w:t>
            </w:r>
          </w:p>
        </w:tc>
        <w:tc>
          <w:tcPr>
            <w:tcW w:w="4560" w:type="dxa"/>
            <w:vAlign w:val="bottom"/>
            <w:gridSpan w:val="35"/>
          </w:tcPr>
          <w:p>
            <w:pPr>
              <w:spacing w:after="0"/>
              <w:rPr>
                <w:rFonts w:ascii="Arial" w:cs="Arial" w:eastAsia="Arial" w:hAnsi="Arial"/>
                <w:sz w:val="18"/>
                <w:szCs w:val="18"/>
                <w:color w:val="0000EE"/>
              </w:rPr>
            </w:pPr>
            <w:hyperlink r:id="rId167">
              <w:r>
                <w:rPr>
                  <w:rFonts w:ascii="Arial" w:cs="Arial" w:eastAsia="Arial" w:hAnsi="Arial"/>
                  <w:sz w:val="18"/>
                  <w:szCs w:val="18"/>
                  <w:color w:val="0000EE"/>
                </w:rPr>
                <w:t>Third Amendment to Sublease Agreement, dated as of</w:t>
              </w:r>
            </w:hyperlink>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 w:type="dxa"/>
            <w:vAlign w:val="bottom"/>
          </w:tcPr>
          <w:p>
            <w:pPr>
              <w:spacing w:after="0"/>
              <w:rPr>
                <w:sz w:val="14"/>
                <w:szCs w:val="14"/>
                <w:color w:val="auto"/>
              </w:rPr>
            </w:pPr>
          </w:p>
        </w:tc>
        <w:tc>
          <w:tcPr>
            <w:tcW w:w="4560" w:type="dxa"/>
            <w:vAlign w:val="bottom"/>
            <w:gridSpan w:val="35"/>
          </w:tcPr>
          <w:p>
            <w:pPr>
              <w:spacing w:after="0" w:line="170" w:lineRule="exact"/>
              <w:rPr>
                <w:rFonts w:ascii="Arial" w:cs="Arial" w:eastAsia="Arial" w:hAnsi="Arial"/>
                <w:sz w:val="18"/>
                <w:szCs w:val="18"/>
                <w:color w:val="0000EE"/>
                <w:w w:val="93"/>
              </w:rPr>
            </w:pPr>
            <w:hyperlink r:id="rId167">
              <w:r>
                <w:rPr>
                  <w:rFonts w:ascii="Arial" w:cs="Arial" w:eastAsia="Arial" w:hAnsi="Arial"/>
                  <w:sz w:val="18"/>
                  <w:szCs w:val="18"/>
                  <w:color w:val="0000EE"/>
                  <w:w w:val="93"/>
                </w:rPr>
                <w:t>November 7, 2018, by and between Kiniksa Pharmaceuticals</w:t>
              </w:r>
            </w:hyperlink>
          </w:p>
        </w:tc>
        <w:tc>
          <w:tcPr>
            <w:tcW w:w="60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38492</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600" w:type="dxa"/>
            <w:vAlign w:val="bottom"/>
            <w:vMerge w:val="restart"/>
          </w:tcPr>
          <w:p>
            <w:pPr>
              <w:jc w:val="center"/>
              <w:ind w:right="650"/>
              <w:spacing w:after="0"/>
              <w:rPr>
                <w:sz w:val="20"/>
                <w:szCs w:val="20"/>
                <w:color w:val="auto"/>
              </w:rPr>
            </w:pPr>
            <w:r>
              <w:rPr>
                <w:rFonts w:ascii="Arial" w:cs="Arial" w:eastAsia="Arial" w:hAnsi="Arial"/>
                <w:sz w:val="18"/>
                <w:szCs w:val="18"/>
                <w:color w:val="auto"/>
                <w:w w:val="88"/>
              </w:rPr>
              <w:t>11/13/18</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440" w:type="dxa"/>
            <w:vAlign w:val="bottom"/>
            <w:tcBorders>
              <w:top w:val="single" w:sz="8" w:color="0000EE"/>
              <w:bottom w:val="single" w:sz="8" w:color="0000EE"/>
            </w:tcBorders>
            <w:gridSpan w:val="9"/>
          </w:tcPr>
          <w:p>
            <w:pPr>
              <w:spacing w:after="0" w:line="170" w:lineRule="exact"/>
              <w:rPr>
                <w:rFonts w:ascii="Arial" w:cs="Arial" w:eastAsia="Arial" w:hAnsi="Arial"/>
                <w:sz w:val="18"/>
                <w:szCs w:val="18"/>
                <w:color w:val="0000EE"/>
                <w:w w:val="89"/>
              </w:rPr>
            </w:pPr>
            <w:hyperlink r:id="rId167">
              <w:r>
                <w:rPr>
                  <w:rFonts w:ascii="Arial" w:cs="Arial" w:eastAsia="Arial" w:hAnsi="Arial"/>
                  <w:sz w:val="18"/>
                  <w:szCs w:val="18"/>
                  <w:color w:val="0000EE"/>
                  <w:w w:val="89"/>
                </w:rPr>
                <w:t>Corp. and Shire Human Genetic Therapies, Inc.</w:t>
              </w:r>
            </w:hyperlink>
          </w:p>
        </w:tc>
        <w:tc>
          <w:tcPr>
            <w:tcW w:w="960" w:type="dxa"/>
            <w:vAlign w:val="bottom"/>
            <w:tcBorders>
              <w:top w:val="single" w:sz="8" w:color="0000EE"/>
            </w:tcBorders>
            <w:gridSpan w:val="20"/>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620" w:type="dxa"/>
            <w:vAlign w:val="bottom"/>
          </w:tcPr>
          <w:p>
            <w:pPr>
              <w:spacing w:after="0"/>
              <w:rPr>
                <w:sz w:val="20"/>
                <w:szCs w:val="20"/>
                <w:color w:val="auto"/>
              </w:rPr>
            </w:pPr>
            <w:r>
              <w:rPr>
                <w:rFonts w:ascii="Arial" w:cs="Arial" w:eastAsia="Arial" w:hAnsi="Arial"/>
                <w:sz w:val="18"/>
                <w:szCs w:val="18"/>
                <w:color w:val="auto"/>
              </w:rPr>
              <w:t>10.11</w:t>
            </w:r>
          </w:p>
        </w:tc>
        <w:tc>
          <w:tcPr>
            <w:tcW w:w="4560" w:type="dxa"/>
            <w:vAlign w:val="bottom"/>
            <w:gridSpan w:val="35"/>
          </w:tcPr>
          <w:p>
            <w:pPr>
              <w:spacing w:after="0"/>
              <w:rPr>
                <w:rFonts w:ascii="Arial" w:cs="Arial" w:eastAsia="Arial" w:hAnsi="Arial"/>
                <w:sz w:val="18"/>
                <w:szCs w:val="18"/>
                <w:color w:val="0000EE"/>
              </w:rPr>
            </w:pPr>
            <w:hyperlink r:id="rId168">
              <w:r>
                <w:rPr>
                  <w:rFonts w:ascii="Arial" w:cs="Arial" w:eastAsia="Arial" w:hAnsi="Arial"/>
                  <w:sz w:val="18"/>
                  <w:szCs w:val="18"/>
                  <w:color w:val="0000EE"/>
                </w:rPr>
                <w:t>Form of Indemnification Agreement for</w:t>
              </w:r>
            </w:hyperlink>
          </w:p>
        </w:tc>
        <w:tc>
          <w:tcPr>
            <w:tcW w:w="60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224488</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88"/>
              </w:rPr>
              <w:t>10.11</w:t>
            </w:r>
          </w:p>
        </w:tc>
        <w:tc>
          <w:tcPr>
            <w:tcW w:w="160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4/27/18</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2880" w:type="dxa"/>
            <w:vAlign w:val="bottom"/>
            <w:tcBorders>
              <w:top w:val="single" w:sz="8" w:color="0000EE"/>
            </w:tcBorders>
            <w:gridSpan w:val="8"/>
          </w:tcPr>
          <w:p>
            <w:pPr>
              <w:spacing w:after="0" w:line="170" w:lineRule="exact"/>
              <w:rPr>
                <w:rFonts w:ascii="Arial" w:cs="Arial" w:eastAsia="Arial" w:hAnsi="Arial"/>
                <w:sz w:val="18"/>
                <w:szCs w:val="18"/>
                <w:color w:val="0000EE"/>
              </w:rPr>
            </w:pPr>
            <w:hyperlink r:id="rId168">
              <w:r>
                <w:rPr>
                  <w:rFonts w:ascii="Arial" w:cs="Arial" w:eastAsia="Arial" w:hAnsi="Arial"/>
                  <w:sz w:val="18"/>
                  <w:szCs w:val="18"/>
                  <w:color w:val="0000EE"/>
                </w:rPr>
                <w:t>Non</w:t>
              </w:r>
              <w:r>
                <w:rPr>
                  <w:rFonts w:ascii="MS PGothic" w:cs="MS PGothic" w:eastAsia="MS PGothic" w:hAnsi="MS PGothic"/>
                  <w:sz w:val="18"/>
                  <w:szCs w:val="18"/>
                  <w:color w:val="0000EE"/>
                </w:rPr>
                <w:t>‑</w:t>
              </w:r>
              <w:r>
                <w:rPr>
                  <w:rFonts w:ascii="Arial" w:cs="Arial" w:eastAsia="Arial" w:hAnsi="Arial"/>
                  <w:sz w:val="18"/>
                  <w:szCs w:val="18"/>
                  <w:color w:val="0000EE"/>
                </w:rPr>
                <w:t>Fund</w:t>
              </w:r>
              <w:r>
                <w:rPr>
                  <w:rFonts w:ascii="MS PGothic" w:cs="MS PGothic" w:eastAsia="MS PGothic" w:hAnsi="MS PGothic"/>
                  <w:sz w:val="18"/>
                  <w:szCs w:val="18"/>
                  <w:color w:val="0000EE"/>
                </w:rPr>
                <w:t>‑</w:t>
              </w:r>
              <w:r>
                <w:rPr>
                  <w:rFonts w:ascii="Arial" w:cs="Arial" w:eastAsia="Arial" w:hAnsi="Arial"/>
                  <w:sz w:val="18"/>
                  <w:szCs w:val="18"/>
                  <w:color w:val="0000EE"/>
                </w:rPr>
                <w:t>Designated Directors</w:t>
              </w:r>
            </w:hyperlink>
          </w:p>
        </w:tc>
        <w:tc>
          <w:tcPr>
            <w:tcW w:w="6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tcPr>
          <w:p>
            <w:pPr>
              <w:spacing w:after="0"/>
              <w:rPr>
                <w:sz w:val="20"/>
                <w:szCs w:val="20"/>
                <w:color w:val="auto"/>
              </w:rPr>
            </w:pPr>
            <w:r>
              <w:rPr>
                <w:rFonts w:ascii="Arial" w:cs="Arial" w:eastAsia="Arial" w:hAnsi="Arial"/>
                <w:sz w:val="18"/>
                <w:szCs w:val="18"/>
                <w:color w:val="auto"/>
              </w:rPr>
              <w:t>10.12</w:t>
            </w:r>
          </w:p>
        </w:tc>
        <w:tc>
          <w:tcPr>
            <w:tcW w:w="4560" w:type="dxa"/>
            <w:vAlign w:val="bottom"/>
            <w:gridSpan w:val="35"/>
          </w:tcPr>
          <w:p>
            <w:pPr>
              <w:spacing w:after="0" w:line="207" w:lineRule="exact"/>
              <w:rPr>
                <w:rFonts w:ascii="Arial" w:cs="Arial" w:eastAsia="Arial" w:hAnsi="Arial"/>
                <w:sz w:val="18"/>
                <w:szCs w:val="18"/>
                <w:color w:val="0000EE"/>
              </w:rPr>
            </w:pPr>
            <w:hyperlink r:id="rId169">
              <w:r>
                <w:rPr>
                  <w:rFonts w:ascii="Arial" w:cs="Arial" w:eastAsia="Arial" w:hAnsi="Arial"/>
                  <w:sz w:val="18"/>
                  <w:szCs w:val="18"/>
                  <w:color w:val="0000EE"/>
                </w:rPr>
                <w:t>Form of Indemnification Agreement for Fund</w:t>
              </w:r>
              <w:r>
                <w:rPr>
                  <w:rFonts w:ascii="MS PGothic" w:cs="MS PGothic" w:eastAsia="MS PGothic" w:hAnsi="MS PGothic"/>
                  <w:sz w:val="18"/>
                  <w:szCs w:val="18"/>
                  <w:color w:val="0000EE"/>
                </w:rPr>
                <w:t>‑</w:t>
              </w:r>
              <w:r>
                <w:rPr>
                  <w:rFonts w:ascii="Arial" w:cs="Arial" w:eastAsia="Arial" w:hAnsi="Arial"/>
                  <w:sz w:val="18"/>
                  <w:szCs w:val="18"/>
                  <w:color w:val="0000EE"/>
                </w:rPr>
                <w:t>Designated</w:t>
              </w:r>
            </w:hyperlink>
          </w:p>
        </w:tc>
        <w:tc>
          <w:tcPr>
            <w:tcW w:w="60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224488</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88"/>
              </w:rPr>
              <w:t>10.12</w:t>
            </w:r>
          </w:p>
        </w:tc>
        <w:tc>
          <w:tcPr>
            <w:tcW w:w="160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4/27/18</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680" w:type="dxa"/>
            <w:vAlign w:val="bottom"/>
            <w:tcBorders>
              <w:top w:val="single" w:sz="8" w:color="0000EE"/>
              <w:bottom w:val="single" w:sz="8" w:color="0000EE"/>
            </w:tcBorders>
            <w:gridSpan w:val="3"/>
          </w:tcPr>
          <w:p>
            <w:pPr>
              <w:spacing w:after="0" w:line="170"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Directors</w:t>
              </w:r>
            </w:hyperlink>
          </w:p>
        </w:tc>
        <w:tc>
          <w:tcPr>
            <w:tcW w:w="3480" w:type="dxa"/>
            <w:vAlign w:val="bottom"/>
            <w:tcBorders>
              <w:top w:val="single" w:sz="8" w:color="0000EE"/>
            </w:tcBorders>
            <w:gridSpan w:val="21"/>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620" w:type="dxa"/>
            <w:vAlign w:val="bottom"/>
          </w:tcPr>
          <w:p>
            <w:pPr>
              <w:spacing w:after="0"/>
              <w:rPr>
                <w:sz w:val="20"/>
                <w:szCs w:val="20"/>
                <w:color w:val="auto"/>
              </w:rPr>
            </w:pPr>
            <w:r>
              <w:rPr>
                <w:rFonts w:ascii="Arial" w:cs="Arial" w:eastAsia="Arial" w:hAnsi="Arial"/>
                <w:sz w:val="18"/>
                <w:szCs w:val="18"/>
                <w:color w:val="auto"/>
              </w:rPr>
              <w:t>10.13</w:t>
            </w:r>
          </w:p>
        </w:tc>
        <w:tc>
          <w:tcPr>
            <w:tcW w:w="3520" w:type="dxa"/>
            <w:vAlign w:val="bottom"/>
            <w:tcBorders>
              <w:bottom w:val="single" w:sz="8" w:color="0000EE"/>
            </w:tcBorders>
            <w:gridSpan w:val="12"/>
          </w:tcPr>
          <w:p>
            <w:pPr>
              <w:spacing w:after="0"/>
              <w:rPr>
                <w:rFonts w:ascii="Arial" w:cs="Arial" w:eastAsia="Arial" w:hAnsi="Arial"/>
                <w:sz w:val="18"/>
                <w:szCs w:val="18"/>
                <w:color w:val="0000EE"/>
                <w:w w:val="93"/>
              </w:rPr>
            </w:pPr>
            <w:hyperlink r:id="rId170">
              <w:r>
                <w:rPr>
                  <w:rFonts w:ascii="Arial" w:cs="Arial" w:eastAsia="Arial" w:hAnsi="Arial"/>
                  <w:sz w:val="18"/>
                  <w:szCs w:val="18"/>
                  <w:color w:val="0000EE"/>
                  <w:w w:val="93"/>
                </w:rPr>
                <w:t>Form of Indemnification Agreement for Officers</w:t>
              </w:r>
            </w:hyperlink>
          </w:p>
        </w:tc>
        <w:tc>
          <w:tcPr>
            <w:tcW w:w="1040" w:type="dxa"/>
            <w:vAlign w:val="bottom"/>
            <w:gridSpan w:val="23"/>
          </w:tcPr>
          <w:p>
            <w:pPr>
              <w:spacing w:after="0"/>
              <w:rPr>
                <w:sz w:val="24"/>
                <w:szCs w:val="24"/>
                <w:color w:val="auto"/>
              </w:rPr>
            </w:pPr>
          </w:p>
        </w:tc>
        <w:tc>
          <w:tcPr>
            <w:tcW w:w="600" w:type="dxa"/>
            <w:vAlign w:val="bottom"/>
          </w:tcPr>
          <w:p>
            <w:pPr>
              <w:jc w:val="center"/>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1060" w:type="dxa"/>
            <w:vAlign w:val="bottom"/>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224488</w:t>
            </w: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600" w:type="dxa"/>
            <w:vAlign w:val="bottom"/>
          </w:tcPr>
          <w:p>
            <w:pPr>
              <w:jc w:val="center"/>
              <w:ind w:right="650"/>
              <w:spacing w:after="0"/>
              <w:rPr>
                <w:sz w:val="20"/>
                <w:szCs w:val="20"/>
                <w:color w:val="auto"/>
              </w:rPr>
            </w:pPr>
            <w:r>
              <w:rPr>
                <w:rFonts w:ascii="Arial" w:cs="Arial" w:eastAsia="Arial" w:hAnsi="Arial"/>
                <w:sz w:val="18"/>
                <w:szCs w:val="18"/>
                <w:color w:val="auto"/>
                <w:w w:val="89"/>
              </w:rPr>
              <w:t>4/27/18</w:t>
            </w:r>
          </w:p>
        </w:tc>
        <w:tc>
          <w:tcPr>
            <w:tcW w:w="0" w:type="dxa"/>
            <w:vAlign w:val="bottom"/>
          </w:tcPr>
          <w:p>
            <w:pPr>
              <w:spacing w:after="0"/>
              <w:rPr>
                <w:sz w:val="1"/>
                <w:szCs w:val="1"/>
                <w:color w:val="auto"/>
              </w:rPr>
            </w:pPr>
          </w:p>
        </w:tc>
      </w:tr>
      <w:tr>
        <w:trPr>
          <w:trHeight w:val="358"/>
        </w:trPr>
        <w:tc>
          <w:tcPr>
            <w:tcW w:w="620" w:type="dxa"/>
            <w:vAlign w:val="bottom"/>
          </w:tcPr>
          <w:p>
            <w:pPr>
              <w:spacing w:after="0"/>
              <w:rPr>
                <w:sz w:val="20"/>
                <w:szCs w:val="20"/>
                <w:color w:val="auto"/>
              </w:rPr>
            </w:pPr>
            <w:r>
              <w:rPr>
                <w:rFonts w:ascii="Arial" w:cs="Arial" w:eastAsia="Arial" w:hAnsi="Arial"/>
                <w:sz w:val="18"/>
                <w:szCs w:val="18"/>
                <w:color w:val="auto"/>
              </w:rPr>
              <w:t>10.14</w:t>
            </w:r>
          </w:p>
        </w:tc>
        <w:tc>
          <w:tcPr>
            <w:tcW w:w="4560" w:type="dxa"/>
            <w:vAlign w:val="bottom"/>
            <w:gridSpan w:val="35"/>
          </w:tcPr>
          <w:p>
            <w:pPr>
              <w:spacing w:after="0"/>
              <w:rPr>
                <w:rFonts w:ascii="Arial" w:cs="Arial" w:eastAsia="Arial" w:hAnsi="Arial"/>
                <w:sz w:val="18"/>
                <w:szCs w:val="18"/>
                <w:color w:val="0000EE"/>
                <w:w w:val="95"/>
              </w:rPr>
            </w:pPr>
            <w:hyperlink r:id="rId171">
              <w:r>
                <w:rPr>
                  <w:rFonts w:ascii="Arial" w:cs="Arial" w:eastAsia="Arial" w:hAnsi="Arial"/>
                  <w:sz w:val="18"/>
                  <w:szCs w:val="18"/>
                  <w:color w:val="0000EE"/>
                  <w:w w:val="95"/>
                </w:rPr>
                <w:t>2015 Equity Incentive Plan, as amended, and form of share</w:t>
              </w:r>
            </w:hyperlink>
          </w:p>
        </w:tc>
        <w:tc>
          <w:tcPr>
            <w:tcW w:w="60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224488</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60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4/27/18</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4280" w:type="dxa"/>
            <w:vAlign w:val="bottom"/>
            <w:tcBorders>
              <w:top w:val="single" w:sz="8" w:color="0000EE"/>
            </w:tcBorders>
            <w:gridSpan w:val="27"/>
          </w:tcPr>
          <w:p>
            <w:pPr>
              <w:spacing w:after="0" w:line="170" w:lineRule="exact"/>
              <w:rPr>
                <w:rFonts w:ascii="Arial" w:cs="Arial" w:eastAsia="Arial" w:hAnsi="Arial"/>
                <w:sz w:val="18"/>
                <w:szCs w:val="18"/>
                <w:color w:val="0000EE"/>
              </w:rPr>
            </w:pPr>
            <w:hyperlink r:id="rId171">
              <w:r>
                <w:rPr>
                  <w:rFonts w:ascii="Arial" w:cs="Arial" w:eastAsia="Arial" w:hAnsi="Arial"/>
                  <w:sz w:val="18"/>
                  <w:szCs w:val="18"/>
                  <w:color w:val="0000EE"/>
                </w:rPr>
                <w:t>option grant notice and option agreement thereunder</w:t>
              </w:r>
            </w:hyperlink>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tcPr>
          <w:p>
            <w:pPr>
              <w:spacing w:after="0"/>
              <w:rPr>
                <w:sz w:val="20"/>
                <w:szCs w:val="20"/>
                <w:color w:val="auto"/>
              </w:rPr>
            </w:pPr>
            <w:r>
              <w:rPr>
                <w:rFonts w:ascii="Arial" w:cs="Arial" w:eastAsia="Arial" w:hAnsi="Arial"/>
                <w:sz w:val="18"/>
                <w:szCs w:val="18"/>
                <w:color w:val="auto"/>
              </w:rPr>
              <w:t>10.15</w:t>
            </w:r>
          </w:p>
        </w:tc>
        <w:tc>
          <w:tcPr>
            <w:tcW w:w="4120" w:type="dxa"/>
            <w:vAlign w:val="bottom"/>
            <w:tcBorders>
              <w:bottom w:val="single" w:sz="8" w:color="0000EE"/>
            </w:tcBorders>
            <w:gridSpan w:val="22"/>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2018 Incentive Award Plan, and the form of share option</w:t>
              </w:r>
            </w:hyperlink>
          </w:p>
        </w:tc>
        <w:tc>
          <w:tcPr>
            <w:tcW w:w="440" w:type="dxa"/>
            <w:vAlign w:val="bottom"/>
            <w:gridSpan w:val="13"/>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4560" w:type="dxa"/>
            <w:vAlign w:val="bottom"/>
            <w:gridSpan w:val="35"/>
          </w:tcPr>
          <w:p>
            <w:pPr>
              <w:spacing w:after="0" w:line="170" w:lineRule="exact"/>
              <w:rPr>
                <w:rFonts w:ascii="Arial" w:cs="Arial" w:eastAsia="Arial" w:hAnsi="Arial"/>
                <w:sz w:val="18"/>
                <w:szCs w:val="18"/>
                <w:color w:val="0000EE"/>
                <w:w w:val="96"/>
              </w:rPr>
            </w:pPr>
            <w:hyperlink r:id="rId172">
              <w:r>
                <w:rPr>
                  <w:rFonts w:ascii="Arial" w:cs="Arial" w:eastAsia="Arial" w:hAnsi="Arial"/>
                  <w:sz w:val="18"/>
                  <w:szCs w:val="18"/>
                  <w:color w:val="0000EE"/>
                  <w:w w:val="96"/>
                </w:rPr>
                <w:t>grant notice and option agreement, form of restricted share</w:t>
              </w:r>
            </w:hyperlink>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4260" w:type="dxa"/>
            <w:vAlign w:val="bottom"/>
            <w:tcBorders>
              <w:top w:val="single" w:sz="8" w:color="0000EE"/>
            </w:tcBorders>
            <w:gridSpan w:val="26"/>
          </w:tcPr>
          <w:p>
            <w:pPr>
              <w:spacing w:after="0" w:line="170" w:lineRule="exact"/>
              <w:rPr>
                <w:rFonts w:ascii="Arial" w:cs="Arial" w:eastAsia="Arial" w:hAnsi="Arial"/>
                <w:sz w:val="18"/>
                <w:szCs w:val="18"/>
                <w:color w:val="0000EE"/>
                <w:w w:val="94"/>
              </w:rPr>
            </w:pPr>
            <w:hyperlink r:id="rId172">
              <w:r>
                <w:rPr>
                  <w:rFonts w:ascii="Arial" w:cs="Arial" w:eastAsia="Arial" w:hAnsi="Arial"/>
                  <w:sz w:val="18"/>
                  <w:szCs w:val="18"/>
                  <w:color w:val="0000EE"/>
                  <w:w w:val="94"/>
                </w:rPr>
                <w:t>grant notice and restricted share agreement, and form of</w:t>
              </w:r>
            </w:hyperlink>
          </w:p>
        </w:tc>
        <w:tc>
          <w:tcPr>
            <w:tcW w:w="4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4040" w:type="dxa"/>
            <w:vAlign w:val="bottom"/>
            <w:tcBorders>
              <w:top w:val="single" w:sz="8" w:color="0000EE"/>
              <w:bottom w:val="single" w:sz="8" w:color="0000EE"/>
            </w:tcBorders>
            <w:gridSpan w:val="19"/>
          </w:tcPr>
          <w:p>
            <w:pPr>
              <w:spacing w:after="0" w:line="170" w:lineRule="exact"/>
              <w:rPr>
                <w:rFonts w:ascii="Arial" w:cs="Arial" w:eastAsia="Arial" w:hAnsi="Arial"/>
                <w:sz w:val="18"/>
                <w:szCs w:val="18"/>
                <w:color w:val="0000EE"/>
                <w:w w:val="88"/>
              </w:rPr>
            </w:pPr>
            <w:hyperlink r:id="rId172">
              <w:r>
                <w:rPr>
                  <w:rFonts w:ascii="Arial" w:cs="Arial" w:eastAsia="Arial" w:hAnsi="Arial"/>
                  <w:sz w:val="18"/>
                  <w:szCs w:val="18"/>
                  <w:color w:val="0000EE"/>
                  <w:w w:val="88"/>
                </w:rPr>
                <w:t>restricted share unit grant notice and restricted share unit</w:t>
              </w:r>
            </w:hyperlink>
          </w:p>
        </w:tc>
        <w:tc>
          <w:tcPr>
            <w:tcW w:w="4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229394</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88"/>
              </w:rPr>
              <w:t>10.19</w:t>
            </w:r>
          </w:p>
        </w:tc>
        <w:tc>
          <w:tcPr>
            <w:tcW w:w="160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1/28/19</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4100" w:type="dxa"/>
            <w:vAlign w:val="bottom"/>
            <w:gridSpan w:val="21"/>
          </w:tcPr>
          <w:p>
            <w:pPr>
              <w:spacing w:after="0" w:line="170" w:lineRule="exact"/>
              <w:rPr>
                <w:rFonts w:ascii="Arial" w:cs="Arial" w:eastAsia="Arial" w:hAnsi="Arial"/>
                <w:sz w:val="18"/>
                <w:szCs w:val="18"/>
                <w:color w:val="0000EE"/>
              </w:rPr>
            </w:pPr>
            <w:hyperlink r:id="rId172">
              <w:r>
                <w:rPr>
                  <w:rFonts w:ascii="Arial" w:cs="Arial" w:eastAsia="Arial" w:hAnsi="Arial"/>
                  <w:sz w:val="18"/>
                  <w:szCs w:val="18"/>
                  <w:color w:val="0000EE"/>
                </w:rPr>
                <w:t>agreement thereunder</w:t>
              </w:r>
            </w:hyperlink>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tcPr>
          <w:p>
            <w:pPr>
              <w:spacing w:after="0"/>
              <w:rPr>
                <w:sz w:val="20"/>
                <w:szCs w:val="20"/>
                <w:color w:val="auto"/>
              </w:rPr>
            </w:pPr>
            <w:r>
              <w:rPr>
                <w:rFonts w:ascii="Arial" w:cs="Arial" w:eastAsia="Arial" w:hAnsi="Arial"/>
                <w:sz w:val="18"/>
                <w:szCs w:val="18"/>
                <w:color w:val="auto"/>
              </w:rPr>
              <w:t>10.16</w:t>
            </w:r>
          </w:p>
        </w:tc>
        <w:tc>
          <w:tcPr>
            <w:tcW w:w="2660" w:type="dxa"/>
            <w:vAlign w:val="bottom"/>
            <w:tcBorders>
              <w:bottom w:val="single" w:sz="8" w:color="0000EE"/>
            </w:tcBorders>
            <w:gridSpan w:val="7"/>
          </w:tcPr>
          <w:p>
            <w:pPr>
              <w:spacing w:after="0"/>
              <w:rPr>
                <w:rFonts w:ascii="Arial" w:cs="Arial" w:eastAsia="Arial" w:hAnsi="Arial"/>
                <w:sz w:val="18"/>
                <w:szCs w:val="18"/>
                <w:color w:val="0000EE"/>
                <w:w w:val="87"/>
              </w:rPr>
            </w:pPr>
            <w:hyperlink r:id="rId173">
              <w:r>
                <w:rPr>
                  <w:rFonts w:ascii="Arial" w:cs="Arial" w:eastAsia="Arial" w:hAnsi="Arial"/>
                  <w:sz w:val="18"/>
                  <w:szCs w:val="18"/>
                  <w:color w:val="0000EE"/>
                  <w:w w:val="87"/>
                </w:rPr>
                <w:t>2018 Employee Share Purchase Plan</w:t>
              </w:r>
            </w:hyperlink>
          </w:p>
        </w:tc>
        <w:tc>
          <w:tcPr>
            <w:tcW w:w="1900" w:type="dxa"/>
            <w:vAlign w:val="bottom"/>
            <w:gridSpan w:val="28"/>
          </w:tcPr>
          <w:p>
            <w:pPr>
              <w:spacing w:after="0"/>
              <w:rPr>
                <w:sz w:val="24"/>
                <w:szCs w:val="24"/>
                <w:color w:val="auto"/>
              </w:rPr>
            </w:pPr>
          </w:p>
        </w:tc>
        <w:tc>
          <w:tcPr>
            <w:tcW w:w="600" w:type="dxa"/>
            <w:vAlign w:val="bottom"/>
          </w:tcPr>
          <w:p>
            <w:pPr>
              <w:jc w:val="center"/>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1/A</w:t>
            </w:r>
          </w:p>
        </w:tc>
        <w:tc>
          <w:tcPr>
            <w:tcW w:w="1060" w:type="dxa"/>
            <w:vAlign w:val="bottom"/>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224488</w:t>
            </w: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600" w:type="dxa"/>
            <w:vAlign w:val="bottom"/>
          </w:tcPr>
          <w:p>
            <w:pPr>
              <w:jc w:val="center"/>
              <w:ind w:right="650"/>
              <w:spacing w:after="0"/>
              <w:rPr>
                <w:sz w:val="20"/>
                <w:szCs w:val="20"/>
                <w:color w:val="auto"/>
              </w:rPr>
            </w:pPr>
            <w:r>
              <w:rPr>
                <w:rFonts w:ascii="Arial" w:cs="Arial" w:eastAsia="Arial" w:hAnsi="Arial"/>
                <w:sz w:val="18"/>
                <w:szCs w:val="18"/>
                <w:color w:val="auto"/>
                <w:w w:val="89"/>
              </w:rPr>
              <w:t>5/14/18</w:t>
            </w:r>
          </w:p>
        </w:tc>
        <w:tc>
          <w:tcPr>
            <w:tcW w:w="0" w:type="dxa"/>
            <w:vAlign w:val="bottom"/>
          </w:tcPr>
          <w:p>
            <w:pPr>
              <w:spacing w:after="0"/>
              <w:rPr>
                <w:sz w:val="1"/>
                <w:szCs w:val="1"/>
                <w:color w:val="auto"/>
              </w:rPr>
            </w:pPr>
          </w:p>
        </w:tc>
      </w:tr>
      <w:tr>
        <w:trPr>
          <w:trHeight w:val="358"/>
        </w:trPr>
        <w:tc>
          <w:tcPr>
            <w:tcW w:w="620" w:type="dxa"/>
            <w:vAlign w:val="bottom"/>
          </w:tcPr>
          <w:p>
            <w:pPr>
              <w:spacing w:after="0"/>
              <w:rPr>
                <w:sz w:val="20"/>
                <w:szCs w:val="20"/>
                <w:color w:val="auto"/>
              </w:rPr>
            </w:pPr>
            <w:r>
              <w:rPr>
                <w:rFonts w:ascii="Arial" w:cs="Arial" w:eastAsia="Arial" w:hAnsi="Arial"/>
                <w:sz w:val="18"/>
                <w:szCs w:val="18"/>
                <w:color w:val="auto"/>
              </w:rPr>
              <w:t>10.17</w:t>
            </w:r>
          </w:p>
        </w:tc>
        <w:tc>
          <w:tcPr>
            <w:tcW w:w="4560" w:type="dxa"/>
            <w:vAlign w:val="bottom"/>
            <w:gridSpan w:val="35"/>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Offering Document under the 2018 Employee Share Purchase</w:t>
              </w:r>
            </w:hyperlink>
          </w:p>
        </w:tc>
        <w:tc>
          <w:tcPr>
            <w:tcW w:w="60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5"/>
              </w:rPr>
              <w:t>10</w:t>
            </w:r>
            <w:r>
              <w:rPr>
                <w:rFonts w:ascii="MS PGothic" w:cs="MS PGothic" w:eastAsia="MS PGothic" w:hAnsi="MS PGothic"/>
                <w:sz w:val="18"/>
                <w:szCs w:val="18"/>
                <w:color w:val="auto"/>
                <w:w w:val="95"/>
              </w:rPr>
              <w:t>‑</w:t>
            </w:r>
            <w:r>
              <w:rPr>
                <w:rFonts w:ascii="Arial" w:cs="Arial" w:eastAsia="Arial" w:hAnsi="Arial"/>
                <w:sz w:val="18"/>
                <w:szCs w:val="18"/>
                <w:color w:val="auto"/>
                <w:w w:val="95"/>
              </w:rPr>
              <w:t>Q</w:t>
            </w:r>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38492</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1"/>
              </w:rPr>
              <w:t>10.6</w:t>
            </w:r>
          </w:p>
        </w:tc>
        <w:tc>
          <w:tcPr>
            <w:tcW w:w="1600" w:type="dxa"/>
            <w:vAlign w:val="bottom"/>
            <w:vMerge w:val="restart"/>
          </w:tcPr>
          <w:p>
            <w:pPr>
              <w:jc w:val="center"/>
              <w:ind w:right="650"/>
              <w:spacing w:after="0"/>
              <w:rPr>
                <w:sz w:val="20"/>
                <w:szCs w:val="20"/>
                <w:color w:val="auto"/>
              </w:rPr>
            </w:pPr>
            <w:r>
              <w:rPr>
                <w:rFonts w:ascii="Arial" w:cs="Arial" w:eastAsia="Arial" w:hAnsi="Arial"/>
                <w:sz w:val="18"/>
                <w:szCs w:val="18"/>
                <w:color w:val="auto"/>
                <w:w w:val="91"/>
              </w:rPr>
              <w:t>8/6/18</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4500" w:type="dxa"/>
            <w:vAlign w:val="bottom"/>
            <w:tcBorders>
              <w:top w:val="single" w:sz="8" w:color="0000EE"/>
            </w:tcBorders>
            <w:gridSpan w:val="33"/>
          </w:tcPr>
          <w:p>
            <w:pPr>
              <w:spacing w:after="0" w:line="170" w:lineRule="exact"/>
              <w:rPr>
                <w:rFonts w:ascii="Arial" w:cs="Arial" w:eastAsia="Arial" w:hAnsi="Arial"/>
                <w:sz w:val="18"/>
                <w:szCs w:val="18"/>
                <w:color w:val="0000EE"/>
              </w:rPr>
            </w:pPr>
            <w:hyperlink r:id="rId174">
              <w:r>
                <w:rPr>
                  <w:rFonts w:ascii="Arial" w:cs="Arial" w:eastAsia="Arial" w:hAnsi="Arial"/>
                  <w:sz w:val="18"/>
                  <w:szCs w:val="18"/>
                  <w:color w:val="0000EE"/>
                </w:rPr>
                <w:t>Plan</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tcPr>
          <w:p>
            <w:pPr>
              <w:spacing w:after="0"/>
              <w:rPr>
                <w:sz w:val="20"/>
                <w:szCs w:val="20"/>
                <w:color w:val="auto"/>
              </w:rPr>
            </w:pPr>
            <w:r>
              <w:rPr>
                <w:rFonts w:ascii="Arial" w:cs="Arial" w:eastAsia="Arial" w:hAnsi="Arial"/>
                <w:sz w:val="18"/>
                <w:szCs w:val="18"/>
                <w:color w:val="auto"/>
              </w:rPr>
              <w:t>10.18</w:t>
            </w:r>
          </w:p>
        </w:tc>
        <w:tc>
          <w:tcPr>
            <w:tcW w:w="4560" w:type="dxa"/>
            <w:vAlign w:val="bottom"/>
            <w:gridSpan w:val="35"/>
          </w:tcPr>
          <w:p>
            <w:pP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Offering Document under the 2018 Employee Share Purchase</w:t>
              </w:r>
            </w:hyperlink>
          </w:p>
        </w:tc>
        <w:tc>
          <w:tcPr>
            <w:tcW w:w="60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229394</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88"/>
              </w:rPr>
              <w:t>10.22</w:t>
            </w:r>
          </w:p>
        </w:tc>
        <w:tc>
          <w:tcPr>
            <w:tcW w:w="160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1/28/19</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4500" w:type="dxa"/>
            <w:vAlign w:val="bottom"/>
            <w:tcBorders>
              <w:top w:val="single" w:sz="8" w:color="0000EE"/>
            </w:tcBorders>
            <w:gridSpan w:val="33"/>
          </w:tcPr>
          <w:p>
            <w:pPr>
              <w:spacing w:after="0" w:line="170" w:lineRule="exact"/>
              <w:rPr>
                <w:rFonts w:ascii="Arial" w:cs="Arial" w:eastAsia="Arial" w:hAnsi="Arial"/>
                <w:sz w:val="18"/>
                <w:szCs w:val="18"/>
                <w:color w:val="0000EE"/>
              </w:rPr>
            </w:pPr>
            <w:hyperlink r:id="rId175">
              <w:r>
                <w:rPr>
                  <w:rFonts w:ascii="Arial" w:cs="Arial" w:eastAsia="Arial" w:hAnsi="Arial"/>
                  <w:sz w:val="18"/>
                  <w:szCs w:val="18"/>
                  <w:color w:val="0000EE"/>
                </w:rPr>
                <w:t>Plan</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tcPr>
          <w:p>
            <w:pPr>
              <w:spacing w:after="0"/>
              <w:rPr>
                <w:sz w:val="20"/>
                <w:szCs w:val="20"/>
                <w:color w:val="auto"/>
              </w:rPr>
            </w:pPr>
            <w:r>
              <w:rPr>
                <w:rFonts w:ascii="Arial" w:cs="Arial" w:eastAsia="Arial" w:hAnsi="Arial"/>
                <w:sz w:val="18"/>
                <w:szCs w:val="18"/>
                <w:color w:val="auto"/>
              </w:rPr>
              <w:t>10.19</w:t>
            </w:r>
          </w:p>
        </w:tc>
        <w:tc>
          <w:tcPr>
            <w:tcW w:w="4560" w:type="dxa"/>
            <w:vAlign w:val="bottom"/>
            <w:gridSpan w:val="35"/>
          </w:tcPr>
          <w:p>
            <w:pPr>
              <w:spacing w:after="0" w:line="207" w:lineRule="exact"/>
              <w:rPr>
                <w:rFonts w:ascii="Arial" w:cs="Arial" w:eastAsia="Arial" w:hAnsi="Arial"/>
                <w:sz w:val="18"/>
                <w:szCs w:val="18"/>
                <w:color w:val="0000EE"/>
                <w:w w:val="93"/>
              </w:rPr>
            </w:pPr>
            <w:hyperlink r:id="rId176">
              <w:r>
                <w:rPr>
                  <w:rFonts w:ascii="Arial" w:cs="Arial" w:eastAsia="Arial" w:hAnsi="Arial"/>
                  <w:sz w:val="18"/>
                  <w:szCs w:val="18"/>
                  <w:color w:val="0000EE"/>
                  <w:w w:val="93"/>
                </w:rPr>
                <w:t>2018 Incentive Award Plan; Sub</w:t>
              </w:r>
              <w:r>
                <w:rPr>
                  <w:rFonts w:ascii="MS PGothic" w:cs="MS PGothic" w:eastAsia="MS PGothic" w:hAnsi="MS PGothic"/>
                  <w:sz w:val="18"/>
                  <w:szCs w:val="18"/>
                  <w:color w:val="0000EE"/>
                  <w:w w:val="93"/>
                </w:rPr>
                <w:t>‑</w:t>
              </w:r>
              <w:r>
                <w:rPr>
                  <w:rFonts w:ascii="Arial" w:cs="Arial" w:eastAsia="Arial" w:hAnsi="Arial"/>
                  <w:sz w:val="18"/>
                  <w:szCs w:val="18"/>
                  <w:color w:val="0000EE"/>
                  <w:w w:val="93"/>
                </w:rPr>
                <w:t>Plan for UK Employees, and</w:t>
              </w:r>
            </w:hyperlink>
          </w:p>
        </w:tc>
        <w:tc>
          <w:tcPr>
            <w:tcW w:w="60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229394</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88"/>
              </w:rPr>
              <w:t>10.23</w:t>
            </w:r>
          </w:p>
        </w:tc>
        <w:tc>
          <w:tcPr>
            <w:tcW w:w="160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1/28/19</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4520" w:type="dxa"/>
            <w:vAlign w:val="bottom"/>
            <w:tcBorders>
              <w:top w:val="single" w:sz="8" w:color="0000EE"/>
            </w:tcBorders>
            <w:gridSpan w:val="34"/>
          </w:tcPr>
          <w:p>
            <w:pPr>
              <w:spacing w:after="0" w:line="170" w:lineRule="exact"/>
              <w:rPr>
                <w:rFonts w:ascii="Arial" w:cs="Arial" w:eastAsia="Arial" w:hAnsi="Arial"/>
                <w:sz w:val="18"/>
                <w:szCs w:val="18"/>
                <w:color w:val="0000EE"/>
              </w:rPr>
            </w:pPr>
            <w:hyperlink r:id="rId176">
              <w:r>
                <w:rPr>
                  <w:rFonts w:ascii="Arial" w:cs="Arial" w:eastAsia="Arial" w:hAnsi="Arial"/>
                  <w:sz w:val="18"/>
                  <w:szCs w:val="18"/>
                  <w:color w:val="0000EE"/>
                </w:rPr>
                <w:t>the form of share option grant notice for UK participants</w:t>
              </w:r>
            </w:hyperlink>
          </w:p>
        </w:tc>
        <w:tc>
          <w:tcPr>
            <w:tcW w:w="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620" w:type="dxa"/>
            <w:vAlign w:val="bottom"/>
          </w:tcPr>
          <w:p>
            <w:pPr>
              <w:spacing w:after="0"/>
              <w:rPr>
                <w:sz w:val="20"/>
                <w:szCs w:val="20"/>
                <w:color w:val="auto"/>
              </w:rPr>
            </w:pPr>
            <w:r>
              <w:rPr>
                <w:rFonts w:ascii="Arial" w:cs="Arial" w:eastAsia="Arial" w:hAnsi="Arial"/>
                <w:sz w:val="18"/>
                <w:szCs w:val="18"/>
                <w:color w:val="auto"/>
              </w:rPr>
              <w:t>10.20</w:t>
            </w:r>
          </w:p>
        </w:tc>
        <w:tc>
          <w:tcPr>
            <w:tcW w:w="3500" w:type="dxa"/>
            <w:vAlign w:val="bottom"/>
            <w:tcBorders>
              <w:top w:val="single" w:sz="8" w:color="0000EE"/>
              <w:bottom w:val="single" w:sz="8" w:color="0000EE"/>
            </w:tcBorders>
            <w:gridSpan w:val="11"/>
          </w:tcPr>
          <w:p>
            <w:pPr>
              <w:spacing w:after="0" w:line="207"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Non</w:t>
              </w:r>
              <w:r>
                <w:rPr>
                  <w:rFonts w:ascii="MS PGothic" w:cs="MS PGothic" w:eastAsia="MS PGothic" w:hAnsi="MS PGothic"/>
                  <w:sz w:val="18"/>
                  <w:szCs w:val="18"/>
                  <w:color w:val="0000EE"/>
                  <w:w w:val="91"/>
                </w:rPr>
                <w:t>‑</w:t>
              </w:r>
              <w:r>
                <w:rPr>
                  <w:rFonts w:ascii="Arial" w:cs="Arial" w:eastAsia="Arial" w:hAnsi="Arial"/>
                  <w:sz w:val="18"/>
                  <w:szCs w:val="18"/>
                  <w:color w:val="0000EE"/>
                  <w:w w:val="91"/>
                </w:rPr>
                <w:t>Employee Director Compensation Program</w:t>
              </w:r>
            </w:hyperlink>
          </w:p>
        </w:tc>
        <w:tc>
          <w:tcPr>
            <w:tcW w:w="580" w:type="dxa"/>
            <w:vAlign w:val="bottom"/>
            <w:tcBorders>
              <w:top w:val="single" w:sz="8" w:color="0000EE"/>
            </w:tcBorders>
            <w:gridSpan w:val="9"/>
          </w:tcPr>
          <w:p>
            <w:pPr>
              <w:spacing w:after="0"/>
              <w:rPr>
                <w:sz w:val="24"/>
                <w:szCs w:val="24"/>
                <w:color w:val="auto"/>
              </w:rPr>
            </w:pPr>
          </w:p>
        </w:tc>
        <w:tc>
          <w:tcPr>
            <w:tcW w:w="480" w:type="dxa"/>
            <w:vAlign w:val="bottom"/>
            <w:gridSpan w:val="15"/>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001-38492</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0" w:type="dxa"/>
            <w:vAlign w:val="bottom"/>
          </w:tcPr>
          <w:p>
            <w:pPr>
              <w:jc w:val="center"/>
              <w:ind w:right="650"/>
              <w:spacing w:after="0"/>
              <w:rPr>
                <w:sz w:val="20"/>
                <w:szCs w:val="20"/>
                <w:color w:val="auto"/>
              </w:rPr>
            </w:pPr>
            <w:r>
              <w:rPr>
                <w:rFonts w:ascii="Arial" w:cs="Arial" w:eastAsia="Arial" w:hAnsi="Arial"/>
                <w:sz w:val="18"/>
                <w:szCs w:val="18"/>
                <w:color w:val="auto"/>
                <w:w w:val="89"/>
              </w:rPr>
              <w:t>11/5/19</w:t>
            </w:r>
          </w:p>
        </w:tc>
        <w:tc>
          <w:tcPr>
            <w:tcW w:w="0" w:type="dxa"/>
            <w:vAlign w:val="bottom"/>
          </w:tcPr>
          <w:p>
            <w:pPr>
              <w:spacing w:after="0"/>
              <w:rPr>
                <w:sz w:val="1"/>
                <w:szCs w:val="1"/>
                <w:color w:val="auto"/>
              </w:rPr>
            </w:pPr>
          </w:p>
        </w:tc>
      </w:tr>
      <w:tr>
        <w:trPr>
          <w:trHeight w:val="358"/>
        </w:trPr>
        <w:tc>
          <w:tcPr>
            <w:tcW w:w="620" w:type="dxa"/>
            <w:vAlign w:val="bottom"/>
          </w:tcPr>
          <w:p>
            <w:pPr>
              <w:spacing w:after="0"/>
              <w:rPr>
                <w:sz w:val="20"/>
                <w:szCs w:val="20"/>
                <w:color w:val="auto"/>
              </w:rPr>
            </w:pPr>
            <w:r>
              <w:rPr>
                <w:rFonts w:ascii="Arial" w:cs="Arial" w:eastAsia="Arial" w:hAnsi="Arial"/>
                <w:sz w:val="18"/>
                <w:szCs w:val="18"/>
                <w:color w:val="auto"/>
              </w:rPr>
              <w:t>10.21</w:t>
            </w:r>
          </w:p>
        </w:tc>
        <w:tc>
          <w:tcPr>
            <w:tcW w:w="4560" w:type="dxa"/>
            <w:vAlign w:val="bottom"/>
            <w:gridSpan w:val="35"/>
          </w:tcPr>
          <w:p>
            <w:pPr>
              <w:spacing w:after="0"/>
              <w:rPr>
                <w:rFonts w:ascii="Arial" w:cs="Arial" w:eastAsia="Arial" w:hAnsi="Arial"/>
                <w:sz w:val="18"/>
                <w:szCs w:val="18"/>
                <w:color w:val="0000EE"/>
                <w:w w:val="90"/>
              </w:rPr>
            </w:pPr>
            <w:hyperlink r:id="rId178">
              <w:r>
                <w:rPr>
                  <w:rFonts w:ascii="Arial" w:cs="Arial" w:eastAsia="Arial" w:hAnsi="Arial"/>
                  <w:sz w:val="18"/>
                  <w:szCs w:val="18"/>
                  <w:color w:val="0000EE"/>
                  <w:w w:val="90"/>
                </w:rPr>
                <w:t>Restricted Share Agreement, dated as of September 16, 2015,</w:t>
              </w:r>
            </w:hyperlink>
          </w:p>
        </w:tc>
        <w:tc>
          <w:tcPr>
            <w:tcW w:w="60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229394</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88"/>
              </w:rPr>
              <w:t>10.25</w:t>
            </w:r>
          </w:p>
        </w:tc>
        <w:tc>
          <w:tcPr>
            <w:tcW w:w="160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1/28/19</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480" w:type="dxa"/>
            <w:vAlign w:val="bottom"/>
            <w:tcBorders>
              <w:top w:val="single" w:sz="8" w:color="0000EE"/>
              <w:bottom w:val="single" w:sz="8" w:color="0000EE"/>
            </w:tcBorders>
            <w:gridSpan w:val="10"/>
          </w:tcPr>
          <w:p>
            <w:pPr>
              <w:spacing w:after="0" w:line="170" w:lineRule="exact"/>
              <w:rPr>
                <w:rFonts w:ascii="Arial" w:cs="Arial" w:eastAsia="Arial" w:hAnsi="Arial"/>
                <w:sz w:val="18"/>
                <w:szCs w:val="18"/>
                <w:color w:val="0000EE"/>
                <w:w w:val="89"/>
              </w:rPr>
            </w:pPr>
            <w:hyperlink r:id="rId178">
              <w:r>
                <w:rPr>
                  <w:rFonts w:ascii="Arial" w:cs="Arial" w:eastAsia="Arial" w:hAnsi="Arial"/>
                  <w:sz w:val="18"/>
                  <w:szCs w:val="18"/>
                  <w:color w:val="0000EE"/>
                  <w:w w:val="89"/>
                </w:rPr>
                <w:t>by and between the Registrant and Sanj K. Patel</w:t>
              </w:r>
            </w:hyperlink>
          </w:p>
        </w:tc>
        <w:tc>
          <w:tcPr>
            <w:tcW w:w="980" w:type="dxa"/>
            <w:vAlign w:val="bottom"/>
            <w:tcBorders>
              <w:top w:val="single" w:sz="8" w:color="0000EE"/>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620" w:type="dxa"/>
            <w:vAlign w:val="bottom"/>
          </w:tcPr>
          <w:p>
            <w:pPr>
              <w:spacing w:after="0"/>
              <w:rPr>
                <w:sz w:val="20"/>
                <w:szCs w:val="20"/>
                <w:color w:val="auto"/>
              </w:rPr>
            </w:pPr>
            <w:r>
              <w:rPr>
                <w:rFonts w:ascii="Arial" w:cs="Arial" w:eastAsia="Arial" w:hAnsi="Arial"/>
                <w:sz w:val="18"/>
                <w:szCs w:val="18"/>
                <w:color w:val="auto"/>
              </w:rPr>
              <w:t>10.22</w:t>
            </w:r>
          </w:p>
        </w:tc>
        <w:tc>
          <w:tcPr>
            <w:tcW w:w="4560" w:type="dxa"/>
            <w:vAlign w:val="bottom"/>
            <w:gridSpan w:val="35"/>
          </w:tcPr>
          <w:p>
            <w:pPr>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Restricted Share Agreement, dated as of September 18, 2015,</w:t>
              </w:r>
            </w:hyperlink>
          </w:p>
        </w:tc>
        <w:tc>
          <w:tcPr>
            <w:tcW w:w="60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229394</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88"/>
              </w:rPr>
              <w:t>10.26</w:t>
            </w:r>
          </w:p>
        </w:tc>
        <w:tc>
          <w:tcPr>
            <w:tcW w:w="160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1/28/19</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840" w:type="dxa"/>
            <w:vAlign w:val="bottom"/>
            <w:tcBorders>
              <w:top w:val="single" w:sz="8" w:color="0000EE"/>
              <w:bottom w:val="single" w:sz="8" w:color="0000EE"/>
            </w:tcBorders>
            <w:gridSpan w:val="16"/>
          </w:tcPr>
          <w:p>
            <w:pPr>
              <w:spacing w:after="0" w:line="170" w:lineRule="exact"/>
              <w:rPr>
                <w:rFonts w:ascii="Arial" w:cs="Arial" w:eastAsia="Arial" w:hAnsi="Arial"/>
                <w:sz w:val="18"/>
                <w:szCs w:val="18"/>
                <w:color w:val="0000EE"/>
                <w:w w:val="88"/>
              </w:rPr>
            </w:pPr>
            <w:hyperlink r:id="rId179">
              <w:r>
                <w:rPr>
                  <w:rFonts w:ascii="Arial" w:cs="Arial" w:eastAsia="Arial" w:hAnsi="Arial"/>
                  <w:sz w:val="18"/>
                  <w:szCs w:val="18"/>
                  <w:color w:val="0000EE"/>
                  <w:w w:val="88"/>
                </w:rPr>
                <w:t>by and between the Registrant and Stephen Mahoney</w:t>
              </w:r>
            </w:hyperlink>
          </w:p>
        </w:tc>
        <w:tc>
          <w:tcPr>
            <w:tcW w:w="620" w:type="dxa"/>
            <w:vAlign w:val="bottom"/>
            <w:tcBorders>
              <w:top w:val="single" w:sz="8" w:color="0000EE"/>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620" w:type="dxa"/>
            <w:vAlign w:val="bottom"/>
          </w:tcPr>
          <w:p>
            <w:pPr>
              <w:spacing w:after="0"/>
              <w:rPr>
                <w:sz w:val="20"/>
                <w:szCs w:val="20"/>
                <w:color w:val="auto"/>
              </w:rPr>
            </w:pPr>
            <w:r>
              <w:rPr>
                <w:rFonts w:ascii="Arial" w:cs="Arial" w:eastAsia="Arial" w:hAnsi="Arial"/>
                <w:sz w:val="18"/>
                <w:szCs w:val="18"/>
                <w:color w:val="auto"/>
              </w:rPr>
              <w:t>10.23</w:t>
            </w:r>
          </w:p>
        </w:tc>
        <w:tc>
          <w:tcPr>
            <w:tcW w:w="4560" w:type="dxa"/>
            <w:vAlign w:val="bottom"/>
            <w:gridSpan w:val="35"/>
          </w:tcPr>
          <w:p>
            <w:pPr>
              <w:spacing w:after="0"/>
              <w:rPr>
                <w:rFonts w:ascii="Arial" w:cs="Arial" w:eastAsia="Arial" w:hAnsi="Arial"/>
                <w:sz w:val="18"/>
                <w:szCs w:val="18"/>
                <w:color w:val="0000EE"/>
                <w:w w:val="93"/>
              </w:rPr>
            </w:pPr>
            <w:hyperlink r:id="rId180">
              <w:r>
                <w:rPr>
                  <w:rFonts w:ascii="Arial" w:cs="Arial" w:eastAsia="Arial" w:hAnsi="Arial"/>
                  <w:sz w:val="18"/>
                  <w:szCs w:val="18"/>
                  <w:color w:val="0000EE"/>
                  <w:w w:val="93"/>
                </w:rPr>
                <w:t>2018 Incentive Award Plan forms of share option grant notice</w:t>
              </w:r>
            </w:hyperlink>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3800" w:type="dxa"/>
            <w:vAlign w:val="bottom"/>
            <w:tcBorders>
              <w:top w:val="single" w:sz="8" w:color="0000EE"/>
              <w:bottom w:val="single" w:sz="8" w:color="0000EE"/>
            </w:tcBorders>
            <w:gridSpan w:val="14"/>
          </w:tcPr>
          <w:p>
            <w:pPr>
              <w:spacing w:after="0" w:line="156" w:lineRule="exact"/>
              <w:rPr>
                <w:rFonts w:ascii="Arial" w:cs="Arial" w:eastAsia="Arial" w:hAnsi="Arial"/>
                <w:sz w:val="18"/>
                <w:szCs w:val="18"/>
                <w:color w:val="0000EE"/>
                <w:w w:val="89"/>
              </w:rPr>
            </w:pPr>
            <w:hyperlink r:id="rId180">
              <w:r>
                <w:rPr>
                  <w:rFonts w:ascii="Arial" w:cs="Arial" w:eastAsia="Arial" w:hAnsi="Arial"/>
                  <w:sz w:val="18"/>
                  <w:szCs w:val="18"/>
                  <w:color w:val="0000EE"/>
                  <w:w w:val="89"/>
                </w:rPr>
                <w:t>and share option agreement for German participants,</w:t>
              </w:r>
            </w:hyperlink>
          </w:p>
        </w:tc>
        <w:tc>
          <w:tcPr>
            <w:tcW w:w="680" w:type="dxa"/>
            <w:vAlign w:val="bottom"/>
            <w:tcBorders>
              <w:top w:val="single" w:sz="8" w:color="0000EE"/>
            </w:tcBorders>
            <w:gridSpan w:val="18"/>
          </w:tcPr>
          <w:p>
            <w:pPr>
              <w:spacing w:after="0"/>
              <w:rPr>
                <w:sz w:val="13"/>
                <w:szCs w:val="13"/>
                <w:color w:val="auto"/>
              </w:rPr>
            </w:pPr>
          </w:p>
        </w:tc>
        <w:tc>
          <w:tcPr>
            <w:tcW w:w="80" w:type="dxa"/>
            <w:vAlign w:val="bottom"/>
            <w:gridSpan w:val="3"/>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4240" w:type="dxa"/>
            <w:vAlign w:val="bottom"/>
            <w:tcBorders>
              <w:bottom w:val="single" w:sz="8" w:color="0000EE"/>
            </w:tcBorders>
            <w:gridSpan w:val="25"/>
          </w:tcPr>
          <w:p>
            <w:pPr>
              <w:spacing w:after="0" w:line="156" w:lineRule="exact"/>
              <w:rPr>
                <w:rFonts w:ascii="Arial" w:cs="Arial" w:eastAsia="Arial" w:hAnsi="Arial"/>
                <w:sz w:val="18"/>
                <w:szCs w:val="18"/>
                <w:color w:val="0000EE"/>
                <w:w w:val="88"/>
              </w:rPr>
            </w:pPr>
            <w:hyperlink r:id="rId180">
              <w:r>
                <w:rPr>
                  <w:rFonts w:ascii="Arial" w:cs="Arial" w:eastAsia="Arial" w:hAnsi="Arial"/>
                  <w:sz w:val="18"/>
                  <w:szCs w:val="18"/>
                  <w:color w:val="0000EE"/>
                  <w:w w:val="88"/>
                </w:rPr>
                <w:t>restricted share grant notice and restricted share agreement</w:t>
              </w:r>
            </w:hyperlink>
          </w:p>
        </w:tc>
        <w:tc>
          <w:tcPr>
            <w:tcW w:w="320" w:type="dxa"/>
            <w:vAlign w:val="bottom"/>
            <w:gridSpan w:val="10"/>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4560" w:type="dxa"/>
            <w:vAlign w:val="bottom"/>
            <w:gridSpan w:val="35"/>
          </w:tcPr>
          <w:p>
            <w:pPr>
              <w:spacing w:after="0" w:line="156"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for German participants, and restricted share unit grant notice</w:t>
              </w:r>
            </w:hyperlink>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0"/>
              </w:rPr>
              <w:t>001-38492</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88"/>
              </w:rPr>
              <w:t>10.27</w:t>
            </w:r>
          </w:p>
        </w:tc>
        <w:tc>
          <w:tcPr>
            <w:tcW w:w="160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3/12/19</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4300" w:type="dxa"/>
            <w:vAlign w:val="bottom"/>
            <w:tcBorders>
              <w:top w:val="single" w:sz="8" w:color="0000EE"/>
              <w:bottom w:val="single" w:sz="8" w:color="0000EE"/>
            </w:tcBorders>
            <w:gridSpan w:val="28"/>
          </w:tcPr>
          <w:p>
            <w:pPr>
              <w:spacing w:after="0" w:line="156" w:lineRule="exact"/>
              <w:rPr>
                <w:rFonts w:ascii="Arial" w:cs="Arial" w:eastAsia="Arial" w:hAnsi="Arial"/>
                <w:sz w:val="18"/>
                <w:szCs w:val="18"/>
                <w:color w:val="0000EE"/>
                <w:w w:val="89"/>
              </w:rPr>
            </w:pPr>
            <w:hyperlink r:id="rId180">
              <w:r>
                <w:rPr>
                  <w:rFonts w:ascii="Arial" w:cs="Arial" w:eastAsia="Arial" w:hAnsi="Arial"/>
                  <w:sz w:val="18"/>
                  <w:szCs w:val="18"/>
                  <w:color w:val="0000EE"/>
                  <w:w w:val="89"/>
                </w:rPr>
                <w:t>and restricted share unit agreement for German participants</w:t>
              </w:r>
            </w:hyperlink>
          </w:p>
        </w:tc>
        <w:tc>
          <w:tcPr>
            <w:tcW w:w="140" w:type="dxa"/>
            <w:vAlign w:val="bottom"/>
            <w:tcBorders>
              <w:top w:val="single" w:sz="8" w:color="0000EE"/>
            </w:tcBorders>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6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620" w:type="dxa"/>
            <w:vAlign w:val="bottom"/>
          </w:tcPr>
          <w:p>
            <w:pPr>
              <w:spacing w:after="0"/>
              <w:rPr>
                <w:sz w:val="20"/>
                <w:szCs w:val="20"/>
                <w:color w:val="auto"/>
              </w:rPr>
            </w:pPr>
            <w:r>
              <w:rPr>
                <w:rFonts w:ascii="Arial" w:cs="Arial" w:eastAsia="Arial" w:hAnsi="Arial"/>
                <w:sz w:val="18"/>
                <w:szCs w:val="18"/>
                <w:color w:val="auto"/>
              </w:rPr>
              <w:t>10.24</w:t>
            </w:r>
          </w:p>
        </w:tc>
        <w:tc>
          <w:tcPr>
            <w:tcW w:w="4560" w:type="dxa"/>
            <w:vAlign w:val="bottom"/>
            <w:gridSpan w:val="35"/>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Letter Agreement, dated November 13, 2019, between</w:t>
              </w:r>
            </w:hyperlink>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3920" w:type="dxa"/>
            <w:vAlign w:val="bottom"/>
            <w:tcBorders>
              <w:top w:val="single" w:sz="8" w:color="0000EE"/>
            </w:tcBorders>
            <w:gridSpan w:val="17"/>
          </w:tcPr>
          <w:p>
            <w:pPr>
              <w:spacing w:after="0" w:line="156" w:lineRule="exact"/>
              <w:rPr>
                <w:rFonts w:ascii="Arial" w:cs="Arial" w:eastAsia="Arial" w:hAnsi="Arial"/>
                <w:sz w:val="18"/>
                <w:szCs w:val="18"/>
                <w:color w:val="0000EE"/>
                <w:w w:val="91"/>
              </w:rPr>
            </w:pPr>
            <w:hyperlink w:anchor="page185">
              <w:r>
                <w:rPr>
                  <w:rFonts w:ascii="Arial" w:cs="Arial" w:eastAsia="Arial" w:hAnsi="Arial"/>
                  <w:sz w:val="18"/>
                  <w:szCs w:val="18"/>
                  <w:color w:val="0000EE"/>
                  <w:w w:val="91"/>
                </w:rPr>
                <w:t>Kiniksa Pharmaceuticals, Ltd. and Stephen Mahoney</w:t>
              </w:r>
            </w:hyperlink>
          </w:p>
        </w:tc>
        <w:tc>
          <w:tcPr>
            <w:tcW w:w="10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420" w:type="dxa"/>
            <w:vAlign w:val="bottom"/>
            <w:gridSpan w:val="12"/>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780" w:type="dxa"/>
            <w:vAlign w:val="bottom"/>
            <w:gridSpan w:val="11"/>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20" w:type="dxa"/>
            <w:vAlign w:val="bottom"/>
          </w:tcPr>
          <w:p>
            <w:pPr>
              <w:spacing w:after="0"/>
              <w:rPr>
                <w:sz w:val="20"/>
                <w:szCs w:val="20"/>
                <w:color w:val="auto"/>
              </w:rPr>
            </w:pPr>
            <w:r>
              <w:rPr>
                <w:rFonts w:ascii="Arial" w:cs="Arial" w:eastAsia="Arial" w:hAnsi="Arial"/>
                <w:sz w:val="18"/>
                <w:szCs w:val="18"/>
                <w:color w:val="auto"/>
              </w:rPr>
              <w:t>10.25</w:t>
            </w:r>
          </w:p>
        </w:tc>
        <w:tc>
          <w:tcPr>
            <w:tcW w:w="4560" w:type="dxa"/>
            <w:vAlign w:val="bottom"/>
            <w:gridSpan w:val="35"/>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Employment agreement, dated August 20, 2018, by and</w:t>
              </w:r>
            </w:hyperlink>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880" w:type="dxa"/>
            <w:vAlign w:val="bottom"/>
            <w:tcBorders>
              <w:right w:val="single" w:sz="8" w:color="0000EE"/>
            </w:tcBorders>
            <w:gridSpan w:val="1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0" w:type="dxa"/>
            <w:vAlign w:val="bottom"/>
          </w:tcPr>
          <w:p>
            <w:pPr>
              <w:spacing w:after="0"/>
              <w:rPr>
                <w:sz w:val="13"/>
                <w:szCs w:val="13"/>
                <w:color w:val="auto"/>
              </w:rPr>
            </w:pPr>
          </w:p>
        </w:tc>
        <w:tc>
          <w:tcPr>
            <w:tcW w:w="4140" w:type="dxa"/>
            <w:vAlign w:val="bottom"/>
            <w:tcBorders>
              <w:bottom w:val="single" w:sz="8" w:color="0000EE"/>
            </w:tcBorders>
            <w:gridSpan w:val="23"/>
          </w:tcPr>
          <w:p>
            <w:pPr>
              <w:spacing w:after="0" w:line="156" w:lineRule="exact"/>
              <w:rPr>
                <w:rFonts w:ascii="Arial" w:cs="Arial" w:eastAsia="Arial" w:hAnsi="Arial"/>
                <w:sz w:val="18"/>
                <w:szCs w:val="18"/>
                <w:color w:val="0000EE"/>
                <w:w w:val="90"/>
              </w:rPr>
            </w:pPr>
            <w:hyperlink w:anchor="page194">
              <w:r>
                <w:rPr>
                  <w:rFonts w:ascii="Arial" w:cs="Arial" w:eastAsia="Arial" w:hAnsi="Arial"/>
                  <w:sz w:val="18"/>
                  <w:szCs w:val="18"/>
                  <w:color w:val="0000EE"/>
                  <w:w w:val="90"/>
                </w:rPr>
                <w:t>between Kiniksa Pharmaceuticals Corp. and Qasim Rizvi</w:t>
              </w:r>
            </w:hyperlink>
          </w:p>
        </w:tc>
        <w:tc>
          <w:tcPr>
            <w:tcW w:w="420" w:type="dxa"/>
            <w:vAlign w:val="bottom"/>
            <w:gridSpan w:val="12"/>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620" w:type="dxa"/>
            <w:vAlign w:val="bottom"/>
          </w:tcPr>
          <w:p>
            <w:pPr>
              <w:spacing w:after="0"/>
              <w:rPr>
                <w:sz w:val="20"/>
                <w:szCs w:val="20"/>
                <w:color w:val="auto"/>
              </w:rPr>
            </w:pPr>
            <w:r>
              <w:rPr>
                <w:rFonts w:ascii="Arial" w:cs="Arial" w:eastAsia="Arial" w:hAnsi="Arial"/>
                <w:sz w:val="18"/>
                <w:szCs w:val="18"/>
                <w:color w:val="auto"/>
              </w:rPr>
              <w:t>10.26†</w:t>
            </w:r>
          </w:p>
        </w:tc>
        <w:tc>
          <w:tcPr>
            <w:tcW w:w="4560" w:type="dxa"/>
            <w:vAlign w:val="bottom"/>
            <w:gridSpan w:val="35"/>
          </w:tcPr>
          <w:p>
            <w:pPr>
              <w:spacing w:after="0"/>
              <w:rPr>
                <w:rFonts w:ascii="Arial" w:cs="Arial" w:eastAsia="Arial" w:hAnsi="Arial"/>
                <w:sz w:val="18"/>
                <w:szCs w:val="18"/>
                <w:color w:val="0000EE"/>
              </w:rPr>
            </w:pPr>
            <w:hyperlink r:id="rId181">
              <w:r>
                <w:rPr>
                  <w:rFonts w:ascii="Arial" w:cs="Arial" w:eastAsia="Arial" w:hAnsi="Arial"/>
                  <w:sz w:val="18"/>
                  <w:szCs w:val="18"/>
                  <w:color w:val="0000EE"/>
                </w:rPr>
                <w:t>Kiniksa Pharmaceuticals, Ltd. Rilonacept Long-Term</w:t>
              </w:r>
            </w:hyperlink>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0"/>
              </w:rPr>
              <w:t>001-38492</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600" w:type="dxa"/>
            <w:vAlign w:val="bottom"/>
            <w:vMerge w:val="restart"/>
          </w:tcPr>
          <w:p>
            <w:pPr>
              <w:jc w:val="center"/>
              <w:ind w:right="630"/>
              <w:spacing w:after="0"/>
              <w:rPr>
                <w:sz w:val="20"/>
                <w:szCs w:val="20"/>
                <w:color w:val="auto"/>
              </w:rPr>
            </w:pPr>
            <w:r>
              <w:rPr>
                <w:rFonts w:ascii="Arial" w:cs="Arial" w:eastAsia="Arial" w:hAnsi="Arial"/>
                <w:sz w:val="18"/>
                <w:szCs w:val="18"/>
                <w:color w:val="auto"/>
                <w:w w:val="91"/>
              </w:rPr>
              <w:t>12/16/19</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1040" w:type="dxa"/>
            <w:vAlign w:val="bottom"/>
            <w:tcBorders>
              <w:top w:val="single" w:sz="8" w:color="0000EE"/>
              <w:bottom w:val="single" w:sz="8" w:color="0000EE"/>
            </w:tcBorders>
            <w:gridSpan w:val="4"/>
          </w:tcPr>
          <w:p>
            <w:pPr>
              <w:spacing w:after="0" w:line="170" w:lineRule="exact"/>
              <w:rPr>
                <w:rFonts w:ascii="Arial" w:cs="Arial" w:eastAsia="Arial" w:hAnsi="Arial"/>
                <w:sz w:val="18"/>
                <w:szCs w:val="18"/>
                <w:color w:val="0000EE"/>
                <w:w w:val="90"/>
              </w:rPr>
            </w:pPr>
            <w:hyperlink r:id="rId181">
              <w:r>
                <w:rPr>
                  <w:rFonts w:ascii="Arial" w:cs="Arial" w:eastAsia="Arial" w:hAnsi="Arial"/>
                  <w:sz w:val="18"/>
                  <w:szCs w:val="18"/>
                  <w:color w:val="0000EE"/>
                  <w:w w:val="90"/>
                </w:rPr>
                <w:t>Incentive Plan</w:t>
              </w:r>
            </w:hyperlink>
          </w:p>
        </w:tc>
        <w:tc>
          <w:tcPr>
            <w:tcW w:w="2880" w:type="dxa"/>
            <w:vAlign w:val="bottom"/>
            <w:tcBorders>
              <w:top w:val="single" w:sz="8" w:color="0000EE"/>
            </w:tcBorders>
            <w:gridSpan w:val="13"/>
          </w:tcPr>
          <w:p>
            <w:pPr>
              <w:spacing w:after="0"/>
              <w:rPr>
                <w:sz w:val="14"/>
                <w:szCs w:val="14"/>
                <w:color w:val="auto"/>
              </w:rPr>
            </w:pPr>
          </w:p>
        </w:tc>
        <w:tc>
          <w:tcPr>
            <w:tcW w:w="640" w:type="dxa"/>
            <w:vAlign w:val="bottom"/>
            <w:gridSpan w:val="18"/>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44"/>
        </w:trPr>
        <w:tc>
          <w:tcPr>
            <w:tcW w:w="620" w:type="dxa"/>
            <w:vAlign w:val="bottom"/>
          </w:tcPr>
          <w:p>
            <w:pPr>
              <w:spacing w:after="0"/>
              <w:rPr>
                <w:sz w:val="24"/>
                <w:szCs w:val="24"/>
                <w:color w:val="auto"/>
              </w:rPr>
            </w:pPr>
          </w:p>
        </w:tc>
        <w:tc>
          <w:tcPr>
            <w:tcW w:w="4080" w:type="dxa"/>
            <w:vAlign w:val="bottom"/>
            <w:gridSpan w:val="20"/>
          </w:tcPr>
          <w:p>
            <w:pPr>
              <w:ind w:left="3780"/>
              <w:spacing w:after="0"/>
              <w:rPr>
                <w:sz w:val="20"/>
                <w:szCs w:val="20"/>
                <w:color w:val="auto"/>
              </w:rPr>
            </w:pPr>
            <w:r>
              <w:rPr>
                <w:rFonts w:ascii="Arial" w:cs="Arial" w:eastAsia="Arial" w:hAnsi="Arial"/>
                <w:sz w:val="18"/>
                <w:szCs w:val="18"/>
                <w:color w:val="auto"/>
                <w:w w:val="93"/>
              </w:rPr>
              <w:t>138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3"/>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3820" w:type="dxa"/>
            <w:vAlign w:val="bottom"/>
            <w:gridSpan w:val="13"/>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800" w:type="dxa"/>
            <w:vAlign w:val="bottom"/>
          </w:tcPr>
          <w:p>
            <w:pPr>
              <w:spacing w:after="0"/>
              <w:rPr>
                <w:sz w:val="20"/>
                <w:szCs w:val="20"/>
                <w:color w:val="auto"/>
              </w:rPr>
            </w:pPr>
            <w:r>
              <w:rPr>
                <w:rFonts w:ascii="Arial" w:cs="Arial" w:eastAsia="Arial" w:hAnsi="Arial"/>
                <w:sz w:val="18"/>
                <w:szCs w:val="18"/>
                <w:color w:val="auto"/>
              </w:rPr>
              <w:t>10.27</w:t>
            </w:r>
          </w:p>
        </w:tc>
        <w:tc>
          <w:tcPr>
            <w:tcW w:w="4300" w:type="dxa"/>
            <w:vAlign w:val="bottom"/>
            <w:gridSpan w:val="15"/>
          </w:tcPr>
          <w:p>
            <w:pPr>
              <w:spacing w:after="0"/>
              <w:rPr>
                <w:rFonts w:ascii="Arial" w:cs="Arial" w:eastAsia="Arial" w:hAnsi="Arial"/>
                <w:sz w:val="18"/>
                <w:szCs w:val="18"/>
                <w:color w:val="0000EE"/>
              </w:rPr>
            </w:pPr>
            <w:hyperlink r:id="rId182">
              <w:r>
                <w:rPr>
                  <w:rFonts w:ascii="Arial" w:cs="Arial" w:eastAsia="Arial" w:hAnsi="Arial"/>
                  <w:sz w:val="18"/>
                  <w:szCs w:val="18"/>
                  <w:color w:val="0000EE"/>
                </w:rPr>
                <w:t>Form of U.S. Performance Restricted Share Unit and</w:t>
              </w:r>
            </w:hyperlink>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3820" w:type="dxa"/>
            <w:vAlign w:val="bottom"/>
            <w:tcBorders>
              <w:top w:val="single" w:sz="8" w:color="0000EE"/>
              <w:bottom w:val="single" w:sz="8" w:color="0000EE"/>
            </w:tcBorders>
            <w:gridSpan w:val="7"/>
          </w:tcPr>
          <w:p>
            <w:pPr>
              <w:spacing w:after="0" w:line="170" w:lineRule="exact"/>
              <w:rPr>
                <w:rFonts w:ascii="Arial" w:cs="Arial" w:eastAsia="Arial" w:hAnsi="Arial"/>
                <w:sz w:val="18"/>
                <w:szCs w:val="18"/>
                <w:color w:val="0000EE"/>
                <w:w w:val="86"/>
              </w:rPr>
            </w:pPr>
            <w:hyperlink r:id="rId182">
              <w:r>
                <w:rPr>
                  <w:rFonts w:ascii="Arial" w:cs="Arial" w:eastAsia="Arial" w:hAnsi="Arial"/>
                  <w:sz w:val="18"/>
                  <w:szCs w:val="18"/>
                  <w:color w:val="0000EE"/>
                  <w:w w:val="86"/>
                </w:rPr>
                <w:t>Performance Cash Award Grant Notice and Agreement</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tcPr>
          <w:p>
            <w:pPr>
              <w:ind w:left="280"/>
              <w:spacing w:after="0"/>
              <w:rPr>
                <w:sz w:val="20"/>
                <w:szCs w:val="20"/>
                <w:color w:val="auto"/>
              </w:rPr>
            </w:pPr>
            <w:r>
              <w:rPr>
                <w:rFonts w:ascii="Arial" w:cs="Arial" w:eastAsia="Arial" w:hAnsi="Arial"/>
                <w:sz w:val="18"/>
                <w:szCs w:val="18"/>
                <w:color w:val="auto"/>
              </w:rPr>
              <w:t>8-K</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0"/>
              </w:rPr>
              <w:t>001-38492</w:t>
            </w:r>
          </w:p>
        </w:tc>
        <w:tc>
          <w:tcPr>
            <w:tcW w:w="580" w:type="dxa"/>
            <w:vAlign w:val="bottom"/>
            <w:vMerge w:val="restart"/>
          </w:tcPr>
          <w:p>
            <w:pPr>
              <w:jc w:val="right"/>
              <w:ind w:right="30"/>
              <w:spacing w:after="0"/>
              <w:rPr>
                <w:sz w:val="20"/>
                <w:szCs w:val="20"/>
                <w:color w:val="auto"/>
              </w:rPr>
            </w:pPr>
            <w:r>
              <w:rPr>
                <w:rFonts w:ascii="Arial" w:cs="Arial" w:eastAsia="Arial" w:hAnsi="Arial"/>
                <w:sz w:val="18"/>
                <w:szCs w:val="18"/>
                <w:color w:val="auto"/>
              </w:rPr>
              <w:t>10.2</w:t>
            </w:r>
          </w:p>
        </w:tc>
        <w:tc>
          <w:tcPr>
            <w:tcW w:w="1380" w:type="dxa"/>
            <w:vAlign w:val="bottom"/>
            <w:vMerge w:val="restart"/>
          </w:tcPr>
          <w:p>
            <w:pPr>
              <w:jc w:val="center"/>
              <w:ind w:right="410"/>
              <w:spacing w:after="0"/>
              <w:rPr>
                <w:sz w:val="20"/>
                <w:szCs w:val="20"/>
                <w:color w:val="auto"/>
              </w:rPr>
            </w:pPr>
            <w:r>
              <w:rPr>
                <w:rFonts w:ascii="Arial" w:cs="Arial" w:eastAsia="Arial" w:hAnsi="Arial"/>
                <w:sz w:val="18"/>
                <w:szCs w:val="18"/>
                <w:color w:val="auto"/>
                <w:w w:val="91"/>
              </w:rPr>
              <w:t>12/16/19</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3980" w:type="dxa"/>
            <w:vAlign w:val="bottom"/>
            <w:gridSpan w:val="12"/>
          </w:tcPr>
          <w:p>
            <w:pPr>
              <w:spacing w:after="0" w:line="170" w:lineRule="exact"/>
              <w:rPr>
                <w:rFonts w:ascii="Arial" w:cs="Arial" w:eastAsia="Arial" w:hAnsi="Arial"/>
                <w:sz w:val="18"/>
                <w:szCs w:val="18"/>
                <w:color w:val="0000EE"/>
              </w:rPr>
            </w:pPr>
            <w:hyperlink r:id="rId182">
              <w:r>
                <w:rPr>
                  <w:rFonts w:ascii="Arial" w:cs="Arial" w:eastAsia="Arial" w:hAnsi="Arial"/>
                  <w:sz w:val="18"/>
                  <w:szCs w:val="18"/>
                  <w:color w:val="0000EE"/>
                </w:rPr>
                <w:t>under the Rilonacept Long-Term Incentive Plan</w:t>
              </w:r>
            </w:hyperlink>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spacing w:after="0"/>
              <w:rPr>
                <w:sz w:val="20"/>
                <w:szCs w:val="20"/>
                <w:color w:val="auto"/>
              </w:rPr>
            </w:pPr>
            <w:r>
              <w:rPr>
                <w:rFonts w:ascii="Arial" w:cs="Arial" w:eastAsia="Arial" w:hAnsi="Arial"/>
                <w:sz w:val="18"/>
                <w:szCs w:val="18"/>
                <w:color w:val="auto"/>
              </w:rPr>
              <w:t>10.28</w:t>
            </w:r>
          </w:p>
        </w:tc>
        <w:tc>
          <w:tcPr>
            <w:tcW w:w="4300" w:type="dxa"/>
            <w:vAlign w:val="bottom"/>
            <w:gridSpan w:val="15"/>
          </w:tcPr>
          <w:p>
            <w:pPr>
              <w:spacing w:after="0"/>
              <w:rPr>
                <w:rFonts w:ascii="Arial" w:cs="Arial" w:eastAsia="Arial" w:hAnsi="Arial"/>
                <w:sz w:val="18"/>
                <w:szCs w:val="18"/>
                <w:color w:val="0000EE"/>
              </w:rPr>
            </w:pPr>
            <w:hyperlink r:id="rId183">
              <w:r>
                <w:rPr>
                  <w:rFonts w:ascii="Arial" w:cs="Arial" w:eastAsia="Arial" w:hAnsi="Arial"/>
                  <w:sz w:val="18"/>
                  <w:szCs w:val="18"/>
                  <w:color w:val="0000EE"/>
                </w:rPr>
                <w:t>Form of U.S. Restricted Share Unit Grant Notice and</w:t>
              </w:r>
            </w:hyperlink>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3860" w:type="dxa"/>
            <w:vAlign w:val="bottom"/>
            <w:tcBorders>
              <w:top w:val="single" w:sz="8" w:color="0000EE"/>
            </w:tcBorders>
            <w:gridSpan w:val="9"/>
          </w:tcPr>
          <w:p>
            <w:pPr>
              <w:spacing w:after="0" w:line="170" w:lineRule="exact"/>
              <w:rPr>
                <w:rFonts w:ascii="Arial" w:cs="Arial" w:eastAsia="Arial" w:hAnsi="Arial"/>
                <w:sz w:val="18"/>
                <w:szCs w:val="18"/>
                <w:color w:val="0000EE"/>
                <w:w w:val="89"/>
              </w:rPr>
            </w:pPr>
            <w:hyperlink r:id="rId183">
              <w:r>
                <w:rPr>
                  <w:rFonts w:ascii="Arial" w:cs="Arial" w:eastAsia="Arial" w:hAnsi="Arial"/>
                  <w:sz w:val="18"/>
                  <w:szCs w:val="18"/>
                  <w:color w:val="0000EE"/>
                  <w:w w:val="89"/>
                </w:rPr>
                <w:t>Agreement under the Rilonacept Long-Term Incentive</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4"/>
          </w:tcPr>
          <w:p>
            <w:pPr>
              <w:ind w:left="20"/>
              <w:spacing w:after="0" w:line="170" w:lineRule="exact"/>
              <w:rPr>
                <w:rFonts w:ascii="Arial" w:cs="Arial" w:eastAsia="Arial" w:hAnsi="Arial"/>
                <w:sz w:val="18"/>
                <w:szCs w:val="18"/>
                <w:color w:val="0000EE"/>
                <w:w w:val="88"/>
              </w:rPr>
            </w:pPr>
            <w:hyperlink r:id="rId183">
              <w:r>
                <w:rPr>
                  <w:rFonts w:ascii="Arial" w:cs="Arial" w:eastAsia="Arial" w:hAnsi="Arial"/>
                  <w:sz w:val="18"/>
                  <w:szCs w:val="18"/>
                  <w:color w:val="0000EE"/>
                  <w:w w:val="88"/>
                </w:rPr>
                <w:t>Plan</w:t>
              </w:r>
            </w:hyperlink>
          </w:p>
        </w:tc>
        <w:tc>
          <w:tcPr>
            <w:tcW w:w="680" w:type="dxa"/>
            <w:vAlign w:val="bottom"/>
          </w:tcPr>
          <w:p>
            <w:pPr>
              <w:ind w:left="280"/>
              <w:spacing w:after="0" w:line="170" w:lineRule="exact"/>
              <w:rPr>
                <w:sz w:val="20"/>
                <w:szCs w:val="20"/>
                <w:color w:val="auto"/>
              </w:rPr>
            </w:pPr>
            <w:r>
              <w:rPr>
                <w:rFonts w:ascii="Arial" w:cs="Arial" w:eastAsia="Arial" w:hAnsi="Arial"/>
                <w:sz w:val="18"/>
                <w:szCs w:val="18"/>
                <w:color w:val="auto"/>
              </w:rPr>
              <w:t>8-K</w:t>
            </w:r>
          </w:p>
        </w:tc>
        <w:tc>
          <w:tcPr>
            <w:tcW w:w="1120" w:type="dxa"/>
            <w:vAlign w:val="bottom"/>
          </w:tcPr>
          <w:p>
            <w:pPr>
              <w:jc w:val="center"/>
              <w:spacing w:after="0" w:line="170" w:lineRule="exact"/>
              <w:rPr>
                <w:sz w:val="20"/>
                <w:szCs w:val="20"/>
                <w:color w:val="auto"/>
              </w:rPr>
            </w:pPr>
            <w:r>
              <w:rPr>
                <w:rFonts w:ascii="Arial" w:cs="Arial" w:eastAsia="Arial" w:hAnsi="Arial"/>
                <w:sz w:val="18"/>
                <w:szCs w:val="18"/>
                <w:color w:val="auto"/>
                <w:w w:val="90"/>
              </w:rPr>
              <w:t>001-38492</w:t>
            </w:r>
          </w:p>
        </w:tc>
        <w:tc>
          <w:tcPr>
            <w:tcW w:w="580" w:type="dxa"/>
            <w:vAlign w:val="bottom"/>
          </w:tcPr>
          <w:p>
            <w:pPr>
              <w:jc w:val="right"/>
              <w:ind w:right="30"/>
              <w:spacing w:after="0" w:line="170" w:lineRule="exact"/>
              <w:rPr>
                <w:sz w:val="20"/>
                <w:szCs w:val="20"/>
                <w:color w:val="auto"/>
              </w:rPr>
            </w:pPr>
            <w:r>
              <w:rPr>
                <w:rFonts w:ascii="Arial" w:cs="Arial" w:eastAsia="Arial" w:hAnsi="Arial"/>
                <w:sz w:val="18"/>
                <w:szCs w:val="18"/>
                <w:color w:val="auto"/>
              </w:rPr>
              <w:t>10.3</w:t>
            </w:r>
          </w:p>
        </w:tc>
        <w:tc>
          <w:tcPr>
            <w:tcW w:w="1380" w:type="dxa"/>
            <w:vAlign w:val="bottom"/>
          </w:tcPr>
          <w:p>
            <w:pPr>
              <w:jc w:val="center"/>
              <w:ind w:right="410"/>
              <w:spacing w:after="0" w:line="170" w:lineRule="exact"/>
              <w:rPr>
                <w:sz w:val="20"/>
                <w:szCs w:val="20"/>
                <w:color w:val="auto"/>
              </w:rPr>
            </w:pPr>
            <w:r>
              <w:rPr>
                <w:rFonts w:ascii="Arial" w:cs="Arial" w:eastAsia="Arial" w:hAnsi="Arial"/>
                <w:sz w:val="18"/>
                <w:szCs w:val="18"/>
                <w:color w:val="auto"/>
                <w:w w:val="91"/>
              </w:rPr>
              <w:t>12/16/19</w:t>
            </w:r>
          </w:p>
        </w:tc>
        <w:tc>
          <w:tcPr>
            <w:tcW w:w="0" w:type="dxa"/>
            <w:vAlign w:val="bottom"/>
          </w:tcPr>
          <w:p>
            <w:pPr>
              <w:spacing w:after="0"/>
              <w:rPr>
                <w:sz w:val="1"/>
                <w:szCs w:val="1"/>
                <w:color w:val="auto"/>
              </w:rPr>
            </w:pPr>
          </w:p>
        </w:tc>
      </w:tr>
      <w:tr>
        <w:trPr>
          <w:trHeight w:val="358"/>
        </w:trPr>
        <w:tc>
          <w:tcPr>
            <w:tcW w:w="800" w:type="dxa"/>
            <w:vAlign w:val="bottom"/>
          </w:tcPr>
          <w:p>
            <w:pPr>
              <w:spacing w:after="0"/>
              <w:rPr>
                <w:sz w:val="20"/>
                <w:szCs w:val="20"/>
                <w:color w:val="auto"/>
              </w:rPr>
            </w:pPr>
            <w:r>
              <w:rPr>
                <w:rFonts w:ascii="Arial" w:cs="Arial" w:eastAsia="Arial" w:hAnsi="Arial"/>
                <w:sz w:val="18"/>
                <w:szCs w:val="18"/>
                <w:color w:val="auto"/>
              </w:rPr>
              <w:t>21.1</w:t>
            </w:r>
          </w:p>
        </w:tc>
        <w:tc>
          <w:tcPr>
            <w:tcW w:w="4280" w:type="dxa"/>
            <w:vAlign w:val="bottom"/>
            <w:tcBorders>
              <w:top w:val="single" w:sz="8" w:color="0000EE"/>
            </w:tcBorders>
            <w:gridSpan w:val="14"/>
          </w:tcPr>
          <w:p>
            <w:pPr>
              <w:spacing w:after="0"/>
              <w:rPr>
                <w:rFonts w:ascii="Arial" w:cs="Arial" w:eastAsia="Arial" w:hAnsi="Arial"/>
                <w:sz w:val="18"/>
                <w:szCs w:val="18"/>
                <w:color w:val="0000EE"/>
              </w:rPr>
            </w:pPr>
            <w:hyperlink r:id="rId184">
              <w:r>
                <w:rPr>
                  <w:rFonts w:ascii="Arial" w:cs="Arial" w:eastAsia="Arial" w:hAnsi="Arial"/>
                  <w:sz w:val="18"/>
                  <w:szCs w:val="18"/>
                  <w:color w:val="0000EE"/>
                </w:rPr>
                <w:t>Subsidiaries of the Registrant</w:t>
              </w:r>
            </w:hyperlink>
          </w:p>
        </w:tc>
        <w:tc>
          <w:tcPr>
            <w:tcW w:w="20" w:type="dxa"/>
            <w:vAlign w:val="bottom"/>
          </w:tcPr>
          <w:p>
            <w:pPr>
              <w:spacing w:after="0"/>
              <w:rPr>
                <w:sz w:val="24"/>
                <w:szCs w:val="24"/>
                <w:color w:val="auto"/>
              </w:rPr>
            </w:pPr>
          </w:p>
        </w:tc>
        <w:tc>
          <w:tcPr>
            <w:tcW w:w="680" w:type="dxa"/>
            <w:vAlign w:val="bottom"/>
          </w:tcPr>
          <w:p>
            <w:pPr>
              <w:ind w:left="300"/>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1120" w:type="dxa"/>
            <w:vAlign w:val="bottom"/>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229394</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380" w:type="dxa"/>
            <w:vAlign w:val="bottom"/>
          </w:tcPr>
          <w:p>
            <w:pPr>
              <w:jc w:val="center"/>
              <w:ind w:right="410"/>
              <w:spacing w:after="0"/>
              <w:rPr>
                <w:sz w:val="20"/>
                <w:szCs w:val="20"/>
                <w:color w:val="auto"/>
              </w:rPr>
            </w:pPr>
            <w:r>
              <w:rPr>
                <w:rFonts w:ascii="Arial" w:cs="Arial" w:eastAsia="Arial" w:hAnsi="Arial"/>
                <w:sz w:val="18"/>
                <w:szCs w:val="18"/>
                <w:color w:val="auto"/>
                <w:w w:val="93"/>
              </w:rPr>
              <w:t>1/28/19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00" w:type="dxa"/>
            <w:vAlign w:val="bottom"/>
          </w:tcPr>
          <w:p>
            <w:pPr>
              <w:spacing w:after="0"/>
              <w:rPr>
                <w:sz w:val="20"/>
                <w:szCs w:val="20"/>
                <w:color w:val="auto"/>
              </w:rPr>
            </w:pPr>
            <w:r>
              <w:rPr>
                <w:rFonts w:ascii="Arial" w:cs="Arial" w:eastAsia="Arial" w:hAnsi="Arial"/>
                <w:sz w:val="18"/>
                <w:szCs w:val="18"/>
                <w:color w:val="auto"/>
              </w:rPr>
              <w:t>23.1</w:t>
            </w:r>
          </w:p>
        </w:tc>
        <w:tc>
          <w:tcPr>
            <w:tcW w:w="4300" w:type="dxa"/>
            <w:vAlign w:val="bottom"/>
            <w:gridSpan w:val="15"/>
          </w:tcPr>
          <w:p>
            <w:pPr>
              <w:spacing w:after="0"/>
              <w:rPr>
                <w:rFonts w:ascii="Arial" w:cs="Arial" w:eastAsia="Arial" w:hAnsi="Arial"/>
                <w:sz w:val="18"/>
                <w:szCs w:val="18"/>
                <w:color w:val="0000EE"/>
                <w:w w:val="97"/>
              </w:rPr>
            </w:pPr>
            <w:hyperlink w:anchor="page203">
              <w:r>
                <w:rPr>
                  <w:rFonts w:ascii="Arial" w:cs="Arial" w:eastAsia="Arial" w:hAnsi="Arial"/>
                  <w:sz w:val="18"/>
                  <w:szCs w:val="18"/>
                  <w:color w:val="0000EE"/>
                  <w:w w:val="97"/>
                </w:rPr>
                <w:t>Consent of PricewaterhouseCoopers LLP, independent</w:t>
              </w:r>
            </w:hyperlink>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vMerge w:val="restart"/>
          </w:tcPr>
          <w:p>
            <w:pPr>
              <w:jc w:val="center"/>
              <w:ind w:left="10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400" w:type="dxa"/>
            <w:vAlign w:val="bottom"/>
            <w:tcBorders>
              <w:top w:val="single" w:sz="8" w:color="0000EE"/>
              <w:bottom w:val="single" w:sz="8" w:color="0000EE"/>
            </w:tcBorders>
            <w:gridSpan w:val="5"/>
          </w:tcPr>
          <w:p>
            <w:pPr>
              <w:spacing w:after="0" w:line="170" w:lineRule="exact"/>
              <w:rPr>
                <w:rFonts w:ascii="Arial" w:cs="Arial" w:eastAsia="Arial" w:hAnsi="Arial"/>
                <w:sz w:val="18"/>
                <w:szCs w:val="18"/>
                <w:color w:val="0000EE"/>
                <w:w w:val="91"/>
              </w:rPr>
            </w:pPr>
            <w:hyperlink w:anchor="page203">
              <w:r>
                <w:rPr>
                  <w:rFonts w:ascii="Arial" w:cs="Arial" w:eastAsia="Arial" w:hAnsi="Arial"/>
                  <w:sz w:val="18"/>
                  <w:szCs w:val="18"/>
                  <w:color w:val="0000EE"/>
                  <w:w w:val="91"/>
                </w:rPr>
                <w:t>registered public accounting firm</w:t>
              </w:r>
            </w:hyperlink>
          </w:p>
        </w:tc>
        <w:tc>
          <w:tcPr>
            <w:tcW w:w="1540" w:type="dxa"/>
            <w:vAlign w:val="bottom"/>
            <w:tcBorders>
              <w:top w:val="single" w:sz="8" w:color="0000EE"/>
            </w:tcBorders>
            <w:gridSpan w:val="6"/>
          </w:tcPr>
          <w:p>
            <w:pPr>
              <w:spacing w:after="0"/>
              <w:rPr>
                <w:sz w:val="14"/>
                <w:szCs w:val="14"/>
                <w:color w:val="auto"/>
              </w:rPr>
            </w:pPr>
          </w:p>
        </w:tc>
        <w:tc>
          <w:tcPr>
            <w:tcW w:w="30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4300" w:type="dxa"/>
            <w:vAlign w:val="bottom"/>
            <w:tcBorders>
              <w:bottom w:val="single" w:sz="8" w:color="0000EE"/>
            </w:tcBorders>
            <w:gridSpan w:val="15"/>
          </w:tcPr>
          <w:p>
            <w:pPr>
              <w:spacing w:after="0" w:line="207" w:lineRule="exact"/>
              <w:rPr>
                <w:rFonts w:ascii="Arial" w:cs="Arial" w:eastAsia="Arial" w:hAnsi="Arial"/>
                <w:sz w:val="18"/>
                <w:szCs w:val="18"/>
                <w:color w:val="0000EE"/>
                <w:w w:val="92"/>
              </w:rPr>
            </w:pPr>
            <w:hyperlink w:anchor="page204">
              <w:r>
                <w:rPr>
                  <w:rFonts w:ascii="Arial" w:cs="Arial" w:eastAsia="Arial" w:hAnsi="Arial"/>
                  <w:sz w:val="18"/>
                  <w:szCs w:val="18"/>
                  <w:color w:val="0000EE"/>
                  <w:w w:val="92"/>
                </w:rPr>
                <w:t>Rule 13a</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 15d</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Certification of Chief Executive</w:t>
              </w:r>
            </w:hyperlink>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vMerge w:val="restart"/>
          </w:tcPr>
          <w:p>
            <w:pPr>
              <w:jc w:val="center"/>
              <w:ind w:left="10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4300" w:type="dxa"/>
            <w:vAlign w:val="bottom"/>
            <w:gridSpan w:val="15"/>
          </w:tcPr>
          <w:p>
            <w:pPr>
              <w:spacing w:after="0" w:line="170" w:lineRule="exact"/>
              <w:rPr>
                <w:rFonts w:ascii="Arial" w:cs="Arial" w:eastAsia="Arial" w:hAnsi="Arial"/>
                <w:sz w:val="18"/>
                <w:szCs w:val="18"/>
                <w:color w:val="0000EE"/>
              </w:rPr>
            </w:pPr>
            <w:hyperlink w:anchor="page204">
              <w:r>
                <w:rPr>
                  <w:rFonts w:ascii="Arial" w:cs="Arial" w:eastAsia="Arial" w:hAnsi="Arial"/>
                  <w:sz w:val="18"/>
                  <w:szCs w:val="18"/>
                  <w:color w:val="0000EE"/>
                </w:rPr>
                <w:t>Office</w:t>
              </w:r>
              <w:r>
                <w:rPr>
                  <w:rFonts w:ascii="Arial" w:cs="Arial" w:eastAsia="Arial" w:hAnsi="Arial"/>
                  <w:sz w:val="18"/>
                  <w:szCs w:val="18"/>
                  <w:color w:val="000000"/>
                </w:rPr>
                <w:t>r</w:t>
              </w:r>
            </w:hyperlink>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4300" w:type="dxa"/>
            <w:vAlign w:val="bottom"/>
            <w:gridSpan w:val="15"/>
          </w:tcPr>
          <w:p>
            <w:pPr>
              <w:spacing w:after="0" w:line="207" w:lineRule="exact"/>
              <w:rPr>
                <w:rFonts w:ascii="Arial" w:cs="Arial" w:eastAsia="Arial" w:hAnsi="Arial"/>
                <w:sz w:val="18"/>
                <w:szCs w:val="18"/>
                <w:color w:val="0000EE"/>
                <w:w w:val="93"/>
              </w:rPr>
            </w:pPr>
            <w:hyperlink w:anchor="page205">
              <w:r>
                <w:rPr>
                  <w:rFonts w:ascii="Arial" w:cs="Arial" w:eastAsia="Arial" w:hAnsi="Arial"/>
                  <w:sz w:val="18"/>
                  <w:szCs w:val="18"/>
                  <w:color w:val="0000EE"/>
                  <w:w w:val="93"/>
                </w:rPr>
                <w:t>Rule 13a</w:t>
              </w:r>
              <w:r>
                <w:rPr>
                  <w:rFonts w:ascii="MS PGothic" w:cs="MS PGothic" w:eastAsia="MS PGothic" w:hAnsi="MS PGothic"/>
                  <w:sz w:val="18"/>
                  <w:szCs w:val="18"/>
                  <w:color w:val="0000EE"/>
                  <w:w w:val="93"/>
                </w:rPr>
                <w:t>‑</w:t>
              </w:r>
              <w:r>
                <w:rPr>
                  <w:rFonts w:ascii="Arial" w:cs="Arial" w:eastAsia="Arial" w:hAnsi="Arial"/>
                  <w:sz w:val="18"/>
                  <w:szCs w:val="18"/>
                  <w:color w:val="0000EE"/>
                  <w:w w:val="93"/>
                </w:rPr>
                <w:t>14(a) / 15d</w:t>
              </w:r>
              <w:r>
                <w:rPr>
                  <w:rFonts w:ascii="MS PGothic" w:cs="MS PGothic" w:eastAsia="MS PGothic" w:hAnsi="MS PGothic"/>
                  <w:sz w:val="18"/>
                  <w:szCs w:val="18"/>
                  <w:color w:val="0000EE"/>
                  <w:w w:val="93"/>
                </w:rPr>
                <w:t>‑</w:t>
              </w:r>
              <w:r>
                <w:rPr>
                  <w:rFonts w:ascii="Arial" w:cs="Arial" w:eastAsia="Arial" w:hAnsi="Arial"/>
                  <w:sz w:val="18"/>
                  <w:szCs w:val="18"/>
                  <w:color w:val="0000EE"/>
                  <w:w w:val="93"/>
                </w:rPr>
                <w:t>14(a) Certification of Chief Financial</w:t>
              </w:r>
            </w:hyperlink>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vMerge w:val="restart"/>
          </w:tcPr>
          <w:p>
            <w:pPr>
              <w:jc w:val="center"/>
              <w:ind w:left="10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520" w:type="dxa"/>
            <w:vAlign w:val="bottom"/>
            <w:tcBorders>
              <w:top w:val="single" w:sz="8" w:color="0000EE"/>
              <w:bottom w:val="single" w:sz="8" w:color="0000EE"/>
            </w:tcBorders>
            <w:gridSpan w:val="3"/>
          </w:tcPr>
          <w:p>
            <w:pPr>
              <w:spacing w:after="0" w:line="170" w:lineRule="exact"/>
              <w:rPr>
                <w:rFonts w:ascii="Arial" w:cs="Arial" w:eastAsia="Arial" w:hAnsi="Arial"/>
                <w:sz w:val="18"/>
                <w:szCs w:val="18"/>
                <w:color w:val="0000EE"/>
                <w:w w:val="94"/>
              </w:rPr>
            </w:pPr>
            <w:hyperlink w:anchor="page205">
              <w:r>
                <w:rPr>
                  <w:rFonts w:ascii="Arial" w:cs="Arial" w:eastAsia="Arial" w:hAnsi="Arial"/>
                  <w:sz w:val="18"/>
                  <w:szCs w:val="18"/>
                  <w:color w:val="0000EE"/>
                  <w:w w:val="94"/>
                </w:rPr>
                <w:t>Officer</w:t>
              </w:r>
            </w:hyperlink>
          </w:p>
        </w:tc>
        <w:tc>
          <w:tcPr>
            <w:tcW w:w="3720" w:type="dxa"/>
            <w:vAlign w:val="bottom"/>
            <w:tcBorders>
              <w:top w:val="single" w:sz="8" w:color="0000EE"/>
            </w:tcBorders>
            <w:gridSpan w:val="10"/>
          </w:tcPr>
          <w:p>
            <w:pPr>
              <w:spacing w:after="0"/>
              <w:rPr>
                <w:sz w:val="14"/>
                <w:szCs w:val="14"/>
                <w:color w:val="auto"/>
              </w:rPr>
            </w:pPr>
          </w:p>
        </w:tc>
        <w:tc>
          <w:tcPr>
            <w:tcW w:w="6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388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206">
              <w:r>
                <w:rPr>
                  <w:rFonts w:ascii="Arial" w:cs="Arial" w:eastAsia="Arial" w:hAnsi="Arial"/>
                  <w:sz w:val="18"/>
                  <w:szCs w:val="18"/>
                  <w:color w:val="0000EE"/>
                  <w:w w:val="93"/>
                </w:rPr>
                <w:t>Section 1350 Certification of Chief Executive Officer</w:t>
              </w:r>
            </w:hyperlink>
          </w:p>
        </w:tc>
        <w:tc>
          <w:tcPr>
            <w:tcW w:w="42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jc w:val="center"/>
              <w:ind w:left="10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5"/>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38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207">
              <w:r>
                <w:rPr>
                  <w:rFonts w:ascii="Arial" w:cs="Arial" w:eastAsia="Arial" w:hAnsi="Arial"/>
                  <w:sz w:val="18"/>
                  <w:szCs w:val="18"/>
                  <w:color w:val="0000EE"/>
                  <w:w w:val="93"/>
                </w:rPr>
                <w:t>Section 1350 Certification of Chief Financial Officer</w:t>
              </w:r>
            </w:hyperlink>
          </w:p>
        </w:tc>
        <w:tc>
          <w:tcPr>
            <w:tcW w:w="46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jc w:val="center"/>
              <w:ind w:left="10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430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jc w:val="center"/>
              <w:ind w:left="10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430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jc w:val="center"/>
              <w:ind w:left="10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430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30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80" w:type="dxa"/>
            <w:vAlign w:val="bottom"/>
          </w:tcPr>
          <w:p>
            <w:pPr>
              <w:jc w:val="center"/>
              <w:ind w:left="10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4300" w:type="dxa"/>
            <w:vAlign w:val="bottom"/>
            <w:gridSpan w:val="15"/>
          </w:tcPr>
          <w:p>
            <w:pPr>
              <w:spacing w:after="0"/>
              <w:rPr>
                <w:sz w:val="20"/>
                <w:szCs w:val="20"/>
                <w:color w:val="auto"/>
              </w:rPr>
            </w:pPr>
            <w:r>
              <w:rPr>
                <w:rFonts w:ascii="Arial" w:cs="Arial" w:eastAsia="Arial" w:hAnsi="Arial"/>
                <w:sz w:val="18"/>
                <w:szCs w:val="18"/>
                <w:color w:val="auto"/>
              </w:rPr>
              <w:t>XBRL Extension Definition Linkbase Document</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jc w:val="center"/>
              <w:ind w:left="10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4300" w:type="dxa"/>
            <w:vAlign w:val="bottom"/>
            <w:gridSpan w:val="15"/>
          </w:tcPr>
          <w:p>
            <w:pPr>
              <w:spacing w:after="0"/>
              <w:rPr>
                <w:sz w:val="20"/>
                <w:szCs w:val="20"/>
                <w:color w:val="auto"/>
              </w:rPr>
            </w:pPr>
            <w:r>
              <w:rPr>
                <w:rFonts w:ascii="Arial" w:cs="Arial" w:eastAsia="Arial" w:hAnsi="Arial"/>
                <w:sz w:val="18"/>
                <w:szCs w:val="18"/>
                <w:color w:val="auto"/>
              </w:rPr>
              <w:t>XBRL Taxonomy Label Linkbase Document</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jc w:val="center"/>
              <w:ind w:left="10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430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30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80" w:type="dxa"/>
            <w:vAlign w:val="bottom"/>
          </w:tcPr>
          <w:p>
            <w:pPr>
              <w:jc w:val="center"/>
              <w:ind w:left="10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14408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2" w:lineRule="exact"/>
        <w:rPr>
          <w:sz w:val="20"/>
          <w:szCs w:val="20"/>
          <w:color w:val="auto"/>
        </w:rPr>
      </w:pPr>
    </w:p>
    <w:p>
      <w:pPr>
        <w:ind w:left="320" w:hanging="317"/>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20" w:hanging="317"/>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9" w:lineRule="exact"/>
        <w:rPr>
          <w:sz w:val="20"/>
          <w:szCs w:val="20"/>
          <w:color w:val="auto"/>
        </w:rPr>
      </w:pPr>
    </w:p>
    <w:p>
      <w:pPr>
        <w:ind w:left="320" w:right="279" w:hanging="317"/>
        <w:spacing w:after="0" w:line="261" w:lineRule="auto"/>
        <w:tabs>
          <w:tab w:leader="none" w:pos="392"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Confidential treatments of certain provisions has been granted by the SEC pursuant to Rule 406 under the Securities Act of 1933, as amended</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139" w:name="page140"/>
    <w:bookmarkEnd w:id="1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40" w:name="page141"/>
    <w:bookmarkEnd w:id="1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6000" w:type="dxa"/>
            <w:vAlign w:val="bottom"/>
            <w:gridSpan w:val="2"/>
          </w:tcPr>
          <w:p>
            <w:pPr>
              <w:ind w:left="1580"/>
              <w:spacing w:after="0"/>
              <w:rPr>
                <w:sz w:val="20"/>
                <w:szCs w:val="20"/>
                <w:color w:val="auto"/>
              </w:rPr>
            </w:pPr>
            <w:r>
              <w:rPr>
                <w:rFonts w:ascii="Arial" w:cs="Arial" w:eastAsia="Arial" w:hAnsi="Arial"/>
                <w:sz w:val="18"/>
                <w:szCs w:val="18"/>
                <w:b w:val="1"/>
                <w:bCs w:val="1"/>
                <w:color w:val="auto"/>
              </w:rPr>
              <w:t>KINIKSA PHARMACEUTICALS, LTD.</w:t>
            </w: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Date: March 5, 2020</w:t>
            </w:r>
          </w:p>
        </w:tc>
        <w:tc>
          <w:tcPr>
            <w:tcW w:w="6000" w:type="dxa"/>
            <w:vAlign w:val="bottom"/>
            <w:gridSpan w:val="2"/>
          </w:tcPr>
          <w:p>
            <w:pPr>
              <w:ind w:left="1580"/>
              <w:spacing w:after="0"/>
              <w:rPr>
                <w:sz w:val="20"/>
                <w:szCs w:val="20"/>
                <w:color w:val="auto"/>
              </w:rPr>
            </w:pPr>
            <w:r>
              <w:rPr>
                <w:rFonts w:ascii="Arial" w:cs="Arial" w:eastAsia="Arial" w:hAnsi="Arial"/>
                <w:sz w:val="18"/>
                <w:szCs w:val="18"/>
                <w:color w:val="auto"/>
              </w:rPr>
              <w:t>By:/s/ Sanj K. Patel</w:t>
            </w:r>
          </w:p>
        </w:tc>
      </w:tr>
      <w:tr>
        <w:trPr>
          <w:trHeight w:val="195"/>
        </w:trPr>
        <w:tc>
          <w:tcPr>
            <w:tcW w:w="30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Sanj K. Patel</w:t>
            </w:r>
          </w:p>
        </w:tc>
      </w:tr>
      <w:tr>
        <w:trPr>
          <w:trHeight w:val="216"/>
        </w:trPr>
        <w:tc>
          <w:tcPr>
            <w:tcW w:w="30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7"/>
              </w:rPr>
              <w:t>Chief Executive Officer and Chairman of the Board of</w:t>
            </w:r>
          </w:p>
        </w:tc>
      </w:tr>
      <w:tr>
        <w:trPr>
          <w:trHeight w:val="230"/>
        </w:trPr>
        <w:tc>
          <w:tcPr>
            <w:tcW w:w="3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Directors</w:t>
            </w:r>
          </w:p>
        </w:tc>
      </w:tr>
    </w:tbl>
    <w:p>
      <w:pPr>
        <w:spacing w:after="0" w:line="202" w:lineRule="exact"/>
        <w:rPr>
          <w:sz w:val="20"/>
          <w:szCs w:val="20"/>
          <w:color w:val="auto"/>
        </w:rPr>
      </w:pPr>
    </w:p>
    <w:p>
      <w:pPr>
        <w:ind w:right="700" w:firstLine="441"/>
        <w:spacing w:after="0" w:line="30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60"/>
          </w:cols>
          <w:pgMar w:left="1420" w:top="125" w:right="1419" w:bottom="1440" w:gutter="0" w:footer="0" w:header="0"/>
        </w:sectPr>
      </w:pPr>
    </w:p>
    <w:p>
      <w:pPr>
        <w:spacing w:after="0" w:line="152"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231F20"/>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20154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 Sanj K. Patel</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Sanj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0154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 Chris Heberlig</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Chris Heberlig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0154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Michael R. Megna</w:t>
      </w:r>
    </w:p>
    <w:p>
      <w:pPr>
        <w:spacing w:after="0" w:line="23" w:lineRule="exact"/>
        <w:rPr>
          <w:sz w:val="20"/>
          <w:szCs w:val="20"/>
          <w:color w:val="auto"/>
        </w:rPr>
      </w:pPr>
    </w:p>
    <w:p>
      <w:pPr>
        <w:ind w:right="300" w:firstLine="915"/>
        <w:spacing w:after="0" w:line="305" w:lineRule="auto"/>
        <w:rPr>
          <w:sz w:val="20"/>
          <w:szCs w:val="20"/>
          <w:color w:val="auto"/>
        </w:rPr>
      </w:pPr>
      <w:r>
        <w:rPr>
          <w:rFonts w:ascii="Arial" w:cs="Arial" w:eastAsia="Arial" w:hAnsi="Arial"/>
          <w:sz w:val="18"/>
          <w:szCs w:val="18"/>
          <w:color w:val="auto"/>
        </w:rPr>
        <w:t>Michael R. Megna /s/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20154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0154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Stephen R. Biggar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Stephen R. Biggar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20154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 Richard S. Levy</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Richard S.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0154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Thomas R. Malley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Thomas R. Malley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20154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 Tracey L. McCain</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Tracey L. McCain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0154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231F20"/>
        </w:rPr>
        <w:t>/s/ Kimberly J. Popovits</w:t>
      </w:r>
    </w:p>
    <w:p>
      <w:pPr>
        <w:spacing w:after="0" w:line="23"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231F20"/>
        </w:rPr>
        <w:t>Kimberly J. Popovits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0154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Barry D. Quart</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231F20"/>
        </w:rPr>
        <w:t>Barry D. Quart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0154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231F20"/>
              </w:rPr>
              <w:t>Title</w:t>
            </w:r>
          </w:p>
        </w:tc>
        <w:tc>
          <w:tcPr>
            <w:tcW w:w="100" w:type="dxa"/>
            <w:vAlign w:val="bottom"/>
          </w:tcPr>
          <w:p>
            <w:pPr>
              <w:spacing w:after="0"/>
              <w:rPr>
                <w:sz w:val="14"/>
                <w:szCs w:val="14"/>
                <w:color w:val="auto"/>
              </w:rPr>
            </w:pPr>
          </w:p>
        </w:tc>
        <w:tc>
          <w:tcPr>
            <w:tcW w:w="252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231F20"/>
              </w:rPr>
              <w:t>Date</w:t>
            </w:r>
          </w:p>
        </w:tc>
      </w:tr>
      <w:tr>
        <w:trPr>
          <w:trHeight w:val="330"/>
        </w:trPr>
        <w:tc>
          <w:tcPr>
            <w:tcW w:w="3260" w:type="dxa"/>
            <w:vAlign w:val="bottom"/>
            <w:gridSpan w:val="2"/>
          </w:tcPr>
          <w:p>
            <w:pPr>
              <w:spacing w:after="0"/>
              <w:rPr>
                <w:sz w:val="20"/>
                <w:szCs w:val="20"/>
                <w:color w:val="auto"/>
              </w:rPr>
            </w:pPr>
            <w:r>
              <w:rPr>
                <w:rFonts w:ascii="Arial" w:cs="Arial" w:eastAsia="Arial" w:hAnsi="Arial"/>
                <w:sz w:val="18"/>
                <w:szCs w:val="18"/>
                <w:color w:val="auto"/>
              </w:rPr>
              <w:t>Chief Executive Officer and Chairman of</w:t>
            </w:r>
          </w:p>
        </w:tc>
        <w:tc>
          <w:tcPr>
            <w:tcW w:w="2520" w:type="dxa"/>
            <w:vAlign w:val="bottom"/>
          </w:tcPr>
          <w:p>
            <w:pPr>
              <w:spacing w:after="0"/>
              <w:rPr>
                <w:sz w:val="24"/>
                <w:szCs w:val="24"/>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w w:val="96"/>
              </w:rPr>
              <w:t>the Board of Directors (principal executive</w:t>
            </w:r>
          </w:p>
        </w:tc>
        <w:tc>
          <w:tcPr>
            <w:tcW w:w="2520" w:type="dxa"/>
            <w:vAlign w:val="bottom"/>
          </w:tcPr>
          <w:p>
            <w:pPr>
              <w:spacing w:after="0"/>
              <w:rPr>
                <w:sz w:val="18"/>
                <w:szCs w:val="18"/>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2520" w:type="dxa"/>
            <w:vAlign w:val="bottom"/>
          </w:tcPr>
          <w:p>
            <w:pPr>
              <w:ind w:left="1480"/>
              <w:spacing w:after="0"/>
              <w:rPr>
                <w:sz w:val="20"/>
                <w:szCs w:val="20"/>
                <w:color w:val="auto"/>
              </w:rPr>
            </w:pPr>
            <w:r>
              <w:rPr>
                <w:rFonts w:ascii="Arial" w:cs="Arial" w:eastAsia="Arial" w:hAnsi="Arial"/>
                <w:sz w:val="18"/>
                <w:szCs w:val="18"/>
                <w:color w:val="auto"/>
                <w:w w:val="88"/>
              </w:rPr>
              <w:t>March 5, 2020</w:t>
            </w:r>
          </w:p>
        </w:tc>
      </w:tr>
      <w:tr>
        <w:trPr>
          <w:trHeight w:val="553"/>
        </w:trPr>
        <w:tc>
          <w:tcPr>
            <w:tcW w:w="3260" w:type="dxa"/>
            <w:vAlign w:val="bottom"/>
            <w:gridSpan w:val="2"/>
          </w:tcPr>
          <w:p>
            <w:pPr>
              <w:spacing w:after="0"/>
              <w:rPr>
                <w:sz w:val="20"/>
                <w:szCs w:val="20"/>
                <w:color w:val="auto"/>
              </w:rPr>
            </w:pPr>
            <w:r>
              <w:rPr>
                <w:rFonts w:ascii="Arial" w:cs="Arial" w:eastAsia="Arial" w:hAnsi="Arial"/>
                <w:sz w:val="18"/>
                <w:szCs w:val="18"/>
                <w:color w:val="231F20"/>
                <w:w w:val="99"/>
              </w:rPr>
              <w:t>Chief Financial Officer (principal financial</w:t>
            </w:r>
          </w:p>
        </w:tc>
        <w:tc>
          <w:tcPr>
            <w:tcW w:w="2520" w:type="dxa"/>
            <w:vAlign w:val="bottom"/>
          </w:tcPr>
          <w:p>
            <w:pPr>
              <w:spacing w:after="0"/>
              <w:rPr>
                <w:sz w:val="24"/>
                <w:szCs w:val="24"/>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231F20"/>
              </w:rPr>
              <w:t>officer)</w:t>
            </w:r>
          </w:p>
        </w:tc>
        <w:tc>
          <w:tcPr>
            <w:tcW w:w="2520" w:type="dxa"/>
            <w:vAlign w:val="bottom"/>
          </w:tcPr>
          <w:p>
            <w:pPr>
              <w:ind w:left="1480"/>
              <w:spacing w:after="0"/>
              <w:rPr>
                <w:sz w:val="20"/>
                <w:szCs w:val="20"/>
                <w:color w:val="auto"/>
              </w:rPr>
            </w:pPr>
            <w:r>
              <w:rPr>
                <w:rFonts w:ascii="Arial" w:cs="Arial" w:eastAsia="Arial" w:hAnsi="Arial"/>
                <w:sz w:val="18"/>
                <w:szCs w:val="18"/>
                <w:color w:val="auto"/>
                <w:w w:val="88"/>
              </w:rPr>
              <w:t>March 5, 2020</w:t>
            </w:r>
          </w:p>
        </w:tc>
      </w:tr>
      <w:tr>
        <w:trPr>
          <w:trHeight w:val="647"/>
        </w:trPr>
        <w:tc>
          <w:tcPr>
            <w:tcW w:w="3260" w:type="dxa"/>
            <w:vAlign w:val="bottom"/>
            <w:gridSpan w:val="2"/>
          </w:tcPr>
          <w:p>
            <w:pPr>
              <w:spacing w:after="0"/>
              <w:rPr>
                <w:sz w:val="20"/>
                <w:szCs w:val="20"/>
                <w:color w:val="auto"/>
              </w:rPr>
            </w:pPr>
            <w:r>
              <w:rPr>
                <w:rFonts w:ascii="Arial" w:cs="Arial" w:eastAsia="Arial" w:hAnsi="Arial"/>
                <w:sz w:val="18"/>
                <w:szCs w:val="18"/>
                <w:color w:val="231F20"/>
                <w:w w:val="97"/>
              </w:rPr>
              <w:t>VP, Finance and Chief Accounting Officer</w:t>
            </w:r>
          </w:p>
        </w:tc>
        <w:tc>
          <w:tcPr>
            <w:tcW w:w="2520" w:type="dxa"/>
            <w:vAlign w:val="bottom"/>
          </w:tcPr>
          <w:p>
            <w:pPr>
              <w:spacing w:after="0"/>
              <w:rPr>
                <w:sz w:val="24"/>
                <w:szCs w:val="24"/>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231F20"/>
              </w:rPr>
              <w:t>(principal accounting officer)</w:t>
            </w:r>
          </w:p>
        </w:tc>
        <w:tc>
          <w:tcPr>
            <w:tcW w:w="2520" w:type="dxa"/>
            <w:vAlign w:val="bottom"/>
          </w:tcPr>
          <w:p>
            <w:pPr>
              <w:ind w:left="1480"/>
              <w:spacing w:after="0"/>
              <w:rPr>
                <w:sz w:val="20"/>
                <w:szCs w:val="20"/>
                <w:color w:val="auto"/>
              </w:rPr>
            </w:pPr>
            <w:r>
              <w:rPr>
                <w:rFonts w:ascii="Arial" w:cs="Arial" w:eastAsia="Arial" w:hAnsi="Arial"/>
                <w:sz w:val="18"/>
                <w:szCs w:val="18"/>
                <w:color w:val="auto"/>
                <w:w w:val="88"/>
              </w:rPr>
              <w:t>March 5, 2020</w:t>
            </w:r>
          </w:p>
        </w:tc>
      </w:tr>
      <w:tr>
        <w:trPr>
          <w:trHeight w:val="527"/>
        </w:trPr>
        <w:tc>
          <w:tcPr>
            <w:tcW w:w="3260" w:type="dxa"/>
            <w:vAlign w:val="bottom"/>
            <w:gridSpan w:val="2"/>
          </w:tcPr>
          <w:p>
            <w:pPr>
              <w:spacing w:after="0"/>
              <w:rPr>
                <w:sz w:val="20"/>
                <w:szCs w:val="20"/>
                <w:color w:val="auto"/>
              </w:rPr>
            </w:pPr>
            <w:r>
              <w:rPr>
                <w:rFonts w:ascii="Arial" w:cs="Arial" w:eastAsia="Arial" w:hAnsi="Arial"/>
                <w:sz w:val="18"/>
                <w:szCs w:val="18"/>
                <w:color w:val="231F20"/>
              </w:rPr>
              <w:t>Lead Independent Director</w:t>
            </w:r>
          </w:p>
        </w:tc>
        <w:tc>
          <w:tcPr>
            <w:tcW w:w="2520" w:type="dxa"/>
            <w:vAlign w:val="bottom"/>
          </w:tcPr>
          <w:p>
            <w:pPr>
              <w:ind w:left="1480"/>
              <w:spacing w:after="0"/>
              <w:rPr>
                <w:sz w:val="20"/>
                <w:szCs w:val="20"/>
                <w:color w:val="auto"/>
              </w:rPr>
            </w:pPr>
            <w:r>
              <w:rPr>
                <w:rFonts w:ascii="Arial" w:cs="Arial" w:eastAsia="Arial" w:hAnsi="Arial"/>
                <w:sz w:val="18"/>
                <w:szCs w:val="18"/>
                <w:color w:val="auto"/>
                <w:w w:val="88"/>
              </w:rPr>
              <w:t>March 5, 2020</w:t>
            </w:r>
          </w:p>
        </w:tc>
      </w:tr>
      <w:tr>
        <w:trPr>
          <w:trHeight w:val="567"/>
        </w:trPr>
        <w:tc>
          <w:tcPr>
            <w:tcW w:w="326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2520" w:type="dxa"/>
            <w:vAlign w:val="bottom"/>
          </w:tcPr>
          <w:p>
            <w:pPr>
              <w:ind w:left="1480"/>
              <w:spacing w:after="0"/>
              <w:rPr>
                <w:sz w:val="20"/>
                <w:szCs w:val="20"/>
                <w:color w:val="auto"/>
              </w:rPr>
            </w:pPr>
            <w:r>
              <w:rPr>
                <w:rFonts w:ascii="Arial" w:cs="Arial" w:eastAsia="Arial" w:hAnsi="Arial"/>
                <w:sz w:val="18"/>
                <w:szCs w:val="18"/>
                <w:color w:val="auto"/>
                <w:w w:val="88"/>
              </w:rPr>
              <w:t>March 5, 2020</w:t>
            </w:r>
          </w:p>
        </w:tc>
      </w:tr>
      <w:tr>
        <w:trPr>
          <w:trHeight w:val="567"/>
        </w:trPr>
        <w:tc>
          <w:tcPr>
            <w:tcW w:w="3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480"/>
              <w:spacing w:after="0"/>
              <w:rPr>
                <w:sz w:val="20"/>
                <w:szCs w:val="20"/>
                <w:color w:val="auto"/>
              </w:rPr>
            </w:pPr>
            <w:r>
              <w:rPr>
                <w:rFonts w:ascii="Arial" w:cs="Arial" w:eastAsia="Arial" w:hAnsi="Arial"/>
                <w:sz w:val="18"/>
                <w:szCs w:val="18"/>
                <w:color w:val="auto"/>
                <w:w w:val="88"/>
              </w:rPr>
              <w:t>March 5, 2020</w:t>
            </w:r>
          </w:p>
        </w:tc>
      </w:tr>
      <w:tr>
        <w:trPr>
          <w:trHeight w:val="567"/>
        </w:trPr>
        <w:tc>
          <w:tcPr>
            <w:tcW w:w="3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480"/>
              <w:spacing w:after="0"/>
              <w:rPr>
                <w:sz w:val="20"/>
                <w:szCs w:val="20"/>
                <w:color w:val="auto"/>
              </w:rPr>
            </w:pPr>
            <w:r>
              <w:rPr>
                <w:rFonts w:ascii="Arial" w:cs="Arial" w:eastAsia="Arial" w:hAnsi="Arial"/>
                <w:sz w:val="18"/>
                <w:szCs w:val="18"/>
                <w:color w:val="auto"/>
                <w:w w:val="88"/>
              </w:rPr>
              <w:t>March 5, 2020</w:t>
            </w:r>
          </w:p>
        </w:tc>
      </w:tr>
      <w:tr>
        <w:trPr>
          <w:trHeight w:val="567"/>
        </w:trPr>
        <w:tc>
          <w:tcPr>
            <w:tcW w:w="326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2520" w:type="dxa"/>
            <w:vAlign w:val="bottom"/>
          </w:tcPr>
          <w:p>
            <w:pPr>
              <w:ind w:left="1480"/>
              <w:spacing w:after="0"/>
              <w:rPr>
                <w:sz w:val="20"/>
                <w:szCs w:val="20"/>
                <w:color w:val="auto"/>
              </w:rPr>
            </w:pPr>
            <w:r>
              <w:rPr>
                <w:rFonts w:ascii="Arial" w:cs="Arial" w:eastAsia="Arial" w:hAnsi="Arial"/>
                <w:sz w:val="18"/>
                <w:szCs w:val="18"/>
                <w:color w:val="auto"/>
                <w:w w:val="88"/>
              </w:rPr>
              <w:t>March 5, 2020</w:t>
            </w:r>
          </w:p>
        </w:tc>
      </w:tr>
      <w:tr>
        <w:trPr>
          <w:trHeight w:val="567"/>
        </w:trPr>
        <w:tc>
          <w:tcPr>
            <w:tcW w:w="326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2520" w:type="dxa"/>
            <w:vAlign w:val="bottom"/>
          </w:tcPr>
          <w:p>
            <w:pPr>
              <w:ind w:left="1480"/>
              <w:spacing w:after="0"/>
              <w:rPr>
                <w:sz w:val="20"/>
                <w:szCs w:val="20"/>
                <w:color w:val="auto"/>
              </w:rPr>
            </w:pPr>
            <w:r>
              <w:rPr>
                <w:rFonts w:ascii="Arial" w:cs="Arial" w:eastAsia="Arial" w:hAnsi="Arial"/>
                <w:sz w:val="18"/>
                <w:szCs w:val="18"/>
                <w:color w:val="auto"/>
                <w:w w:val="88"/>
              </w:rPr>
              <w:t>March 5, 2020</w:t>
            </w:r>
          </w:p>
        </w:tc>
      </w:tr>
      <w:tr>
        <w:trPr>
          <w:trHeight w:val="567"/>
        </w:trPr>
        <w:tc>
          <w:tcPr>
            <w:tcW w:w="326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2520" w:type="dxa"/>
            <w:vAlign w:val="bottom"/>
          </w:tcPr>
          <w:p>
            <w:pPr>
              <w:ind w:left="1480"/>
              <w:spacing w:after="0"/>
              <w:rPr>
                <w:sz w:val="20"/>
                <w:szCs w:val="20"/>
                <w:color w:val="auto"/>
              </w:rPr>
            </w:pPr>
            <w:r>
              <w:rPr>
                <w:rFonts w:ascii="Arial" w:cs="Arial" w:eastAsia="Arial" w:hAnsi="Arial"/>
                <w:sz w:val="18"/>
                <w:szCs w:val="18"/>
                <w:color w:val="auto"/>
                <w:w w:val="88"/>
              </w:rPr>
              <w:t>March 5, 2020</w:t>
            </w:r>
          </w:p>
        </w:tc>
      </w:tr>
    </w:tbl>
    <w:p>
      <w:pPr>
        <w:spacing w:after="0" w:line="406" w:lineRule="exact"/>
        <w:rPr>
          <w:sz w:val="20"/>
          <w:szCs w:val="20"/>
          <w:color w:val="auto"/>
        </w:rPr>
      </w:pPr>
    </w:p>
    <w:p>
      <w:pPr>
        <w:sectPr>
          <w:pgSz w:w="11900" w:h="16838" w:orient="portrait"/>
          <w:cols w:equalWidth="0" w:num="2">
            <w:col w:w="2560" w:space="720"/>
            <w:col w:w="5780"/>
          </w:cols>
          <w:pgMar w:left="1420" w:top="125"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141" w:name="page142"/>
    <w:bookmarkEnd w:id="1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gridSpan w:val="7"/>
            <w:vMerge w:val="restart"/>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Report of Independent Registered Public Accounting Firm</w:t>
              </w:r>
            </w:hyperlink>
          </w:p>
        </w:tc>
        <w:tc>
          <w:tcPr>
            <w:tcW w:w="40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8680" w:type="dxa"/>
            <w:vAlign w:val="bottom"/>
            <w:gridSpan w:val="7"/>
            <w:vMerge w:val="continue"/>
          </w:tcPr>
          <w:p>
            <w:pPr>
              <w:spacing w:after="0"/>
              <w:rPr>
                <w:sz w:val="14"/>
                <w:szCs w:val="14"/>
                <w:color w:val="auto"/>
              </w:rPr>
            </w:pPr>
          </w:p>
        </w:tc>
        <w:tc>
          <w:tcPr>
            <w:tcW w:w="380" w:type="dxa"/>
            <w:vAlign w:val="bottom"/>
            <w:tcBorders>
              <w:top w:val="single" w:sz="8" w:color="auto"/>
            </w:tcBorders>
          </w:tcPr>
          <w:p>
            <w:pPr>
              <w:ind w:left="14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44">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3"/>
          </w:tcPr>
          <w:p>
            <w:pPr>
              <w:spacing w:after="0"/>
              <w:rPr>
                <w:sz w:val="17"/>
                <w:szCs w:val="17"/>
                <w:color w:val="auto"/>
              </w:rPr>
            </w:pPr>
          </w:p>
        </w:tc>
        <w:tc>
          <w:tcPr>
            <w:tcW w:w="4460" w:type="dxa"/>
            <w:vAlign w:val="bottom"/>
            <w:gridSpan w:val="3"/>
          </w:tcPr>
          <w:p>
            <w:pPr>
              <w:spacing w:after="0"/>
              <w:rPr>
                <w:sz w:val="17"/>
                <w:szCs w:val="17"/>
                <w:color w:val="auto"/>
              </w:rPr>
            </w:pPr>
          </w:p>
        </w:tc>
        <w:tc>
          <w:tcPr>
            <w:tcW w:w="40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8680" w:type="dxa"/>
            <w:vAlign w:val="bottom"/>
            <w:gridSpan w:val="7"/>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Consolidated Statements of Operations and Comprehensive Loss</w:t>
              </w:r>
            </w:hyperlink>
          </w:p>
        </w:tc>
        <w:tc>
          <w:tcPr>
            <w:tcW w:w="40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46">
              <w:r>
                <w:rPr>
                  <w:rFonts w:ascii="Arial" w:cs="Arial" w:eastAsia="Arial" w:hAnsi="Arial"/>
                  <w:sz w:val="18"/>
                  <w:szCs w:val="18"/>
                  <w:color w:val="0000EE"/>
                  <w:w w:val="93"/>
                </w:rPr>
                <w:t>Consolidated Statements of Convertible Preferred Shares and Shareholders’ Equity (Deficit)</w:t>
              </w:r>
            </w:hyperlink>
          </w:p>
        </w:tc>
        <w:tc>
          <w:tcPr>
            <w:tcW w:w="1840" w:type="dxa"/>
            <w:vAlign w:val="bottom"/>
          </w:tcPr>
          <w:p>
            <w:pPr>
              <w:spacing w:after="0"/>
              <w:rPr>
                <w:sz w:val="17"/>
                <w:szCs w:val="17"/>
                <w:color w:val="auto"/>
              </w:rPr>
            </w:pPr>
          </w:p>
        </w:tc>
        <w:tc>
          <w:tcPr>
            <w:tcW w:w="40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47">
              <w:r>
                <w:rPr>
                  <w:rFonts w:ascii="Arial" w:cs="Arial" w:eastAsia="Arial" w:hAnsi="Arial"/>
                  <w:sz w:val="18"/>
                  <w:szCs w:val="18"/>
                  <w:color w:val="0000EE"/>
                  <w:w w:val="89"/>
                </w:rPr>
                <w:t>Consolidated Statements of Cash Flows</w:t>
              </w:r>
            </w:hyperlink>
          </w:p>
        </w:tc>
        <w:tc>
          <w:tcPr>
            <w:tcW w:w="5800" w:type="dxa"/>
            <w:vAlign w:val="bottom"/>
            <w:gridSpan w:val="5"/>
          </w:tcPr>
          <w:p>
            <w:pPr>
              <w:spacing w:after="0"/>
              <w:rPr>
                <w:sz w:val="17"/>
                <w:szCs w:val="17"/>
                <w:color w:val="auto"/>
              </w:rPr>
            </w:pPr>
          </w:p>
        </w:tc>
        <w:tc>
          <w:tcPr>
            <w:tcW w:w="40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48">
              <w:r>
                <w:rPr>
                  <w:rFonts w:ascii="Arial" w:cs="Arial" w:eastAsia="Arial" w:hAnsi="Arial"/>
                  <w:sz w:val="18"/>
                  <w:szCs w:val="18"/>
                  <w:color w:val="0000EE"/>
                  <w:w w:val="89"/>
                </w:rPr>
                <w:t>Notes to Consolidated Financial Statements</w:t>
              </w:r>
            </w:hyperlink>
          </w:p>
        </w:tc>
        <w:tc>
          <w:tcPr>
            <w:tcW w:w="5520" w:type="dxa"/>
            <w:vAlign w:val="bottom"/>
            <w:gridSpan w:val="4"/>
          </w:tcPr>
          <w:p>
            <w:pPr>
              <w:spacing w:after="0"/>
              <w:rPr>
                <w:sz w:val="17"/>
                <w:szCs w:val="17"/>
                <w:color w:val="auto"/>
              </w:rPr>
            </w:pPr>
          </w:p>
        </w:tc>
        <w:tc>
          <w:tcPr>
            <w:tcW w:w="40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2" w:name="page143"/>
    <w:bookmarkEnd w:id="1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Kiniksa Pharmaceuticals, Ltd.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9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have audited the accompanying consolidated balance sheets of Kiniksa Pharmaceuticals, Ltd. and its subsidiaries (the “Company”) as of December 31, 2019 and 2018, and the related consolidated statements of operations and comprehensive loss, of convertible preferred shares and shareholders'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5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will require additional financing to fund future operations. Management’s plans in regard to this matter are described in Note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43" w:name="page144"/>
    <w:bookmarkEnd w:id="1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KINIKSA PHARMACEUTICALS, LTD.</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6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46,928</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186,452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235,328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Pr>
          <w:p>
            <w:pPr>
              <w:ind w:left="30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241,627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313,750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1,927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6"/>
                <w:szCs w:val="16"/>
                <w:color w:val="auto"/>
              </w:rPr>
              <w:t>Deferred offering costs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254,534</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321,965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6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5,693</w:t>
            </w:r>
          </w:p>
        </w:tc>
        <w:tc>
          <w:tcPr>
            <w:tcW w:w="200" w:type="dxa"/>
            <w:vAlign w:val="bottom"/>
          </w:tcPr>
          <w:p>
            <w:pPr>
              <w:spacing w:after="0"/>
              <w:rPr>
                <w:sz w:val="17"/>
                <w:szCs w:val="17"/>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6"/>
                <w:szCs w:val="16"/>
                <w:color w:val="auto"/>
              </w:rPr>
              <w:t>Accrued milestones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6"/>
                <w:szCs w:val="16"/>
                <w:color w:val="auto"/>
              </w:rPr>
              <w:t>Noncurrent liabilities: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Noncurrent operating lease liabilities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29,111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42,698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60" w:type="dxa"/>
            <w:vAlign w:val="bottom"/>
          </w:tcPr>
          <w:p>
            <w:pPr>
              <w:spacing w:after="0"/>
              <w:rPr>
                <w:sz w:val="20"/>
                <w:szCs w:val="20"/>
                <w:color w:val="auto"/>
              </w:rPr>
            </w:pPr>
            <w:r>
              <w:rPr>
                <w:rFonts w:ascii="Arial" w:cs="Arial" w:eastAsia="Arial" w:hAnsi="Arial"/>
                <w:sz w:val="16"/>
                <w:szCs w:val="16"/>
                <w:color w:val="auto"/>
              </w:rPr>
              <w:t>Commitments and contingencies (Note 13)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tcPr>
          <w:p>
            <w:pPr>
              <w:ind w:left="200"/>
              <w:spacing w:after="0"/>
              <w:rPr>
                <w:sz w:val="20"/>
                <w:szCs w:val="20"/>
                <w:color w:val="auto"/>
              </w:rPr>
            </w:pPr>
            <w:r>
              <w:rPr>
                <w:rFonts w:ascii="Arial" w:cs="Arial" w:eastAsia="Arial" w:hAnsi="Arial"/>
                <w:sz w:val="16"/>
                <w:szCs w:val="16"/>
                <w:color w:val="auto"/>
                <w:w w:val="93"/>
              </w:rPr>
              <w:t>Class A common shares, par value of $0.000273235 per share; 19,245,201 shares and 15,797,220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6"/>
                <w:szCs w:val="16"/>
                <w:color w:val="auto"/>
                <w:w w:val="97"/>
              </w:rPr>
              <w:t>shares issued and outstanding as of December 31, 2019 and December 31, 2018, respectively</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9"/>
              </w:rPr>
              <w:t>Class B common shares, par value of $0.000273235 per share; 4,638,855 shares issued and</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outstanding as of December 31, 2019 and December 31, 2018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tcPr>
          <w:p>
            <w:pPr>
              <w:ind w:left="200"/>
              <w:spacing w:after="0"/>
              <w:rPr>
                <w:sz w:val="20"/>
                <w:szCs w:val="20"/>
                <w:color w:val="auto"/>
              </w:rPr>
            </w:pPr>
            <w:r>
              <w:rPr>
                <w:rFonts w:ascii="Arial" w:cs="Arial" w:eastAsia="Arial" w:hAnsi="Arial"/>
                <w:sz w:val="16"/>
                <w:szCs w:val="16"/>
                <w:color w:val="auto"/>
                <w:w w:val="93"/>
              </w:rPr>
              <w:t>Class A1 common shares, $0.000273235 par value; 14,995,954 and 12,995,954 shares issued and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6"/>
                <w:szCs w:val="16"/>
                <w:color w:val="auto"/>
              </w:rPr>
              <w:t>outstanding as of December 31, 2019 and December 31, 2018, respectively</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1"/>
              </w:rPr>
              <w:t>Class B1 common shares, $0.000273235 par value; 16,057,618 shares issued and outstanding as of</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December 31, 2019 and December 31, 2018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581,467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473,483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(356,092)</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(194,225)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shareholders’ equity</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225,423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00"/>
              <w:spacing w:after="0"/>
              <w:rPr>
                <w:sz w:val="20"/>
                <w:szCs w:val="20"/>
                <w:color w:val="auto"/>
              </w:rPr>
            </w:pPr>
            <w:r>
              <w:rPr>
                <w:rFonts w:ascii="Arial" w:cs="Arial" w:eastAsia="Arial" w:hAnsi="Arial"/>
                <w:sz w:val="16"/>
                <w:szCs w:val="16"/>
                <w:color w:val="auto"/>
              </w:rPr>
              <w:t>Total liabilities and shareholders’ equity</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254,534</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321,965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4" w:name="page145"/>
    <w:bookmarkEnd w:id="1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KINIKSA PHARMACEUTICALS,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p>
      <w:pPr>
        <w:jc w:val="right"/>
        <w:ind w:right="720"/>
        <w:spacing w:after="0"/>
        <w:rPr>
          <w:sz w:val="20"/>
          <w:szCs w:val="20"/>
          <w:color w:val="auto"/>
        </w:rPr>
      </w:pPr>
      <w:r>
        <w:rPr>
          <w:rFonts w:ascii="Arial" w:cs="Arial" w:eastAsia="Arial" w:hAnsi="Arial"/>
          <w:sz w:val="14"/>
          <w:szCs w:val="14"/>
          <w:b w:val="1"/>
          <w:bCs w:val="1"/>
          <w:color w:val="auto"/>
        </w:rPr>
        <w:t>Years Ended</w:t>
      </w:r>
    </w:p>
    <w:p>
      <w:pPr>
        <w:jc w:val="right"/>
        <w:ind w:right="7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135,001</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86,597</w:t>
            </w: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21,563</w:t>
            </w:r>
          </w:p>
        </w:tc>
      </w:tr>
      <w:tr>
        <w:trPr>
          <w:trHeight w:val="210"/>
        </w:trPr>
        <w:tc>
          <w:tcPr>
            <w:tcW w:w="66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169,963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108,160</w:t>
            </w: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(169,963)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(108,160)</w:t>
            </w:r>
          </w:p>
        </w:tc>
      </w:tr>
      <w:tr>
        <w:trPr>
          <w:trHeight w:val="216"/>
        </w:trPr>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w:t>
            </w: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for income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(163,914)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(103,441)</w:t>
            </w:r>
          </w:p>
        </w:tc>
      </w:tr>
      <w:tr>
        <w:trPr>
          <w:trHeight w:val="216"/>
        </w:trPr>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Benefit for income taxes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(161,867)</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(103,227)</w:t>
            </w:r>
          </w:p>
        </w:tc>
      </w:tr>
      <w:tr>
        <w:trPr>
          <w:trHeight w:val="210"/>
        </w:trPr>
        <w:tc>
          <w:tcPr>
            <w:tcW w:w="66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loss per share attributable to common shareholders—basic and diluted</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(3.49)</w:t>
            </w:r>
          </w:p>
        </w:tc>
      </w:tr>
      <w:tr>
        <w:trPr>
          <w:trHeight w:val="236"/>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54,049,477</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29,547,427</w:t>
            </w:r>
          </w:p>
        </w:tc>
      </w:tr>
      <w:tr>
        <w:trPr>
          <w:trHeight w:val="203"/>
        </w:trPr>
        <w:tc>
          <w:tcPr>
            <w:tcW w:w="6660" w:type="dxa"/>
            <w:vAlign w:val="bottom"/>
          </w:tcPr>
          <w:p>
            <w:pPr>
              <w:spacing w:after="0" w:line="203" w:lineRule="exact"/>
              <w:rPr>
                <w:sz w:val="20"/>
                <w:szCs w:val="20"/>
                <w:color w:val="auto"/>
              </w:rPr>
            </w:pPr>
            <w:r>
              <w:rPr>
                <w:rFonts w:ascii="Arial" w:cs="Arial" w:eastAsia="Arial" w:hAnsi="Arial"/>
                <w:sz w:val="18"/>
                <w:szCs w:val="18"/>
                <w:color w:val="auto"/>
              </w:rPr>
              <w:t>Comprehensive loss: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(161,867)</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(103,227)</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2"/>
        </w:trPr>
        <w:tc>
          <w:tcPr>
            <w:tcW w:w="66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Unrealized gain (loss) on short-term investments and currency translation adjustments,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of tax</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income (loss)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17"/>
        </w:trPr>
        <w:tc>
          <w:tcPr>
            <w:tcW w:w="6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loss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(161,830)</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(103,231)</w:t>
            </w:r>
          </w:p>
        </w:tc>
      </w:tr>
    </w:tbl>
    <w:p>
      <w:pPr>
        <w:spacing w:after="0" w:line="20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5" w:name="page146"/>
    <w:bookmarkEnd w:id="1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KINIKSA PHARMACEUTICALS,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SHARES AND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240" w:type="dxa"/>
            <w:vAlign w:val="bottom"/>
          </w:tcPr>
          <w:p>
            <w:pPr>
              <w:spacing w:after="0"/>
              <w:rPr>
                <w:sz w:val="3"/>
                <w:szCs w:val="3"/>
                <w:color w:val="auto"/>
              </w:rPr>
            </w:pPr>
          </w:p>
        </w:tc>
        <w:tc>
          <w:tcPr>
            <w:tcW w:w="188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92"/>
              </w:rPr>
              <w:t>Convertible Preferred Shares</w:t>
            </w:r>
          </w:p>
        </w:tc>
        <w:tc>
          <w:tcPr>
            <w:tcW w:w="20" w:type="dxa"/>
            <w:vAlign w:val="bottom"/>
          </w:tcPr>
          <w:p>
            <w:pPr>
              <w:spacing w:after="0"/>
              <w:rPr>
                <w:sz w:val="3"/>
                <w:szCs w:val="3"/>
                <w:color w:val="auto"/>
              </w:rPr>
            </w:pPr>
          </w:p>
        </w:tc>
        <w:tc>
          <w:tcPr>
            <w:tcW w:w="1320" w:type="dxa"/>
            <w:vAlign w:val="bottom"/>
            <w:gridSpan w:val="3"/>
            <w:vMerge w:val="restart"/>
          </w:tcPr>
          <w:p>
            <w:pPr>
              <w:jc w:val="center"/>
              <w:ind w:left="188"/>
              <w:spacing w:after="0"/>
              <w:rPr>
                <w:sz w:val="20"/>
                <w:szCs w:val="20"/>
                <w:color w:val="auto"/>
              </w:rPr>
            </w:pPr>
            <w:r>
              <w:rPr>
                <w:rFonts w:ascii="Arial" w:cs="Arial" w:eastAsia="Arial" w:hAnsi="Arial"/>
                <w:sz w:val="14"/>
                <w:szCs w:val="14"/>
                <w:b w:val="1"/>
                <w:bCs w:val="1"/>
                <w:color w:val="auto"/>
                <w:w w:val="91"/>
              </w:rPr>
              <w:t>Common Shares</w:t>
            </w: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3"/>
                <w:szCs w:val="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26"/>
        </w:trPr>
        <w:tc>
          <w:tcPr>
            <w:tcW w:w="2240" w:type="dxa"/>
            <w:vAlign w:val="bottom"/>
          </w:tcPr>
          <w:p>
            <w:pPr>
              <w:spacing w:after="0"/>
              <w:rPr>
                <w:sz w:val="10"/>
                <w:szCs w:val="10"/>
                <w:color w:val="auto"/>
              </w:rPr>
            </w:pPr>
          </w:p>
        </w:tc>
        <w:tc>
          <w:tcPr>
            <w:tcW w:w="188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88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2"/>
              </w:rPr>
              <w:t>(Series A, B and C)</w:t>
            </w:r>
          </w:p>
        </w:tc>
        <w:tc>
          <w:tcPr>
            <w:tcW w:w="20" w:type="dxa"/>
            <w:vAlign w:val="bottom"/>
            <w:shd w:val="clear" w:color="auto" w:fill="000000"/>
          </w:tcPr>
          <w:p>
            <w:pPr>
              <w:spacing w:after="0"/>
              <w:rPr>
                <w:sz w:val="12"/>
                <w:szCs w:val="12"/>
                <w:color w:val="auto"/>
              </w:rPr>
            </w:pPr>
          </w:p>
        </w:tc>
        <w:tc>
          <w:tcPr>
            <w:tcW w:w="16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1"/>
              </w:rPr>
              <w:t>(Class A, B, A1 and B1)</w:t>
            </w:r>
          </w:p>
        </w:tc>
        <w:tc>
          <w:tcPr>
            <w:tcW w:w="8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Shareholders'</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1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restart"/>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06"/>
        </w:trPr>
        <w:tc>
          <w:tcPr>
            <w:tcW w:w="2240" w:type="dxa"/>
            <w:vAlign w:val="bottom"/>
          </w:tcPr>
          <w:p>
            <w:pPr>
              <w:spacing w:after="0"/>
              <w:rPr>
                <w:sz w:val="9"/>
                <w:szCs w:val="9"/>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9"/>
                <w:szCs w:val="9"/>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shd w:val="clear" w:color="auto" w:fill="000000"/>
          </w:tcPr>
          <w:p>
            <w:pPr>
              <w:spacing w:after="0"/>
              <w:rPr>
                <w:sz w:val="9"/>
                <w:szCs w:val="9"/>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9"/>
                <w:szCs w:val="9"/>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Capital</w:t>
            </w:r>
          </w:p>
        </w:tc>
        <w:tc>
          <w:tcPr>
            <w:tcW w:w="11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9"/>
                <w:szCs w:val="9"/>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42"/>
        </w:trPr>
        <w:tc>
          <w:tcPr>
            <w:tcW w:w="2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December 31, 2017</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22,885,492</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119,770</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760" w:type="dxa"/>
            <w:vAlign w:val="bottom"/>
            <w:tcBorders>
              <w:top w:val="single" w:sz="8" w:color="auto"/>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4,288,329</w:t>
            </w: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1,289</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(90,998)</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(89,708)</w:t>
            </w:r>
          </w:p>
        </w:tc>
        <w:tc>
          <w:tcPr>
            <w:tcW w:w="0" w:type="dxa"/>
            <w:vAlign w:val="bottom"/>
          </w:tcPr>
          <w:p>
            <w:pPr>
              <w:spacing w:after="0"/>
              <w:rPr>
                <w:sz w:val="1"/>
                <w:szCs w:val="1"/>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Issuance of Series C convertible</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preferred shares, net of issuance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spacing w:after="0"/>
              <w:rPr>
                <w:sz w:val="20"/>
                <w:szCs w:val="20"/>
                <w:color w:val="auto"/>
              </w:rPr>
            </w:pPr>
            <w:r>
              <w:rPr>
                <w:rFonts w:ascii="Arial" w:cs="Arial" w:eastAsia="Arial" w:hAnsi="Arial"/>
                <w:sz w:val="14"/>
                <w:szCs w:val="14"/>
                <w:color w:val="auto"/>
              </w:rPr>
              <w:t>costs of $9,178</w:t>
            </w:r>
          </w:p>
        </w:tc>
        <w:tc>
          <w:tcPr>
            <w:tcW w:w="820" w:type="dxa"/>
            <w:vAlign w:val="bottom"/>
          </w:tcPr>
          <w:p>
            <w:pPr>
              <w:jc w:val="right"/>
              <w:spacing w:after="0"/>
              <w:rPr>
                <w:sz w:val="20"/>
                <w:szCs w:val="20"/>
                <w:color w:val="auto"/>
              </w:rPr>
            </w:pPr>
            <w:r>
              <w:rPr>
                <w:rFonts w:ascii="Arial" w:cs="Arial" w:eastAsia="Arial" w:hAnsi="Arial"/>
                <w:sz w:val="14"/>
                <w:szCs w:val="14"/>
                <w:color w:val="auto"/>
              </w:rPr>
              <w:t>12,784,601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190,822</w:t>
            </w:r>
          </w:p>
        </w:tc>
        <w:tc>
          <w:tcPr>
            <w:tcW w:w="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convertible preferred</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6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shares to common shares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(35,670,093)</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(310,592)</w:t>
            </w:r>
          </w:p>
        </w:tc>
        <w:tc>
          <w:tcPr>
            <w:tcW w:w="20" w:type="dxa"/>
            <w:vAlign w:val="bottom"/>
            <w:shd w:val="clear" w:color="auto" w:fill="000000"/>
          </w:tcPr>
          <w:p>
            <w:pPr>
              <w:spacing w:after="0"/>
              <w:rPr>
                <w:sz w:val="14"/>
                <w:szCs w:val="14"/>
                <w:color w:val="auto"/>
              </w:rPr>
            </w:pPr>
          </w:p>
        </w:tc>
        <w:tc>
          <w:tcPr>
            <w:tcW w:w="7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35,670,093</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310,584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310,592</w:t>
            </w:r>
          </w:p>
        </w:tc>
        <w:tc>
          <w:tcPr>
            <w:tcW w:w="0" w:type="dxa"/>
            <w:vAlign w:val="bottom"/>
          </w:tcPr>
          <w:p>
            <w:pPr>
              <w:spacing w:after="0"/>
              <w:rPr>
                <w:sz w:val="1"/>
                <w:szCs w:val="1"/>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w w:val="97"/>
              </w:rPr>
              <w:t>Issuance of Class A common shares</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upon completion of initial public</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offering, net of underwriting</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discounts and commissions and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spacing w:after="0"/>
              <w:rPr>
                <w:sz w:val="20"/>
                <w:szCs w:val="20"/>
                <w:color w:val="auto"/>
              </w:rPr>
            </w:pPr>
            <w:r>
              <w:rPr>
                <w:rFonts w:ascii="Arial" w:cs="Arial" w:eastAsia="Arial" w:hAnsi="Arial"/>
                <w:sz w:val="14"/>
                <w:szCs w:val="14"/>
                <w:color w:val="auto"/>
              </w:rPr>
              <w:t>offering costs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9,484,202</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8"/>
              </w:rPr>
              <w:t>155,532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155,536</w:t>
            </w:r>
          </w:p>
        </w:tc>
        <w:tc>
          <w:tcPr>
            <w:tcW w:w="0" w:type="dxa"/>
            <w:vAlign w:val="bottom"/>
          </w:tcPr>
          <w:p>
            <w:pPr>
              <w:spacing w:after="0"/>
              <w:rPr>
                <w:sz w:val="1"/>
                <w:szCs w:val="1"/>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Exercise of options and issuance of</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6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under the employee share</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47,023</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w w:val="97"/>
              </w:rPr>
              <w:t>Share-based compensation expense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5,701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5,701</w:t>
            </w:r>
          </w:p>
        </w:tc>
        <w:tc>
          <w:tcPr>
            <w:tcW w:w="0" w:type="dxa"/>
            <w:vAlign w:val="bottom"/>
          </w:tcPr>
          <w:p>
            <w:pPr>
              <w:spacing w:after="0"/>
              <w:rPr>
                <w:sz w:val="1"/>
                <w:szCs w:val="1"/>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loss on short-term</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6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92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(103,227)</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(103,227)</w:t>
            </w:r>
          </w:p>
        </w:tc>
        <w:tc>
          <w:tcPr>
            <w:tcW w:w="0" w:type="dxa"/>
            <w:vAlign w:val="bottom"/>
          </w:tcPr>
          <w:p>
            <w:pPr>
              <w:spacing w:after="0"/>
              <w:rPr>
                <w:sz w:val="1"/>
                <w:szCs w:val="1"/>
                <w:color w:val="auto"/>
              </w:rPr>
            </w:pPr>
          </w:p>
        </w:tc>
      </w:tr>
      <w:tr>
        <w:trPr>
          <w:trHeight w:val="142"/>
        </w:trPr>
        <w:tc>
          <w:tcPr>
            <w:tcW w:w="2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December 31, 2018</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760" w:type="dxa"/>
            <w:vAlign w:val="bottom"/>
            <w:tcBorders>
              <w:top w:val="single" w:sz="8" w:color="auto"/>
              <w:left w:val="single" w:sz="8" w:color="CCEEFF"/>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49,489,647</w:t>
            </w: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13</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473,483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(194,225)</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279,267</w:t>
            </w:r>
          </w:p>
        </w:tc>
        <w:tc>
          <w:tcPr>
            <w:tcW w:w="0" w:type="dxa"/>
            <w:vAlign w:val="bottom"/>
          </w:tcPr>
          <w:p>
            <w:pPr>
              <w:spacing w:after="0"/>
              <w:rPr>
                <w:sz w:val="1"/>
                <w:szCs w:val="1"/>
                <w:color w:val="auto"/>
              </w:rPr>
            </w:pPr>
          </w:p>
        </w:tc>
      </w:tr>
      <w:tr>
        <w:trPr>
          <w:trHeight w:val="110"/>
        </w:trPr>
        <w:tc>
          <w:tcPr>
            <w:tcW w:w="2240" w:type="dxa"/>
            <w:vAlign w:val="bottom"/>
          </w:tcPr>
          <w:p>
            <w:pPr>
              <w:spacing w:after="0" w:line="110" w:lineRule="exact"/>
              <w:rPr>
                <w:sz w:val="20"/>
                <w:szCs w:val="20"/>
                <w:color w:val="auto"/>
              </w:rPr>
            </w:pPr>
            <w:r>
              <w:rPr>
                <w:rFonts w:ascii="Arial" w:cs="Arial" w:eastAsia="Arial" w:hAnsi="Arial"/>
                <w:sz w:val="12"/>
                <w:szCs w:val="12"/>
                <w:color w:val="auto"/>
              </w:rPr>
              <w:t>Issuance of Class A common shares</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upon completion of follow-on</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offering, inclusive of the over-</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allotment option exercise, net of</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underwriting discounts and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spacing w:after="0"/>
              <w:rPr>
                <w:sz w:val="20"/>
                <w:szCs w:val="20"/>
                <w:color w:val="auto"/>
              </w:rPr>
            </w:pPr>
            <w:r>
              <w:rPr>
                <w:rFonts w:ascii="Arial" w:cs="Arial" w:eastAsia="Arial" w:hAnsi="Arial"/>
                <w:sz w:val="14"/>
                <w:szCs w:val="14"/>
                <w:color w:val="auto"/>
              </w:rPr>
              <w:t>commissions and offering costs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2,816,110</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48,474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48,476</w:t>
            </w:r>
          </w:p>
        </w:tc>
        <w:tc>
          <w:tcPr>
            <w:tcW w:w="0" w:type="dxa"/>
            <w:vAlign w:val="bottom"/>
          </w:tcPr>
          <w:p>
            <w:pPr>
              <w:spacing w:after="0"/>
              <w:rPr>
                <w:sz w:val="1"/>
                <w:szCs w:val="1"/>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Class A1 common</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6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upon completion of private</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placement, net of underwriting</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discounts and commissions and</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offering costs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34,511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34,511</w:t>
            </w:r>
          </w:p>
        </w:tc>
        <w:tc>
          <w:tcPr>
            <w:tcW w:w="0" w:type="dxa"/>
            <w:vAlign w:val="bottom"/>
          </w:tcPr>
          <w:p>
            <w:pPr>
              <w:spacing w:after="0"/>
              <w:rPr>
                <w:sz w:val="1"/>
                <w:szCs w:val="1"/>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w w:val="97"/>
              </w:rPr>
              <w:t>Class A common shares issued or to</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be issued in connection with the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acquisition of all issued and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outstanding equity securities of</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spacing w:after="0"/>
              <w:rPr>
                <w:sz w:val="20"/>
                <w:szCs w:val="20"/>
                <w:color w:val="auto"/>
              </w:rPr>
            </w:pPr>
            <w:r>
              <w:rPr>
                <w:rFonts w:ascii="Arial" w:cs="Arial" w:eastAsia="Arial" w:hAnsi="Arial"/>
                <w:sz w:val="14"/>
                <w:szCs w:val="14"/>
                <w:color w:val="auto"/>
              </w:rPr>
              <w:t>Primatope Therapeutics, Inc.</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337,008</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Class A common shares issued or to</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6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 issued in connection with a</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milestone payment due to</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Primatope Therapeutics, Inc.</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94,284</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w:t>
            </w:r>
          </w:p>
        </w:tc>
        <w:tc>
          <w:tcPr>
            <w:tcW w:w="0" w:type="dxa"/>
            <w:vAlign w:val="bottom"/>
          </w:tcPr>
          <w:p>
            <w:pPr>
              <w:spacing w:after="0"/>
              <w:rPr>
                <w:sz w:val="1"/>
                <w:szCs w:val="1"/>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Exercise of options and issuance of</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shares under the employee share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spacing w:after="0"/>
              <w:rPr>
                <w:sz w:val="20"/>
                <w:szCs w:val="20"/>
                <w:color w:val="auto"/>
              </w:rPr>
            </w:pPr>
            <w:r>
              <w:rPr>
                <w:rFonts w:ascii="Arial" w:cs="Arial" w:eastAsia="Arial" w:hAnsi="Arial"/>
                <w:sz w:val="14"/>
                <w:szCs w:val="14"/>
                <w:color w:val="auto"/>
              </w:rPr>
              <w:t>purchase plan</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200,579</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1,119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Share-based compensation expense</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920" w:type="dxa"/>
            <w:vAlign w:val="bottom"/>
            <w:tcBorders>
              <w:lef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15,080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15,080</w:t>
            </w:r>
          </w:p>
        </w:tc>
        <w:tc>
          <w:tcPr>
            <w:tcW w:w="0" w:type="dxa"/>
            <w:vAlign w:val="bottom"/>
          </w:tcPr>
          <w:p>
            <w:pPr>
              <w:spacing w:after="0"/>
              <w:rPr>
                <w:sz w:val="1"/>
                <w:szCs w:val="1"/>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Unrealized gain on short-term</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investments and currency</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spacing w:after="0"/>
              <w:rPr>
                <w:sz w:val="20"/>
                <w:szCs w:val="20"/>
                <w:color w:val="auto"/>
              </w:rPr>
            </w:pPr>
            <w:r>
              <w:rPr>
                <w:rFonts w:ascii="Arial" w:cs="Arial" w:eastAsia="Arial" w:hAnsi="Arial"/>
                <w:sz w:val="14"/>
                <w:szCs w:val="14"/>
                <w:color w:val="auto"/>
              </w:rPr>
              <w:t>translation adjustments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920" w:type="dxa"/>
            <w:vAlign w:val="bottom"/>
            <w:tcBorders>
              <w:lef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(161,867)</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(161,867)</w:t>
            </w:r>
          </w:p>
        </w:tc>
        <w:tc>
          <w:tcPr>
            <w:tcW w:w="0" w:type="dxa"/>
            <w:vAlign w:val="bottom"/>
          </w:tcPr>
          <w:p>
            <w:pPr>
              <w:spacing w:after="0"/>
              <w:rPr>
                <w:sz w:val="1"/>
                <w:szCs w:val="1"/>
                <w:color w:val="auto"/>
              </w:rPr>
            </w:pPr>
          </w:p>
        </w:tc>
      </w:tr>
      <w:tr>
        <w:trPr>
          <w:trHeight w:val="149"/>
        </w:trPr>
        <w:tc>
          <w:tcPr>
            <w:tcW w:w="2240" w:type="dxa"/>
            <w:vAlign w:val="bottom"/>
          </w:tcPr>
          <w:p>
            <w:pPr>
              <w:spacing w:after="0" w:line="142" w:lineRule="exact"/>
              <w:rPr>
                <w:sz w:val="20"/>
                <w:szCs w:val="20"/>
                <w:color w:val="auto"/>
              </w:rPr>
            </w:pPr>
            <w:r>
              <w:rPr>
                <w:rFonts w:ascii="Arial" w:cs="Arial" w:eastAsia="Arial" w:hAnsi="Arial"/>
                <w:sz w:val="14"/>
                <w:szCs w:val="14"/>
                <w:b w:val="1"/>
                <w:bCs w:val="1"/>
                <w:color w:val="auto"/>
              </w:rPr>
              <w:t>Balances at December 31, 2019</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54,937,628</w:t>
            </w:r>
          </w:p>
        </w:tc>
        <w:tc>
          <w:tcPr>
            <w:tcW w:w="16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15</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581,467</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(356,092)</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225,423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609727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580"/>
          </w:cols>
          <w:pgMar w:left="1160" w:top="125" w:right="1159" w:bottom="1440" w:gutter="0" w:footer="0" w:header="0"/>
        </w:sectPr>
      </w:pPr>
    </w:p>
    <w:bookmarkStart w:id="146" w:name="page147"/>
    <w:bookmarkEnd w:id="1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KINIKSA PHARMACEUTICALS,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jc w:val="right"/>
        <w:ind w:right="760"/>
        <w:spacing w:after="0"/>
        <w:rPr>
          <w:sz w:val="20"/>
          <w:szCs w:val="20"/>
          <w:color w:val="auto"/>
        </w:rPr>
      </w:pPr>
      <w:r>
        <w:rPr>
          <w:rFonts w:ascii="Arial" w:cs="Arial" w:eastAsia="Arial" w:hAnsi="Arial"/>
          <w:sz w:val="14"/>
          <w:szCs w:val="14"/>
          <w:b w:val="1"/>
          <w:bCs w:val="1"/>
          <w:color w:val="auto"/>
        </w:rPr>
        <w:t>Years Ended</w:t>
      </w:r>
    </w:p>
    <w:p>
      <w:pPr>
        <w:jc w:val="right"/>
        <w:ind w:right="7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3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(161,867)</w:t>
            </w:r>
          </w:p>
        </w:tc>
        <w:tc>
          <w:tcPr>
            <w:tcW w:w="2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(103,227)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rPr>
              <w:t>Depreciation expense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Share-based compensation expense</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w w:val="94"/>
              </w:rPr>
              <w:t>Class A common shares issued or to be issued as consideration for Primatope, including milestone payments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8,800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Non-cash lease expense</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rPr>
              <w:t>Accretion of discounts on short-term investments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(3,156)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Prepaid expenses and other assets</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(4,705)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8,823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Accrued expenses and other liabilities</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300"/>
              <w:spacing w:after="0" w:line="149" w:lineRule="exact"/>
              <w:rPr>
                <w:sz w:val="20"/>
                <w:szCs w:val="20"/>
                <w:color w:val="auto"/>
              </w:rPr>
            </w:pPr>
            <w:r>
              <w:rPr>
                <w:rFonts w:ascii="Arial" w:cs="Arial" w:eastAsia="Arial" w:hAnsi="Arial"/>
                <w:sz w:val="14"/>
                <w:szCs w:val="14"/>
                <w:color w:val="auto"/>
              </w:rPr>
              <w:t>Accrued milestones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Operating lease liabilities</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300"/>
              <w:spacing w:after="0" w:line="149" w:lineRule="exact"/>
              <w:rPr>
                <w:sz w:val="20"/>
                <w:szCs w:val="20"/>
                <w:color w:val="auto"/>
              </w:rPr>
            </w:pPr>
            <w:r>
              <w:rPr>
                <w:rFonts w:ascii="Arial" w:cs="Arial" w:eastAsia="Arial" w:hAnsi="Arial"/>
                <w:sz w:val="14"/>
                <w:szCs w:val="14"/>
                <w:color w:val="auto"/>
              </w:rPr>
              <w:t>Other long-term liabilities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top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Net cash used in operating activities</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(158,369)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(81,012)</w:t>
            </w: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(3,203)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Arial" w:cs="Arial" w:eastAsia="Arial" w:hAnsi="Arial"/>
                <w:sz w:val="14"/>
                <w:szCs w:val="14"/>
                <w:color w:val="auto"/>
              </w:rPr>
              <w:t>Purchases of short-term investments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(488,773)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the maturities of short-term investments</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541,190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168,100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49,214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(239,198)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Arial" w:cs="Arial" w:eastAsia="Arial" w:hAnsi="Arial"/>
                <w:sz w:val="14"/>
                <w:szCs w:val="14"/>
                <w:color w:val="auto"/>
              </w:rPr>
              <w:t>Proceeds from issuance of Series C convertible preferred shares, net of issuance costs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190,822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Proceeds from issuance of Class A common shares upon completion of initial public offering, net of underwriting</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4"/>
                <w:szCs w:val="14"/>
                <w:color w:val="auto"/>
              </w:rPr>
              <w:t>commissions and discounts, inclusive of the over-allotment option exercise</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159,194</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40" w:type="dxa"/>
            <w:vAlign w:val="bottom"/>
          </w:tcPr>
          <w:p>
            <w:pPr>
              <w:spacing w:after="0" w:line="130" w:lineRule="exact"/>
              <w:rPr>
                <w:sz w:val="20"/>
                <w:szCs w:val="20"/>
                <w:color w:val="auto"/>
              </w:rPr>
            </w:pPr>
            <w:r>
              <w:rPr>
                <w:rFonts w:ascii="Arial" w:cs="Arial" w:eastAsia="Arial" w:hAnsi="Arial"/>
                <w:sz w:val="14"/>
                <w:szCs w:val="14"/>
                <w:color w:val="auto"/>
                <w:w w:val="98"/>
              </w:rPr>
              <w:t>Proceeds from issuance of Class A common shares from follow-on offering, net of underwriting commissions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660" w:type="dxa"/>
            <w:vAlign w:val="bottom"/>
            <w:gridSpan w:val="2"/>
          </w:tcPr>
          <w:p>
            <w:pPr>
              <w:spacing w:after="0"/>
              <w:rPr>
                <w:sz w:val="20"/>
                <w:szCs w:val="20"/>
                <w:color w:val="auto"/>
              </w:rPr>
            </w:pPr>
            <w:r>
              <w:rPr>
                <w:rFonts w:ascii="Arial" w:cs="Arial" w:eastAsia="Arial" w:hAnsi="Arial"/>
                <w:sz w:val="14"/>
                <w:szCs w:val="14"/>
                <w:color w:val="auto"/>
              </w:rPr>
              <w:t>and discounts, inclusive of the over-allotment option exercise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48,595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Proceeds from issuance of Class A1 common shares from private placement, net of underwriting commissions</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4"/>
                <w:szCs w:val="14"/>
                <w:color w:val="auto"/>
              </w:rPr>
              <w:t>and discounts</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Arial" w:cs="Arial" w:eastAsia="Arial" w:hAnsi="Arial"/>
                <w:sz w:val="14"/>
                <w:szCs w:val="14"/>
                <w:color w:val="auto"/>
              </w:rPr>
              <w:t>Payments of offering costs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(3,657)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options and employee share purchase plan</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377</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84,107</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346,736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(25,048)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26,526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72,186</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45,660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at end of period</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47,138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72,186</w:t>
            </w:r>
          </w:p>
        </w:tc>
        <w:tc>
          <w:tcPr>
            <w:tcW w:w="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information:</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Arial" w:cs="Arial" w:eastAsia="Arial" w:hAnsi="Arial"/>
                <w:sz w:val="14"/>
                <w:szCs w:val="14"/>
                <w:color w:val="auto"/>
              </w:rPr>
              <w:t>Cash paid for income taxes</w:t>
            </w:r>
          </w:p>
        </w:tc>
        <w:tc>
          <w:tcPr>
            <w:tcW w:w="3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1,724</w:t>
            </w:r>
          </w:p>
        </w:tc>
        <w:tc>
          <w:tcPr>
            <w:tcW w:w="100" w:type="dxa"/>
            <w:vAlign w:val="bottom"/>
          </w:tcPr>
          <w:p>
            <w:pPr>
              <w:spacing w:after="0"/>
              <w:rPr>
                <w:sz w:val="12"/>
                <w:szCs w:val="12"/>
                <w:color w:val="auto"/>
              </w:rPr>
            </w:pPr>
          </w:p>
        </w:tc>
        <w:tc>
          <w:tcPr>
            <w:tcW w:w="2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383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offering costs included in accrued expenses and accounts payable</w:t>
            </w:r>
          </w:p>
        </w:tc>
        <w:tc>
          <w:tcPr>
            <w:tcW w:w="3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40" w:type="dxa"/>
            <w:vAlign w:val="bottom"/>
          </w:tcPr>
          <w:p>
            <w:pPr>
              <w:spacing w:after="0"/>
              <w:rPr>
                <w:sz w:val="20"/>
                <w:szCs w:val="20"/>
                <w:color w:val="auto"/>
              </w:rPr>
            </w:pPr>
            <w:r>
              <w:rPr>
                <w:rFonts w:ascii="Arial" w:cs="Arial" w:eastAsia="Arial" w:hAnsi="Arial"/>
                <w:sz w:val="14"/>
                <w:szCs w:val="14"/>
                <w:color w:val="auto"/>
              </w:rPr>
              <w:t>Property and equipment included in accrued expenses and accounts payable</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5"/>
                <w:szCs w:val="15"/>
                <w:color w:val="auto"/>
              </w:rPr>
            </w:pPr>
          </w:p>
        </w:tc>
        <w:tc>
          <w:tcPr>
            <w:tcW w:w="2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1,292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7" w:name="page148"/>
    <w:bookmarkEnd w:id="1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KINIKSA PHARMACEUTICALS, LTD.</w:t>
      </w:r>
    </w:p>
    <w:p>
      <w:pPr>
        <w:spacing w:after="0" w:line="27" w:lineRule="exact"/>
        <w:rPr>
          <w:sz w:val="20"/>
          <w:szCs w:val="20"/>
          <w:color w:val="auto"/>
        </w:rPr>
      </w:pPr>
    </w:p>
    <w:p>
      <w:pPr>
        <w:jc w:val="both"/>
        <w:ind w:left="2180" w:right="2139" w:hanging="13"/>
        <w:spacing w:after="0" w:line="323" w:lineRule="auto"/>
        <w:rPr>
          <w:sz w:val="20"/>
          <w:szCs w:val="20"/>
          <w:color w:val="auto"/>
        </w:rPr>
      </w:pPr>
      <w:r>
        <w:rPr>
          <w:rFonts w:ascii="Arial" w:cs="Arial" w:eastAsia="Arial" w:hAnsi="Arial"/>
          <w:sz w:val="16"/>
          <w:szCs w:val="16"/>
          <w:b w:val="1"/>
          <w:bCs w:val="1"/>
          <w:color w:val="auto"/>
        </w:rPr>
        <w:t>NOTES TO CONSOLIDATED FINANCIAL STATEMENTS (Amounts in thousands, except share and per share amounts)</w:t>
      </w:r>
    </w:p>
    <w:p>
      <w:pPr>
        <w:spacing w:after="0" w:line="135" w:lineRule="exact"/>
        <w:rPr>
          <w:sz w:val="20"/>
          <w:szCs w:val="20"/>
          <w:color w:val="auto"/>
        </w:rPr>
      </w:pPr>
    </w:p>
    <w:p>
      <w:pPr>
        <w:ind w:left="640" w:hanging="637"/>
        <w:spacing w:after="0"/>
        <w:tabs>
          <w:tab w:leader="none" w:pos="6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229" w:lineRule="exact"/>
        <w:rPr>
          <w:sz w:val="20"/>
          <w:szCs w:val="20"/>
          <w:color w:val="auto"/>
        </w:rPr>
      </w:pPr>
    </w:p>
    <w:p>
      <w:pPr>
        <w:ind w:right="39" w:firstLine="648"/>
        <w:spacing w:after="0" w:line="259" w:lineRule="auto"/>
        <w:rPr>
          <w:sz w:val="20"/>
          <w:szCs w:val="20"/>
          <w:color w:val="auto"/>
        </w:rPr>
      </w:pPr>
      <w:r>
        <w:rPr>
          <w:rFonts w:ascii="Arial" w:cs="Arial" w:eastAsia="Arial" w:hAnsi="Arial"/>
          <w:sz w:val="18"/>
          <w:szCs w:val="18"/>
          <w:color w:val="auto"/>
        </w:rPr>
        <w:t>Kiniksa Pharmaceuticals, Ltd. (the “Company”) is a biopharmaceutical company focused on discovering, acquiring, developing and commercializing therapeutic medicines for patients suffering from debilitating diseases with significant unmet medical need. The Company was incorporated in July 2015 as a Bermuda exempted company. The Company has a pipeline of product candidates across various stages of development.</w:t>
      </w:r>
    </w:p>
    <w:p>
      <w:pPr>
        <w:spacing w:after="0" w:line="187" w:lineRule="exact"/>
        <w:rPr>
          <w:sz w:val="20"/>
          <w:szCs w:val="20"/>
          <w:color w:val="auto"/>
        </w:rPr>
      </w:pPr>
    </w:p>
    <w:p>
      <w:pPr>
        <w:ind w:right="99" w:firstLine="648"/>
        <w:spacing w:after="0" w:line="217" w:lineRule="exact"/>
        <w:rPr>
          <w:sz w:val="20"/>
          <w:szCs w:val="20"/>
          <w:color w:val="auto"/>
        </w:rPr>
      </w:pPr>
      <w:r>
        <w:rPr>
          <w:rFonts w:ascii="Arial" w:cs="Arial" w:eastAsia="Arial" w:hAnsi="Arial"/>
          <w:sz w:val="17"/>
          <w:szCs w:val="17"/>
          <w:color w:val="auto"/>
        </w:rPr>
        <w:t>The Company is subject to risks and uncertainties common to early</w:t>
      </w:r>
      <w:r>
        <w:rPr>
          <w:rFonts w:ascii="MS PGothic" w:cs="MS PGothic" w:eastAsia="MS PGothic" w:hAnsi="MS PGothic"/>
          <w:sz w:val="17"/>
          <w:szCs w:val="17"/>
          <w:color w:val="auto"/>
        </w:rPr>
        <w:t>‑</w:t>
      </w:r>
      <w:r>
        <w:rPr>
          <w:rFonts w:ascii="Arial" w:cs="Arial" w:eastAsia="Arial" w:hAnsi="Arial"/>
          <w:sz w:val="17"/>
          <w:szCs w:val="17"/>
          <w:color w:val="auto"/>
        </w:rPr>
        <w:t>stage companies in the biotechnology industry. There can be no assurance that the Company’s research and development will be successfully completed, that adequate protection for the Company’s technology will be obtained, that any products developed will obtain necessary government regulatory approval or that any products, if approved, will be commercially viable. The Company does not currently generate revenue from sales of any products, and it may never be able to develop or commercialize a marketable product. The Company has not yet successfully completed any Phase 3 or other pivotal clinical trials, obtained any regulatory approvals, manufactured a commercial</w:t>
      </w:r>
      <w:r>
        <w:rPr>
          <w:rFonts w:ascii="MS PGothic" w:cs="MS PGothic" w:eastAsia="MS PGothic" w:hAnsi="MS PGothic"/>
          <w:sz w:val="17"/>
          <w:szCs w:val="17"/>
          <w:color w:val="auto"/>
        </w:rPr>
        <w:t>‑</w:t>
      </w:r>
      <w:r>
        <w:rPr>
          <w:rFonts w:ascii="Arial" w:cs="Arial" w:eastAsia="Arial" w:hAnsi="Arial"/>
          <w:sz w:val="17"/>
          <w:szCs w:val="17"/>
          <w:color w:val="auto"/>
        </w:rPr>
        <w:t>scale drug, or conducted sales and marketing activities. The Company operates in an environment of rapid technological innovation and substantial competition from pharmaceutical and biotechnological companies. In addition, the Company is dependent upon the services of its employees, consultants and service providers. Even if the Company’s product development efforts are successful, it is uncertain when, if ever, the Company will realize significant revenue from product sales.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39" w:firstLine="648"/>
        <w:spacing w:after="0" w:line="273"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(“GAAP”) and include the accounts of the Company and its wholly owned subsidiaries, Kiniksa Pharmaceuticals Corp. (“Kiniksa US”), Primatope Therapeutics, Inc. (“Primatope”) and Kiniksa Pharmaceuticals (UK), Ltd. (“Kiniksa UK”) as well as the subsidiaries of Kiniksa UK, Kiniksa Pharmaceuticals (Germany) GmbH (“Kiniksa Germany”) and Kiniksa Pharmaceuticals (France) SARL (“Kiniksa France”), after elimination of all significant intercompany accounts and transactions.</w:t>
      </w:r>
    </w:p>
    <w:p>
      <w:pPr>
        <w:spacing w:after="0" w:line="178" w:lineRule="exact"/>
        <w:rPr>
          <w:sz w:val="20"/>
          <w:szCs w:val="20"/>
          <w:color w:val="auto"/>
        </w:rPr>
      </w:pPr>
    </w:p>
    <w:p>
      <w:pPr>
        <w:ind w:right="119" w:firstLine="648"/>
        <w:spacing w:after="0" w:line="255" w:lineRule="auto"/>
        <w:rPr>
          <w:sz w:val="20"/>
          <w:szCs w:val="20"/>
          <w:color w:val="auto"/>
        </w:rPr>
      </w:pPr>
      <w:r>
        <w:rPr>
          <w:rFonts w:ascii="Arial" w:cs="Arial" w:eastAsia="Arial" w:hAnsi="Arial"/>
          <w:sz w:val="18"/>
          <w:szCs w:val="18"/>
          <w:color w:val="auto"/>
        </w:rPr>
        <w:t>In assessing the consolidation requirement for variable interest entities (“VIE”s), the Company focuses on identifying whether it has both the power to direct the activities that most significantly impact the VIE’s economic performance and the obligation to absorb losses or the right to receive benefits from the VIE. In the event that the Company is the primary beneficiary of a VIE, the assets, liabilities, and results of operations of the VIE would be included in the Company’s consolidated financial statements. At December 31, 2019 and 2018 and during the years then ended, the Company was not the primary beneficiary of a VIE.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79" w:firstLine="648"/>
        <w:spacing w:after="0" w:line="218" w:lineRule="exact"/>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for research and development expenses and the valuation of common shares and share</w:t>
      </w:r>
      <w:r>
        <w:rPr>
          <w:rFonts w:ascii="MS PGothic" w:cs="MS PGothic" w:eastAsia="MS PGothic" w:hAnsi="MS PGothic"/>
          <w:sz w:val="16"/>
          <w:szCs w:val="16"/>
          <w:color w:val="auto"/>
        </w:rPr>
        <w:t>‑</w:t>
      </w:r>
      <w:r>
        <w:rPr>
          <w:rFonts w:ascii="Arial" w:cs="Arial" w:eastAsia="Arial" w:hAnsi="Arial"/>
          <w:sz w:val="16"/>
          <w:szCs w:val="16"/>
          <w:color w:val="auto"/>
        </w:rPr>
        <w:t>based awards. Estimates are periodically reviewed in light of changes in circumstances, facts and experience. Changes in estimates are recorded in the period in which they become known. Actual results could differ from those estimates.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Reporting and Functional Currency</w:t>
      </w:r>
    </w:p>
    <w:p>
      <w:pPr>
        <w:spacing w:after="0" w:line="225" w:lineRule="exact"/>
        <w:rPr>
          <w:sz w:val="20"/>
          <w:szCs w:val="20"/>
          <w:color w:val="auto"/>
        </w:rPr>
      </w:pPr>
    </w:p>
    <w:p>
      <w:pPr>
        <w:ind w:right="659" w:firstLine="648"/>
        <w:spacing w:after="0" w:line="277" w:lineRule="auto"/>
        <w:rPr>
          <w:sz w:val="20"/>
          <w:szCs w:val="20"/>
          <w:color w:val="auto"/>
        </w:rPr>
      </w:pPr>
      <w:r>
        <w:rPr>
          <w:rFonts w:ascii="Arial" w:cs="Arial" w:eastAsia="Arial" w:hAnsi="Arial"/>
          <w:sz w:val="18"/>
          <w:szCs w:val="18"/>
          <w:color w:val="auto"/>
        </w:rPr>
        <w:t>The financial results of the Company's global activities are reported in U.S. dollars (“USD”) and its foreign subsidiaries generally utilize their respective local currency to be their functional currency.</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48" w:name="page149"/>
    <w:bookmarkEnd w:id="1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Transactions in other currencies are recorded in the functional currency at the rate of exchange prevailing when the transactions occur. Monetary assets and liabilities denominated in other currencies are re-measured into the functional currency at the rate of exchange in effect at the balance sheet date. Exchange gains and losses arising from re-measurement of foreign currency-denominated monetary assets and liabilities are included in income in the period in which they occur.</w:t>
      </w:r>
    </w:p>
    <w:p>
      <w:pPr>
        <w:spacing w:after="0" w:line="15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our foreign subsidiaries where the local currency is the functional currency, assets and liabilities denominated in local currencies are translated into USD at end-of-period exchange rates and the resulting translation adjustments are reported as a component of accumulated other comprehensive income (loss) within shareholders' equity (deficit).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Reverse Share Split</w:t>
      </w:r>
    </w:p>
    <w:p>
      <w:pPr>
        <w:spacing w:after="0" w:line="225"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color w:val="auto"/>
        </w:rPr>
        <w:t>On May 11, 2018, the Company effected a 1</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2.73235 reverse share split of its authorized, designated, issued and outstanding common shares and preferred shares. Accordingly, all share and per share amounts for all periods presented in the accompanying consolidated financial statements and notes thereto have been adjusted retroactively, where applicable, to reflect this reverse share split.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On May 23, 2018, the Company’s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1 relating to its initial public offering of its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Class A common shares (the “IPO”) was declared effective by the Securities and Exchange Commission (“SEC”).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29, 2018, the Company completed the IPO of 8,477,777 Class A common shares at $18.00 per share for gross proceeds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$152,600. In addition, on June 22, 2018, the Company completed the sale of 1,006,425 Class A common shares to the</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underwriters of the IPO following the exercise of their over</w:t>
      </w:r>
      <w:r>
        <w:rPr>
          <w:rFonts w:ascii="MS PGothic" w:cs="MS PGothic" w:eastAsia="MS PGothic" w:hAnsi="MS PGothic"/>
          <w:sz w:val="17"/>
          <w:szCs w:val="17"/>
          <w:color w:val="auto"/>
        </w:rPr>
        <w:t>‑</w:t>
      </w:r>
      <w:r>
        <w:rPr>
          <w:rFonts w:ascii="Arial" w:cs="Arial" w:eastAsia="Arial" w:hAnsi="Arial"/>
          <w:sz w:val="17"/>
          <w:szCs w:val="17"/>
          <w:color w:val="auto"/>
        </w:rPr>
        <w:t>allotment option to purchase additional shares at $18.00 per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share for gross proceeds of $18,116. The aggregate net proceeds to the Company from the IPO, inclusive of the</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over</w:t>
      </w:r>
      <w:r>
        <w:rPr>
          <w:rFonts w:ascii="MS PGothic" w:cs="MS PGothic" w:eastAsia="MS PGothic" w:hAnsi="MS PGothic"/>
          <w:sz w:val="16"/>
          <w:szCs w:val="16"/>
          <w:color w:val="auto"/>
        </w:rPr>
        <w:t>‑</w:t>
      </w:r>
      <w:r>
        <w:rPr>
          <w:rFonts w:ascii="Arial" w:cs="Arial" w:eastAsia="Arial" w:hAnsi="Arial"/>
          <w:sz w:val="16"/>
          <w:szCs w:val="16"/>
          <w:color w:val="auto"/>
        </w:rPr>
        <w:t>allotment option exercise, was $155,536 after deducting underwriting discounts and commissions and other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211"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Upon the closing of the IPO, all convertible preferred shares then outstanding automatically converted into 5,546,019 Class A common shares, 1,070,502 Class B common shares, 12,995,954 Class A1 common shares and 16,057,618 Class B1 common shares. In connection with the closing of the IPO, the Company amended and restated its bye</w:t>
      </w:r>
      <w:r>
        <w:rPr>
          <w:rFonts w:ascii="MS PGothic" w:cs="MS PGothic" w:eastAsia="MS PGothic" w:hAnsi="MS PGothic"/>
          <w:sz w:val="18"/>
          <w:szCs w:val="18"/>
          <w:color w:val="auto"/>
        </w:rPr>
        <w:t>‑</w:t>
      </w:r>
      <w:r>
        <w:rPr>
          <w:rFonts w:ascii="Arial" w:cs="Arial" w:eastAsia="Arial" w:hAnsi="Arial"/>
          <w:sz w:val="18"/>
          <w:szCs w:val="18"/>
          <w:color w:val="auto"/>
        </w:rPr>
        <w:t>laws (the “Amended &amp; Restated Bye</w:t>
      </w:r>
      <w:r>
        <w:rPr>
          <w:rFonts w:ascii="MS PGothic" w:cs="MS PGothic" w:eastAsia="MS PGothic" w:hAnsi="MS PGothic"/>
          <w:sz w:val="18"/>
          <w:szCs w:val="18"/>
          <w:color w:val="auto"/>
        </w:rPr>
        <w:t>‑</w:t>
      </w:r>
      <w:r>
        <w:rPr>
          <w:rFonts w:ascii="Arial" w:cs="Arial" w:eastAsia="Arial" w:hAnsi="Arial"/>
          <w:sz w:val="18"/>
          <w:szCs w:val="18"/>
          <w:color w:val="auto"/>
        </w:rPr>
        <w:t>Laws”).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Follow-on Offering and Private Placement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February 4, 2019, the Company completed a follow-on offering of 2,654,984 Class A common shares at a public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offering price of $18.26 and a concurrent private placement of 2,000,000 Class A1 common shares at an offering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$18.26 per share for aggregate gross proceeds of $85,000. In addition, on March 1, 2019, the Company completed the sale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161,126 Class A common shares to the underwriters of the follow-on offering following the exercise in part of their over-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allotment option to purchase additional shares at a public offering price of $18.26 per share for gross proceeds of</w:t>
      </w:r>
    </w:p>
    <w:p>
      <w:pPr>
        <w:spacing w:after="0" w:line="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$2,942. The aggregate net proceeds to the Company from the follow-on offering and concurrent private placement, inclusive of the over-allotment option exercise, was $82,988 after deducting underwriting discounts and commissions and other offering costs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180" w:firstLine="648"/>
        <w:spacing w:after="0" w:line="221" w:lineRule="exact"/>
        <w:rPr>
          <w:sz w:val="20"/>
          <w:szCs w:val="20"/>
          <w:color w:val="auto"/>
        </w:rPr>
      </w:pPr>
      <w:r>
        <w:rPr>
          <w:rFonts w:ascii="Arial" w:cs="Arial" w:eastAsia="Arial" w:hAnsi="Arial"/>
          <w:sz w:val="16"/>
          <w:szCs w:val="16"/>
          <w:color w:val="auto"/>
        </w:rPr>
        <w:t>In accordance with Accounting Standards Update (“ASU”) 2014</w:t>
      </w:r>
      <w:r>
        <w:rPr>
          <w:rFonts w:ascii="MS PGothic" w:cs="MS PGothic" w:eastAsia="MS PGothic" w:hAnsi="MS PGothic"/>
          <w:sz w:val="16"/>
          <w:szCs w:val="16"/>
          <w:color w:val="auto"/>
        </w:rPr>
        <w:t>‑</w:t>
      </w:r>
      <w:r>
        <w:rPr>
          <w:rFonts w:ascii="Arial" w:cs="Arial" w:eastAsia="Arial" w:hAnsi="Arial"/>
          <w:sz w:val="16"/>
          <w:szCs w:val="16"/>
          <w:color w:val="auto"/>
        </w:rPr>
        <w:t>15, Disclosure of Uncertainties about an Entity’s Ability to Continue as a Going Concern (Subtopic 205</w:t>
      </w:r>
      <w:r>
        <w:rPr>
          <w:rFonts w:ascii="MS PGothic" w:cs="MS PGothic" w:eastAsia="MS PGothic" w:hAnsi="MS PGothic"/>
          <w:sz w:val="16"/>
          <w:szCs w:val="16"/>
          <w:color w:val="auto"/>
        </w:rPr>
        <w:t>‑</w:t>
      </w:r>
      <w:r>
        <w:rPr>
          <w:rFonts w:ascii="Arial" w:cs="Arial" w:eastAsia="Arial" w:hAnsi="Arial"/>
          <w:sz w:val="16"/>
          <w:szCs w:val="16"/>
          <w:color w:val="auto"/>
        </w:rPr>
        <w:t>40), the Company has evaluated whether there are conditions and events, considered in the aggregate, that raise substantial doubt about the Company’s ability to continue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9" w:name="page150"/>
    <w:bookmarkEnd w:id="1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60" w:right="1640"/>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right="99"/>
        <w:spacing w:after="0" w:line="219" w:lineRule="exact"/>
        <w:rPr>
          <w:sz w:val="20"/>
          <w:szCs w:val="20"/>
          <w:color w:val="auto"/>
        </w:rPr>
      </w:pPr>
      <w:r>
        <w:rPr>
          <w:rFonts w:ascii="Arial" w:cs="Arial" w:eastAsia="Arial" w:hAnsi="Arial"/>
          <w:sz w:val="17"/>
          <w:szCs w:val="17"/>
          <w:color w:val="auto"/>
        </w:rPr>
        <w:t>as a going concern within one year after the date the consolidated financial statements are issued. As of December 31, 2019, the Company had an accumulated deficit of $356,092. During the year ended December 31, 2019, the Company incurred a net loss of $161,867 and used $158,369 of cash in operating activities. The Company expects to continue to generate operating losses and cash used in operations for the foreseeable future. As of December 31, 2019, the Company had cash, cash equivalents and short</w:t>
      </w:r>
      <w:r>
        <w:rPr>
          <w:rFonts w:ascii="MS PGothic" w:cs="MS PGothic" w:eastAsia="MS PGothic" w:hAnsi="MS PGothic"/>
          <w:sz w:val="17"/>
          <w:szCs w:val="17"/>
          <w:color w:val="auto"/>
        </w:rPr>
        <w:t>‑</w:t>
      </w:r>
      <w:r>
        <w:rPr>
          <w:rFonts w:ascii="Arial" w:cs="Arial" w:eastAsia="Arial" w:hAnsi="Arial"/>
          <w:sz w:val="17"/>
          <w:szCs w:val="17"/>
          <w:color w:val="auto"/>
        </w:rPr>
        <w:t>term investments of $233,380.</w:t>
      </w:r>
    </w:p>
    <w:p>
      <w:pPr>
        <w:spacing w:after="0" w:line="205" w:lineRule="exact"/>
        <w:rPr>
          <w:sz w:val="20"/>
          <w:szCs w:val="20"/>
          <w:color w:val="auto"/>
        </w:rPr>
      </w:pPr>
    </w:p>
    <w:p>
      <w:pPr>
        <w:ind w:right="19" w:firstLine="648"/>
        <w:spacing w:after="0" w:line="288" w:lineRule="auto"/>
        <w:rPr>
          <w:sz w:val="20"/>
          <w:szCs w:val="20"/>
          <w:color w:val="auto"/>
        </w:rPr>
      </w:pPr>
      <w:r>
        <w:rPr>
          <w:rFonts w:ascii="Arial" w:cs="Arial" w:eastAsia="Arial" w:hAnsi="Arial"/>
          <w:sz w:val="16"/>
          <w:szCs w:val="16"/>
          <w:color w:val="auto"/>
        </w:rPr>
        <w:t>Based on its current operating plan, the Company expects that its cash, cash equivalents and short-term investments, will be sufficient to fund its operating expenses and capital expenditure requirements for at least twelve months from the issuance date of these consolidated financial statements. The future viability of the Company beyond that point is dependent on its ability to raise additional capital to finance its operations. The Company will need to finance its operations through public or private securities offerings, debt financings or other sources, which may include licensing, collaborations or other strategic transactions or arrangements. Although the Company has been successful in raising capital in the past, there is no assurance that it will be successful in obtaining such additional financing on terms acceptable to the Company, if at all. If the Company is unable to obtain funding, the Company could be forced to delay, reduce or eliminate some or all of its research and development programs for product candidates, product portfolio expansion or commercialization efforts, which could adversely affect its business prospects, or the Company may be unable to continue operations.</w:t>
      </w:r>
    </w:p>
    <w:p>
      <w:pPr>
        <w:spacing w:after="0" w:line="165" w:lineRule="exact"/>
        <w:rPr>
          <w:sz w:val="20"/>
          <w:szCs w:val="20"/>
          <w:color w:val="auto"/>
        </w:rPr>
      </w:pPr>
    </w:p>
    <w:p>
      <w:pPr>
        <w:ind w:left="660" w:right="5019" w:hanging="657"/>
        <w:spacing w:after="0" w:line="503" w:lineRule="auto"/>
        <w:tabs>
          <w:tab w:leader="none" w:pos="64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Cash and Cash Equivalents</w:t>
      </w:r>
    </w:p>
    <w:p>
      <w:pPr>
        <w:spacing w:after="0" w:line="1" w:lineRule="exact"/>
        <w:rPr>
          <w:sz w:val="20"/>
          <w:szCs w:val="20"/>
          <w:color w:val="auto"/>
        </w:rPr>
      </w:pPr>
    </w:p>
    <w:p>
      <w:pPr>
        <w:ind w:right="279" w:firstLine="648"/>
        <w:spacing w:after="0" w:line="259" w:lineRule="auto"/>
        <w:rPr>
          <w:sz w:val="20"/>
          <w:szCs w:val="20"/>
          <w:color w:val="auto"/>
        </w:rPr>
      </w:pPr>
      <w:r>
        <w:rPr>
          <w:rFonts w:ascii="Arial" w:cs="Arial" w:eastAsia="Arial" w:hAnsi="Arial"/>
          <w:sz w:val="18"/>
          <w:szCs w:val="18"/>
          <w:color w:val="auto"/>
        </w:rPr>
        <w:t>The Company classifies deposits in banks, money market funds and cash invested temporarily in various instruments with maturities of three months or less at the time of purchase as cash and cash equivalents. At December 31, 2019 and 2018, cash and cash equivalents consisted principally of U.S. Treasury notes, amounts held in money market accounts and cash on deposit at commercial banks.</w:t>
      </w:r>
    </w:p>
    <w:p>
      <w:pPr>
        <w:spacing w:after="0" w:line="187"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b w:val="1"/>
          <w:bCs w:val="1"/>
          <w:i w:val="1"/>
          <w:iCs w:val="1"/>
          <w:color w:val="auto"/>
        </w:rPr>
        <w:t>Short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Term Investments</w:t>
      </w:r>
    </w:p>
    <w:p>
      <w:pPr>
        <w:spacing w:after="0" w:line="225" w:lineRule="exact"/>
        <w:rPr>
          <w:sz w:val="20"/>
          <w:szCs w:val="20"/>
          <w:color w:val="auto"/>
        </w:rPr>
      </w:pPr>
    </w:p>
    <w:p>
      <w:pPr>
        <w:ind w:right="59" w:firstLine="648"/>
        <w:spacing w:after="0" w:line="220" w:lineRule="exact"/>
        <w:rPr>
          <w:sz w:val="20"/>
          <w:szCs w:val="20"/>
          <w:color w:val="auto"/>
        </w:rPr>
      </w:pPr>
      <w:r>
        <w:rPr>
          <w:rFonts w:ascii="Arial" w:cs="Arial" w:eastAsia="Arial" w:hAnsi="Arial"/>
          <w:sz w:val="16"/>
          <w:szCs w:val="16"/>
          <w:color w:val="auto"/>
        </w:rPr>
        <w:t>The Company generally invests its excess cash in money market funds and short</w:t>
      </w:r>
      <w:r>
        <w:rPr>
          <w:rFonts w:ascii="MS PGothic" w:cs="MS PGothic" w:eastAsia="MS PGothic" w:hAnsi="MS PGothic"/>
          <w:sz w:val="16"/>
          <w:szCs w:val="16"/>
          <w:color w:val="auto"/>
        </w:rPr>
        <w:t>‑</w:t>
      </w:r>
      <w:r>
        <w:rPr>
          <w:rFonts w:ascii="Arial" w:cs="Arial" w:eastAsia="Arial" w:hAnsi="Arial"/>
          <w:sz w:val="16"/>
          <w:szCs w:val="16"/>
          <w:color w:val="auto"/>
        </w:rPr>
        <w:t>term investments in U.S. Treasury notes. Such investments included in short</w:t>
      </w:r>
      <w:r>
        <w:rPr>
          <w:rFonts w:ascii="MS PGothic" w:cs="MS PGothic" w:eastAsia="MS PGothic" w:hAnsi="MS PGothic"/>
          <w:sz w:val="16"/>
          <w:szCs w:val="16"/>
          <w:color w:val="auto"/>
        </w:rPr>
        <w:t>‑</w:t>
      </w:r>
      <w:r>
        <w:rPr>
          <w:rFonts w:ascii="Arial" w:cs="Arial" w:eastAsia="Arial" w:hAnsi="Arial"/>
          <w:sz w:val="16"/>
          <w:szCs w:val="16"/>
          <w:color w:val="auto"/>
        </w:rPr>
        <w:t>term investments on the Company’s consolidated balance sheets are considered available</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sale debt securities and are reported at fair value with unrealized gains and losses included as a component of shareholders’ equity (deficit). Realized gains and losses, if any, on short</w:t>
      </w:r>
      <w:r>
        <w:rPr>
          <w:rFonts w:ascii="MS PGothic" w:cs="MS PGothic" w:eastAsia="MS PGothic" w:hAnsi="MS PGothic"/>
          <w:sz w:val="16"/>
          <w:szCs w:val="16"/>
          <w:color w:val="auto"/>
        </w:rPr>
        <w:t>‑</w:t>
      </w:r>
      <w:r>
        <w:rPr>
          <w:rFonts w:ascii="Arial" w:cs="Arial" w:eastAsia="Arial" w:hAnsi="Arial"/>
          <w:sz w:val="16"/>
          <w:szCs w:val="16"/>
          <w:color w:val="auto"/>
        </w:rPr>
        <w:t>term investments are included in interest income.</w:t>
      </w:r>
    </w:p>
    <w:p>
      <w:pPr>
        <w:spacing w:after="0" w:line="203" w:lineRule="exact"/>
        <w:rPr>
          <w:sz w:val="20"/>
          <w:szCs w:val="20"/>
          <w:color w:val="auto"/>
        </w:rPr>
      </w:pPr>
    </w:p>
    <w:p>
      <w:pPr>
        <w:ind w:right="159" w:firstLine="648"/>
        <w:spacing w:after="0" w:line="218" w:lineRule="exact"/>
        <w:rPr>
          <w:sz w:val="20"/>
          <w:szCs w:val="20"/>
          <w:color w:val="auto"/>
        </w:rPr>
      </w:pPr>
      <w:r>
        <w:rPr>
          <w:rFonts w:ascii="Arial" w:cs="Arial" w:eastAsia="Arial" w:hAnsi="Arial"/>
          <w:sz w:val="18"/>
          <w:szCs w:val="18"/>
          <w:color w:val="auto"/>
        </w:rPr>
        <w:t>The Company evaluates its short</w:t>
      </w:r>
      <w:r>
        <w:rPr>
          <w:rFonts w:ascii="MS PGothic" w:cs="MS PGothic" w:eastAsia="MS PGothic" w:hAnsi="MS PGothic"/>
          <w:sz w:val="18"/>
          <w:szCs w:val="18"/>
          <w:color w:val="auto"/>
        </w:rPr>
        <w:t>‑</w:t>
      </w:r>
      <w:r>
        <w:rPr>
          <w:rFonts w:ascii="Arial" w:cs="Arial" w:eastAsia="Arial" w:hAnsi="Arial"/>
          <w:sz w:val="18"/>
          <w:szCs w:val="18"/>
          <w:color w:val="auto"/>
        </w:rPr>
        <w:t>term investments with unrealized losses for other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temporary impairment. When assessing short</w:t>
      </w:r>
      <w:r>
        <w:rPr>
          <w:rFonts w:ascii="MS PGothic" w:cs="MS PGothic" w:eastAsia="MS PGothic" w:hAnsi="MS PGothic"/>
          <w:sz w:val="18"/>
          <w:szCs w:val="18"/>
          <w:color w:val="auto"/>
        </w:rPr>
        <w:t>‑</w:t>
      </w:r>
      <w:r>
        <w:rPr>
          <w:rFonts w:ascii="Arial" w:cs="Arial" w:eastAsia="Arial" w:hAnsi="Arial"/>
          <w:sz w:val="18"/>
          <w:szCs w:val="18"/>
          <w:color w:val="auto"/>
        </w:rPr>
        <w:t>term investments for other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temporary declines in value, the Company considers such factors as, among other things, how significant the decline in value is as a percentage of the original cost, the Company’s ability and intent to retain the investment for a period of time sufficient to allow for any anticipated recovery in fair value and market conditions in general. If any adjustment to fair value reflects a decline in the value of the investment that the Company considers to be “other than temporary,” the Company reduces the investment to fair value through a charge to the consolidated statement of operations and comprehensive loss. No such adjustments were necessary during the periods presented.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ind w:right="39" w:firstLine="648"/>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cash equivalents and short-term investments. At December 31, 2019 and 2018, substantially all of the Company’s cash, cash equivalents and short-term investments were held at two financial institutions. The Company generally maintains balances in various operating accounts at financial institutions that management believes to be of high credit</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50" w:name="page151"/>
    <w:bookmarkEnd w:id="1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quality, in amounts that may exceed federally insured limits. The Company has not experienced any losses related to its cash, cash equivalents and short-term investments and does not believe that it is subject to unusual credit risk beyond the normal credit risk associated with commercial banking relationships.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60" w:firstLine="648"/>
        <w:spacing w:after="0" w:line="221" w:lineRule="exact"/>
        <w:rPr>
          <w:sz w:val="20"/>
          <w:szCs w:val="20"/>
          <w:color w:val="auto"/>
        </w:rPr>
      </w:pPr>
      <w:r>
        <w:rPr>
          <w:rFonts w:ascii="Arial" w:cs="Arial" w:eastAsia="Arial" w:hAnsi="Arial"/>
          <w:sz w:val="17"/>
          <w:szCs w:val="17"/>
          <w:color w:val="auto"/>
        </w:rPr>
        <w:t>In conjunction with the Company’s lease agreement entered into in March 2018 (see Note 5), the Company maintains a letter of credit for the benefit of the landlord. As of December 31, 2019 and 2018, the underlying cash balance of $210 securing this letter of credit, was classified as non</w:t>
      </w:r>
      <w:r>
        <w:rPr>
          <w:rFonts w:ascii="MS PGothic" w:cs="MS PGothic" w:eastAsia="MS PGothic" w:hAnsi="MS PGothic"/>
          <w:sz w:val="17"/>
          <w:szCs w:val="17"/>
          <w:color w:val="auto"/>
        </w:rPr>
        <w:t>‑</w:t>
      </w:r>
      <w:r>
        <w:rPr>
          <w:rFonts w:ascii="Arial" w:cs="Arial" w:eastAsia="Arial" w:hAnsi="Arial"/>
          <w:sz w:val="17"/>
          <w:szCs w:val="17"/>
          <w:color w:val="auto"/>
        </w:rPr>
        <w:t>current in its consolidated balance sheet.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Property and equipment are recorded at cost and depreciated over the estimated useful lives of the related assets using the straight-line method.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and comprehensive loss in the period of disposal. The expected useful lives of the respective assets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3 - 5 years</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Laboratory equipment</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vehicles</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5 - 7 years</w:t>
            </w:r>
          </w:p>
        </w:tc>
      </w:tr>
      <w:tr>
        <w:trPr>
          <w:trHeight w:val="202"/>
        </w:trPr>
        <w:tc>
          <w:tcPr>
            <w:tcW w:w="728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1780" w:type="dxa"/>
            <w:vAlign w:val="bottom"/>
          </w:tcPr>
          <w:p>
            <w:pPr>
              <w:jc w:val="center"/>
              <w:spacing w:after="0" w:line="201" w:lineRule="exact"/>
              <w:rPr>
                <w:sz w:val="20"/>
                <w:szCs w:val="20"/>
                <w:color w:val="auto"/>
              </w:rPr>
            </w:pPr>
            <w:r>
              <w:rPr>
                <w:rFonts w:ascii="Arial" w:cs="Arial" w:eastAsia="Arial" w:hAnsi="Arial"/>
                <w:sz w:val="18"/>
                <w:szCs w:val="18"/>
                <w:color w:val="auto"/>
                <w:w w:val="90"/>
              </w:rPr>
              <w:t>Shorter of estimated</w:t>
            </w:r>
          </w:p>
        </w:tc>
      </w:tr>
      <w:tr>
        <w:trPr>
          <w:trHeight w:val="230"/>
        </w:trPr>
        <w:tc>
          <w:tcPr>
            <w:tcW w:w="72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useful life or lease term</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To date, the Company has not recorded any impairment losses on long-lived assets.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common equity financings as deferred offering costs until such financings are consummated. After consummation of the equity financing, these costs are recorded as a reduction to the carrying value of convertible preferred shares or in shareholders’ equity (deficit) as a reduction of additional paid-in capital generated as a result of the offering. Should an in-process equity financing be abandoned, the deferred offering costs will be expensed immediately as a charge to operating expenses in the consolidated statements of operations and comprehensive loss. As of December 31, 2018, the Company recorded deferred offering costs of $433 related to the follow-on offering of its Class A common shares and private placement of its Class A1 Common Shares. The follow-on offering and concurrent private placement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1" w:name="page152"/>
    <w:bookmarkEnd w:id="1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660"/>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were finalized in February 2019, and all prior deferred costs were recorded as a reduction to the carrying value. There were no deferred offering costs recorded as of December 31,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9" w:lineRule="exact"/>
        <w:rPr>
          <w:sz w:val="20"/>
          <w:szCs w:val="20"/>
          <w:color w:val="auto"/>
        </w:rPr>
      </w:pPr>
    </w:p>
    <w:p>
      <w:pPr>
        <w:ind w:left="980" w:hanging="329"/>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25" w:lineRule="exact"/>
        <w:rPr>
          <w:rFonts w:ascii="Arial" w:cs="Arial" w:eastAsia="Arial" w:hAnsi="Arial"/>
          <w:sz w:val="18"/>
          <w:szCs w:val="18"/>
          <w:color w:val="auto"/>
        </w:rPr>
      </w:pPr>
    </w:p>
    <w:p>
      <w:pPr>
        <w:ind w:left="980" w:right="400" w:hanging="329"/>
        <w:spacing w:after="0" w:line="312" w:lineRule="auto"/>
        <w:tabs>
          <w:tab w:leader="none" w:pos="9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6" w:lineRule="exact"/>
        <w:rPr>
          <w:rFonts w:ascii="Arial" w:cs="Arial" w:eastAsia="Arial" w:hAnsi="Arial"/>
          <w:sz w:val="16"/>
          <w:szCs w:val="16"/>
          <w:color w:val="auto"/>
        </w:rPr>
      </w:pPr>
    </w:p>
    <w:p>
      <w:pPr>
        <w:ind w:left="980" w:right="800" w:hanging="329"/>
        <w:spacing w:after="0" w:line="264" w:lineRule="auto"/>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Company’s restricted cash, which is held in a money market fund, is carried at fair value, determined based on Level 1 inputs in the fair value hierarchy described above (see Note 3). The Company’s cash equivalents and short-term investments, consisting of money market accounts and U.S. Treasury notes, are carried at fair value, determined based on Level 1 and 2 inputs in the fair value hierarchy described above (see Note 3). The carrying values of the Company’s prepaid expenses and other current assets, accounts payable and accrued expenses approximate their fair values due to the short-term nature of these assets and liabilities.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In February 2016, the Financial Accounting Standards Board (“FASB”) issued ASU No. 2016-02, </w:t>
      </w:r>
      <w:r>
        <w:rPr>
          <w:rFonts w:ascii="Arial" w:cs="Arial" w:eastAsia="Arial" w:hAnsi="Arial"/>
          <w:sz w:val="17"/>
          <w:szCs w:val="17"/>
          <w:i w:val="1"/>
          <w:iCs w:val="1"/>
          <w:color w:val="auto"/>
        </w:rPr>
        <w:t>Leases (Topic</w:t>
      </w:r>
    </w:p>
    <w:p>
      <w:pPr>
        <w:spacing w:after="0" w:line="35" w:lineRule="exact"/>
        <w:rPr>
          <w:sz w:val="20"/>
          <w:szCs w:val="20"/>
          <w:color w:val="auto"/>
        </w:rPr>
      </w:pPr>
    </w:p>
    <w:p>
      <w:pPr>
        <w:ind w:right="180" w:firstLine="3"/>
        <w:spacing w:after="0" w:line="252" w:lineRule="auto"/>
        <w:tabs>
          <w:tab w:leader="none" w:pos="375" w:val="left"/>
        </w:tabs>
        <w:numPr>
          <w:ilvl w:val="0"/>
          <w:numId w:val="86"/>
        </w:numPr>
        <w:rPr>
          <w:rFonts w:ascii="Arial" w:cs="Arial" w:eastAsia="Arial" w:hAnsi="Arial"/>
          <w:sz w:val="18"/>
          <w:szCs w:val="18"/>
          <w:i w:val="1"/>
          <w:iCs w:val="1"/>
          <w:color w:val="auto"/>
        </w:rPr>
      </w:pPr>
      <w:r>
        <w:rPr>
          <w:rFonts w:ascii="Arial" w:cs="Arial" w:eastAsia="Arial" w:hAnsi="Arial"/>
          <w:sz w:val="18"/>
          <w:szCs w:val="18"/>
          <w:color w:val="auto"/>
        </w:rPr>
        <w:t xml:space="preserve">(“ASU 2016-02”), which set forth the principles for recognition, measurement, presentation and disclosure of lease arrangements to enhance the transparency and comparability of financial reporting related to the arrangements. ASU 2016-02, including subsequently issued amendments, is collectively referred to as Accounting Standards Codification,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842) </w:t>
      </w:r>
      <w:r>
        <w:rPr>
          <w:rFonts w:ascii="Arial" w:cs="Arial" w:eastAsia="Arial" w:hAnsi="Arial"/>
          <w:sz w:val="18"/>
          <w:szCs w:val="18"/>
          <w:color w:val="auto"/>
        </w:rPr>
        <w:t>(“ASC 842”). The Company adopted the new standard on January 1, 2019 using the modified retrospective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 approach as applied to leases existing as of the adoption date. The standard will be applied to all leases entered into after the initial adoption date.</w:t>
      </w:r>
    </w:p>
    <w:p>
      <w:pPr>
        <w:spacing w:after="0" w:line="19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At the inception of an arrangement, the Company determines whether the arrangement is or contains a “lease” as defined by ASC 842. A lease is an arrangement, or part of an arrangement, that conveys the right to control the use of identified property, plant, or equipment (an identified asset) for a period of time in exchange for consideration. The Company determines if the arrangement conveys the right to control the use of an identified asset for a period of time. It assesses throughout the period of use whether the Company has both of the following (1) the right to obtain substantially all of the economic benefits from use of the identified asset and (2) the right to direct the use of the identified asset. This determination is reassessed if the terms of the arrangement are changed. Leases are classified as operating or finance leases based on the terms of the lease agreement and certain characteristics of the identified asset. Right-of-use (“ROU”) assets and lease liabilities are recognized at lease commencement date based on the present value of the minimum future lease payments.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52" w:name="page153"/>
    <w:bookmarkEnd w:id="1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Most leases with a term greater than one year are recognized on the balance sheet as ROU assets with corresponding lease liabilities and, if applicable, long-term lease liabilities. The Company has elected not to recognize leases with a term of one year or less on its balance sheet. Operating leases, ROU assets and their corresponding lease liabilities are recorded based on the present value of lease payments over the expected remaining lease term. However, certain adjustments to the ROU assets may be required for items such as incentives received. The interest rate implicit in lease arrangements is typically not readily determinable. As a result, the Company utilizes its incremental borrowing rate, which is the rate incurred to borrow on a collateralized basis over a similar term an amount equal to the lease payments in a similar economic environment.</w:t>
      </w:r>
    </w:p>
    <w:p>
      <w:pPr>
        <w:spacing w:after="0" w:line="167"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In accordance with the guidance in ASU 2016-02, components of a lease should be split into three categories: lease components (e.g., land, building, etc.), non-lease components (e.g., common area maintenance, consumables, etc.), and non-components (e.g., property taxes, insurance, etc.); then the fixed and in-substance fixed contract consideration (including any related to non-components) must be allocated based on fair values to the lease components and non-lease components.</w:t>
      </w:r>
    </w:p>
    <w:p>
      <w:pPr>
        <w:spacing w:after="0" w:line="15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Although separation of lease and non-lease components is required, certain practical expedients are available. Companies may elect the practical expedient to not separate lease and non-lease components. In which case, the Company would account for each lease component and the related non-lease component together as a single component. The Company has elected to account for the lease and non-lease components of each of its operating leases as a single lease component and allocate all of the arrangement consideration to the lease component only. The lease component results in an operating right-of-use asset being recorded on the balance sheet and amortized on a straight-line basis as lease expense.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manages its operations as a single operating segment for the purposes of assessing performance and making operating decisions. The Company’s singular focus is on developing and delivering therapeutic medicines for patients suffering from debilitating diseases with significant unmet medical need.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140" w:firstLine="648"/>
        <w:spacing w:after="0" w:line="218" w:lineRule="exact"/>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to discover, research and develop drug candidates, including personnel expenses, share</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allocated facility</w:t>
      </w:r>
      <w:r>
        <w:rPr>
          <w:rFonts w:ascii="MS PGothic" w:cs="MS PGothic" w:eastAsia="MS PGothic" w:hAnsi="MS PGothic"/>
          <w:sz w:val="17"/>
          <w:szCs w:val="17"/>
          <w:color w:val="auto"/>
        </w:rPr>
        <w:t>‑</w:t>
      </w:r>
      <w:r>
        <w:rPr>
          <w:rFonts w:ascii="Arial" w:cs="Arial" w:eastAsia="Arial" w:hAnsi="Arial"/>
          <w:sz w:val="17"/>
          <w:szCs w:val="17"/>
          <w:color w:val="auto"/>
        </w:rPr>
        <w:t>related and depreciation expenses, third</w:t>
      </w:r>
      <w:r>
        <w:rPr>
          <w:rFonts w:ascii="MS PGothic" w:cs="MS PGothic" w:eastAsia="MS PGothic" w:hAnsi="MS PGothic"/>
          <w:sz w:val="17"/>
          <w:szCs w:val="17"/>
          <w:color w:val="auto"/>
        </w:rPr>
        <w:t>‑</w:t>
      </w:r>
      <w:r>
        <w:rPr>
          <w:rFonts w:ascii="Arial" w:cs="Arial" w:eastAsia="Arial" w:hAnsi="Arial"/>
          <w:sz w:val="17"/>
          <w:szCs w:val="17"/>
          <w:color w:val="auto"/>
        </w:rPr>
        <w:t>party license fees and external costs of outside vendors engaged to conduct preclinical and clinical development activities and clinical trials as well as to manufacture clinical trial materials. Non</w:t>
      </w:r>
      <w:r>
        <w:rPr>
          <w:rFonts w:ascii="MS PGothic" w:cs="MS PGothic" w:eastAsia="MS PGothic" w:hAnsi="MS PGothic"/>
          <w:sz w:val="17"/>
          <w:szCs w:val="17"/>
          <w:color w:val="auto"/>
        </w:rPr>
        <w:t>‑</w:t>
      </w:r>
      <w:r>
        <w:rPr>
          <w:rFonts w:ascii="Arial" w:cs="Arial" w:eastAsia="Arial" w:hAnsi="Arial"/>
          <w:sz w:val="17"/>
          <w:szCs w:val="17"/>
          <w:color w:val="auto"/>
        </w:rPr>
        <w:t>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Milestone and other payments made to third-parties with respect to in-process research and development, in accordance with the Company’s license, acquisition and other similar agreements are expensed when determined to be probable and estimable.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Company has entered into various research and development-related contracts with companies both inside and outside of the United States. The related costs are recorded as research and development expenses as incurred. The Company records accruals for estimated ongoing research and development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3" w:name="page154"/>
    <w:bookmarkEnd w:id="1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20" w:right="1580"/>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right="619"/>
        <w:spacing w:after="0" w:line="308" w:lineRule="auto"/>
        <w:rPr>
          <w:sz w:val="20"/>
          <w:szCs w:val="20"/>
          <w:color w:val="auto"/>
        </w:rPr>
      </w:pPr>
      <w:r>
        <w:rPr>
          <w:rFonts w:ascii="Arial" w:cs="Arial" w:eastAsia="Arial" w:hAnsi="Arial"/>
          <w:sz w:val="17"/>
          <w:szCs w:val="17"/>
          <w:color w:val="auto"/>
        </w:rPr>
        <w:t>balances at the end of any reporting period. Actual results could differ materially from the Company's estimates. The Company's historical accrual estimates have not been materially different from the actual costs.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ind w:right="399" w:firstLine="648"/>
        <w:spacing w:after="0" w:line="342" w:lineRule="auto"/>
        <w:rPr>
          <w:sz w:val="20"/>
          <w:szCs w:val="20"/>
          <w:color w:val="auto"/>
        </w:rPr>
      </w:pPr>
      <w:r>
        <w:rPr>
          <w:rFonts w:ascii="Arial" w:cs="Arial" w:eastAsia="Arial" w:hAnsi="Arial"/>
          <w:sz w:val="16"/>
          <w:szCs w:val="16"/>
          <w:color w:val="auto"/>
        </w:rPr>
        <w:t>The Company charges patent-related costs in connection with filing and prosecuting patent applications to operations as incurred as their realization is uncertain. These costs are classified as general and administrative expenses.</w:t>
      </w:r>
    </w:p>
    <w:p>
      <w:pPr>
        <w:spacing w:after="0" w:line="124"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b w:val="1"/>
          <w:bCs w:val="1"/>
          <w:i w:val="1"/>
          <w:iCs w:val="1"/>
          <w:color w:val="auto"/>
        </w:rPr>
        <w:t>Share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25" w:lineRule="exact"/>
        <w:rPr>
          <w:sz w:val="20"/>
          <w:szCs w:val="20"/>
          <w:color w:val="auto"/>
        </w:rPr>
      </w:pPr>
    </w:p>
    <w:p>
      <w:pPr>
        <w:ind w:right="139" w:firstLine="648"/>
        <w:spacing w:after="0" w:line="255" w:lineRule="auto"/>
        <w:rPr>
          <w:sz w:val="20"/>
          <w:szCs w:val="20"/>
          <w:color w:val="auto"/>
        </w:rPr>
      </w:pPr>
      <w:r>
        <w:rPr>
          <w:rFonts w:ascii="Arial" w:cs="Arial" w:eastAsia="Arial" w:hAnsi="Arial"/>
          <w:sz w:val="18"/>
          <w:szCs w:val="18"/>
          <w:color w:val="auto"/>
        </w:rPr>
        <w:t>The Company measures all share-based awards granted to employees and directors based on their fair value on the date of the grant and recognizes compensation expense for those awards over the requisite service period. Forfeitures are accounted for as they occur. The Company issues share-based awards with both service-based vesting conditions and performance-based vesting conditions. Expense for awards with service-based vesting is recorded using the straight-line method, and expense for awards with performance-based vesting conditions is recognized using the accelerated-attribution method.</w:t>
      </w:r>
    </w:p>
    <w:p>
      <w:pPr>
        <w:spacing w:after="0" w:line="193" w:lineRule="exact"/>
        <w:rPr>
          <w:sz w:val="20"/>
          <w:szCs w:val="20"/>
          <w:color w:val="auto"/>
        </w:rPr>
      </w:pPr>
    </w:p>
    <w:p>
      <w:pPr>
        <w:ind w:right="119" w:firstLine="648"/>
        <w:spacing w:after="0" w:line="276" w:lineRule="auto"/>
        <w:rPr>
          <w:sz w:val="20"/>
          <w:szCs w:val="20"/>
          <w:color w:val="auto"/>
        </w:rPr>
      </w:pPr>
      <w:r>
        <w:rPr>
          <w:rFonts w:ascii="Arial" w:cs="Arial" w:eastAsia="Arial" w:hAnsi="Arial"/>
          <w:sz w:val="17"/>
          <w:szCs w:val="17"/>
          <w:color w:val="auto"/>
        </w:rPr>
        <w:t>For share-based awards granted to consultants and non-employees, compensation expense is recognized over the vesting period of the awards, which is generally the period during which services are rendered by such consultants and non-employees until completed. At the end of each financial reporting period prior to completion of the service, the fair value of these awards is remeasured using the then-current fair value of the Company's Class A common shares and updated assumption inputs in the Black-Scholes option-pricing model.</w:t>
      </w:r>
    </w:p>
    <w:p>
      <w:pPr>
        <w:spacing w:after="0" w:line="173" w:lineRule="exact"/>
        <w:rPr>
          <w:sz w:val="20"/>
          <w:szCs w:val="20"/>
          <w:color w:val="auto"/>
        </w:rPr>
      </w:pPr>
    </w:p>
    <w:p>
      <w:pPr>
        <w:ind w:right="419" w:firstLine="648"/>
        <w:spacing w:after="0" w:line="264" w:lineRule="auto"/>
        <w:rPr>
          <w:sz w:val="20"/>
          <w:szCs w:val="20"/>
          <w:color w:val="auto"/>
        </w:rPr>
      </w:pPr>
      <w:r>
        <w:rPr>
          <w:rFonts w:ascii="Arial" w:cs="Arial" w:eastAsia="Arial" w:hAnsi="Arial"/>
          <w:sz w:val="18"/>
          <w:szCs w:val="18"/>
          <w:color w:val="auto"/>
        </w:rPr>
        <w:t>The Company classifies share-based compensation expense in its consolidated statements of operations and comprehensive loss in the same manner in which the award recipient's payroll costs are classified or in which the award recipient's service payments are classified.</w:t>
      </w:r>
    </w:p>
    <w:p>
      <w:pPr>
        <w:spacing w:after="0" w:line="181" w:lineRule="exact"/>
        <w:rPr>
          <w:sz w:val="20"/>
          <w:szCs w:val="20"/>
          <w:color w:val="auto"/>
        </w:rPr>
      </w:pPr>
    </w:p>
    <w:p>
      <w:pPr>
        <w:ind w:right="699" w:firstLine="648"/>
        <w:spacing w:after="0" w:line="277" w:lineRule="auto"/>
        <w:rPr>
          <w:sz w:val="20"/>
          <w:szCs w:val="20"/>
          <w:color w:val="auto"/>
        </w:rPr>
      </w:pPr>
      <w:r>
        <w:rPr>
          <w:rFonts w:ascii="Arial" w:cs="Arial" w:eastAsia="Arial" w:hAnsi="Arial"/>
          <w:sz w:val="18"/>
          <w:szCs w:val="18"/>
          <w:color w:val="auto"/>
        </w:rPr>
        <w:t>The fair value of each restricted share award is estimated on the date of grant based on the fair value of the Company’s Class A common shares or Class B common shares on that same date.</w:t>
      </w:r>
    </w:p>
    <w:p>
      <w:pPr>
        <w:spacing w:after="0" w:line="170" w:lineRule="exact"/>
        <w:rPr>
          <w:sz w:val="20"/>
          <w:szCs w:val="20"/>
          <w:color w:val="auto"/>
        </w:rPr>
      </w:pPr>
    </w:p>
    <w:p>
      <w:pPr>
        <w:ind w:right="79" w:firstLine="648"/>
        <w:spacing w:after="0" w:line="269" w:lineRule="auto"/>
        <w:rPr>
          <w:sz w:val="20"/>
          <w:szCs w:val="20"/>
          <w:color w:val="auto"/>
        </w:rPr>
      </w:pPr>
      <w:r>
        <w:rPr>
          <w:rFonts w:ascii="Arial" w:cs="Arial" w:eastAsia="Arial" w:hAnsi="Arial"/>
          <w:sz w:val="17"/>
          <w:szCs w:val="17"/>
          <w:color w:val="auto"/>
        </w:rPr>
        <w:t>The fair value of each option grant is estimated on the date of grant using the Black-Scholes option-pricing model, which requires inputs based on certain subjective assumptions, including the expected share price volatility, the expected term of the award, the risk-free interest rate, and expected dividends (see Note 9). Prior to May 2018, the Company was a private company and, accordingly, lacks company-specific historical and implied volatility information for its shares. Therefore, it estimates its expected share price volatility based on the historical volatility of publicly traded peer companies and expects to continue to do so until such time as it has adequate historical data regarding the volatility of its own traded share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shares and does not expect to pay any cash dividends in the foreseeable future.</w:t>
      </w:r>
    </w:p>
    <w:p>
      <w:pPr>
        <w:spacing w:after="0" w:line="180" w:lineRule="exact"/>
        <w:rPr>
          <w:sz w:val="20"/>
          <w:szCs w:val="20"/>
          <w:color w:val="auto"/>
        </w:rPr>
      </w:pPr>
    </w:p>
    <w:p>
      <w:pPr>
        <w:ind w:right="79" w:firstLine="648"/>
        <w:spacing w:after="0" w:line="259" w:lineRule="auto"/>
        <w:rPr>
          <w:sz w:val="20"/>
          <w:szCs w:val="20"/>
          <w:color w:val="auto"/>
        </w:rPr>
      </w:pPr>
      <w:r>
        <w:rPr>
          <w:rFonts w:ascii="Arial" w:cs="Arial" w:eastAsia="Arial" w:hAnsi="Arial"/>
          <w:sz w:val="18"/>
          <w:szCs w:val="18"/>
          <w:color w:val="auto"/>
        </w:rPr>
        <w:t>The fair value of each restricted share unit award is based on the closing price of the Company’s Class A common shares on the date of grant. Restricted share unit awards with an associated performance condition are evaluated on a regular basis for probability of achievement, to determine the timing of recording share-based compensation expense in the Company’s consolidated statements of operations and comprehensive loss.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6" w:right="1440" w:bottom="1440" w:gutter="0" w:footer="0" w:header="0"/>
        </w:sectPr>
      </w:pPr>
    </w:p>
    <w:bookmarkStart w:id="154" w:name="page155"/>
    <w:bookmarkEnd w:id="1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Comprehensive loss includes net loss as well as other changes in shareholders’ equity (deficit) that result from transactions and economic events other than those with shareholders. For the year ended December 31, 2019 and 2018, the Company’s other comprehensive loss was comprised of unrealized gain (loss) on short-term investments and currency translation adjustments, net of tax.</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benefit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an exempted company incorporated under the laws of Bermuda, the Company is principally subject to taxation in Bermuda. Under the current laws of Bermuda, tax on a company’s income is assessed at a zero percent tax rate. As a result, the Company has not recorded any income tax benefits from losses incurred in Bermuda during each reporting period, and no net operating loss carryforwards will be available to the Company for those losses. The Company’s wholly owned U.S. subsidiary, Kiniksa US, and Primatope are subject to federal and state income taxes in the United States. The Company’s wholly owned subsidiary Kiniksa UK., and its wholly owned subsidiaries, Kiniksa Germany and Kiniksa France are subject to taxation in their respective countries.</w:t>
      </w:r>
    </w:p>
    <w:p>
      <w:pPr>
        <w:spacing w:after="0" w:line="189" w:lineRule="exact"/>
        <w:rPr>
          <w:sz w:val="20"/>
          <w:szCs w:val="20"/>
          <w:color w:val="auto"/>
        </w:rPr>
      </w:pPr>
    </w:p>
    <w:p>
      <w:pPr>
        <w:ind w:right="80" w:firstLine="648"/>
        <w:spacing w:after="0" w:line="218" w:lineRule="exact"/>
        <w:rPr>
          <w:sz w:val="20"/>
          <w:szCs w:val="20"/>
          <w:color w:val="auto"/>
        </w:rPr>
      </w:pPr>
      <w:r>
        <w:rPr>
          <w:rFonts w:ascii="Arial" w:cs="Arial" w:eastAsia="Arial" w:hAnsi="Arial"/>
          <w:sz w:val="18"/>
          <w:szCs w:val="18"/>
          <w:color w:val="auto"/>
        </w:rPr>
        <w:t>The Company’s benefit for income taxes primarily relates to net credits earned against taxable income generated by its wholly owned subsidiaries, primarily, Kiniksa US, under cost</w:t>
      </w:r>
      <w:r>
        <w:rPr>
          <w:rFonts w:ascii="MS PGothic" w:cs="MS PGothic" w:eastAsia="MS PGothic" w:hAnsi="MS PGothic"/>
          <w:sz w:val="18"/>
          <w:szCs w:val="18"/>
          <w:color w:val="auto"/>
        </w:rPr>
        <w:t>‑</w:t>
      </w:r>
      <w:r>
        <w:rPr>
          <w:rFonts w:ascii="Arial" w:cs="Arial" w:eastAsia="Arial" w:hAnsi="Arial"/>
          <w:sz w:val="18"/>
          <w:szCs w:val="18"/>
          <w:color w:val="auto"/>
        </w:rPr>
        <w:t>plus arrangements that they have with the Company. The benefit for income taxes is impacted by the Foreign Derived Intangible Income, or (“FDII”), deduction and U.S. federal and state research and development tax credits. FDII was enacted as part of the tax reform enacted by the United States in December 2017, generally referred to as the U.S. Tax Cuts and Jobs Act with additional proposed regulations and guidance issued in 2019. Upon the completion of the Company’s assessment, the Company has included the tax impact of FDII in its income tax expense for the year ended December 31, 2019, based on its understanding of the rules available at the time of this filing. However, the amounts recorded could be impacted in the future when the proposed regulations and guidance are finalized.</w:t>
      </w:r>
    </w:p>
    <w:p>
      <w:pPr>
        <w:spacing w:after="0" w:line="20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In 2019, the Company identified an uncertain tax position related to historic research and development credits as a result of a R&amp;D study performed (see Note 11).</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5" w:name="page156"/>
    <w:bookmarkEnd w:id="1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The Company follows the two</w:t>
      </w:r>
      <w:r>
        <w:rPr>
          <w:rFonts w:ascii="MS PGothic" w:cs="MS PGothic" w:eastAsia="MS PGothic" w:hAnsi="MS PGothic"/>
          <w:sz w:val="18"/>
          <w:szCs w:val="18"/>
          <w:color w:val="auto"/>
        </w:rPr>
        <w:t>‑</w:t>
      </w:r>
      <w:r>
        <w:rPr>
          <w:rFonts w:ascii="Arial" w:cs="Arial" w:eastAsia="Arial" w:hAnsi="Arial"/>
          <w:sz w:val="18"/>
          <w:szCs w:val="18"/>
          <w:color w:val="auto"/>
        </w:rPr>
        <w:t>class method when computing net loss per share as the Company has issued shares that meet the definition of participating securities. The two</w:t>
      </w:r>
      <w:r>
        <w:rPr>
          <w:rFonts w:ascii="MS PGothic" w:cs="MS PGothic" w:eastAsia="MS PGothic" w:hAnsi="MS PGothic"/>
          <w:sz w:val="18"/>
          <w:szCs w:val="18"/>
          <w:color w:val="auto"/>
        </w:rPr>
        <w:t>‑</w:t>
      </w:r>
      <w:r>
        <w:rPr>
          <w:rFonts w:ascii="Arial" w:cs="Arial" w:eastAsia="Arial" w:hAnsi="Arial"/>
          <w:sz w:val="18"/>
          <w:szCs w:val="18"/>
          <w:color w:val="auto"/>
        </w:rPr>
        <w:t>class method determines net loss per share for each class of common and participating securities according to dividends declared or accumulated and participation rights in undistributed earnings. The two</w:t>
      </w:r>
      <w:r>
        <w:rPr>
          <w:rFonts w:ascii="MS PGothic" w:cs="MS PGothic" w:eastAsia="MS PGothic" w:hAnsi="MS PGothic"/>
          <w:sz w:val="18"/>
          <w:szCs w:val="18"/>
          <w:color w:val="auto"/>
        </w:rPr>
        <w:t>‑</w:t>
      </w:r>
      <w:r>
        <w:rPr>
          <w:rFonts w:ascii="Arial" w:cs="Arial" w:eastAsia="Arial" w:hAnsi="Arial"/>
          <w:sz w:val="18"/>
          <w:szCs w:val="18"/>
          <w:color w:val="auto"/>
        </w:rPr>
        <w:t>class method requires income available to common shareholders for the period to be allocated between common and participating securities based upon their respective rights to receive dividends as if all income for the period had been distributed.</w:t>
      </w:r>
    </w:p>
    <w:p>
      <w:pPr>
        <w:spacing w:after="0" w:line="20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Basic net loss per share attributable to common shareholders is computed by dividing the net loss attributable to common shareholders by the weighted average number of common shares outstanding for the period. Diluted net loss attributable to common shareholders is computed by adjusting net loss attributable to common shareholders to reallocate undistributed earnings based on the potential impact of dilutive securities. Diluted net loss per share attributable to common shareholders is computed by dividing the diluted net loss attributable to common shareholders by the weighted average number of common shares outstanding for the period, including potential dilutive common shares. For purpose of this calculation, outstanding options, unvested restricted common shares and convertible preferred shares are considered potential dilutive common shares.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In February 2016, the Financial Accounting Standards Board (“FASB”) issued Account Standards Update (“ASU”), No. 2016-02, </w:t>
      </w:r>
      <w:r>
        <w:rPr>
          <w:rFonts w:ascii="Arial" w:cs="Arial" w:eastAsia="Arial" w:hAnsi="Arial"/>
          <w:sz w:val="16"/>
          <w:szCs w:val="16"/>
          <w:i w:val="1"/>
          <w:iCs w:val="1"/>
          <w:color w:val="auto"/>
        </w:rPr>
        <w:t>Leases (Topic 842) (“ASU 2016-02”)</w:t>
      </w:r>
      <w:r>
        <w:rPr>
          <w:rFonts w:ascii="Arial" w:cs="Arial" w:eastAsia="Arial" w:hAnsi="Arial"/>
          <w:sz w:val="16"/>
          <w:szCs w:val="16"/>
          <w:color w:val="auto"/>
        </w:rPr>
        <w:t>. The standard, including subsequently issued amendments, collectively referred to as Accounting Standards Codification (“ASC”) 842, established principles of recognition, measurement, presentation and disclosure of lease arrangements applicable to lessees and lessors in order to enhance the transparency and compatibility of financial reporting related to the arrangements, including with respect to the amount, timing and uncertainty of cash flows arising from a lease. The Company adopted new accounting guidance regarding the accounting for leases as of January 1, 2019 using a modified retrospective transition approach that was applied to leases existing as of, or entered into prior to, January 1, 2019. See Note 2, Summary of Significant Accounting Policies, “Leases” for a discussion of the Company’s policy with respect to this standard and Note 5, “Leases” for a discussion of the Company’s adoption of this standard and its impact on its consolidated financial statements and related disclosures.</w:t>
      </w:r>
    </w:p>
    <w:p>
      <w:pPr>
        <w:spacing w:after="0" w:line="16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Upon the adoption of ASC 842, the Company recorded operating lease right-of-use assets of $3,682 and operating lease liabilities of $3,917 for its leases which were in effect and had commenced prior to January 1, 2019 and had original lease terms of more than 12 months.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40" w:firstLine="693"/>
        <w:spacing w:after="0" w:line="270"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 Internal-Use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350-40) (“ASU 2018-15”)</w:t>
      </w:r>
      <w:r>
        <w:rPr>
          <w:rFonts w:ascii="Arial" w:cs="Arial" w:eastAsia="Arial" w:hAnsi="Arial"/>
          <w:sz w:val="17"/>
          <w:szCs w:val="17"/>
          <w:color w:val="auto"/>
        </w:rPr>
        <w:t>, which amends ASC 350-40 to address a customer’s accounting for implementation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costs incurred in a cloud computing arrangement (“CCA”) that is a service contract. ASU 2018-15 aligns the accounting for costs incurred to implement a CCA that is a service contract with the guidance on capitalizing costs associated with developing or obtaining internal-use software. Specifically, the ASU amends ASC 350 to include in its scope implementation costs of a CCA that is a service contract and clarifies that a customer should apply ASC 350-40 to determine which implementation costs should be capitalized in a CCA that is considered a service contract. </w:t>
      </w:r>
      <w:r>
        <w:rPr>
          <w:rFonts w:ascii="Arial" w:cs="Arial" w:eastAsia="Arial" w:hAnsi="Arial"/>
          <w:sz w:val="17"/>
          <w:szCs w:val="17"/>
          <w:color w:val="212529"/>
        </w:rPr>
        <w:t>The standard became effective for</w:t>
      </w:r>
      <w:r>
        <w:rPr>
          <w:rFonts w:ascii="Arial" w:cs="Arial" w:eastAsia="Arial" w:hAnsi="Arial"/>
          <w:sz w:val="17"/>
          <w:szCs w:val="17"/>
          <w:color w:val="auto"/>
        </w:rPr>
        <w:t xml:space="preserve"> </w:t>
      </w:r>
      <w:r>
        <w:rPr>
          <w:rFonts w:ascii="Arial" w:cs="Arial" w:eastAsia="Arial" w:hAnsi="Arial"/>
          <w:sz w:val="17"/>
          <w:szCs w:val="17"/>
          <w:color w:val="212529"/>
        </w:rPr>
        <w:t xml:space="preserve">the Company </w:t>
      </w:r>
      <w:r>
        <w:rPr>
          <w:rFonts w:ascii="Arial" w:cs="Arial" w:eastAsia="Arial" w:hAnsi="Arial"/>
          <w:sz w:val="17"/>
          <w:szCs w:val="17"/>
          <w:color w:val="000000"/>
        </w:rPr>
        <w:t>beginning on January 1, 2020. The Company is currently evaluating the potential impact that ASC 350-40 may</w:t>
      </w:r>
      <w:r>
        <w:rPr>
          <w:rFonts w:ascii="Arial" w:cs="Arial" w:eastAsia="Arial" w:hAnsi="Arial"/>
          <w:sz w:val="17"/>
          <w:szCs w:val="17"/>
          <w:color w:val="212529"/>
        </w:rPr>
        <w:t xml:space="preserve"> </w:t>
      </w:r>
      <w:r>
        <w:rPr>
          <w:rFonts w:ascii="Arial" w:cs="Arial" w:eastAsia="Arial" w:hAnsi="Arial"/>
          <w:sz w:val="17"/>
          <w:szCs w:val="17"/>
          <w:color w:val="000000"/>
        </w:rPr>
        <w:t>have on its consolidated financial statements and related disclosures .</w:t>
      </w:r>
    </w:p>
    <w:p>
      <w:pPr>
        <w:spacing w:after="0" w:line="182"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Credit Losses (Topic 326)(“ASU 2016-13)”</w:t>
      </w:r>
      <w:r>
        <w:rPr>
          <w:rFonts w:ascii="Arial" w:cs="Arial" w:eastAsia="Arial" w:hAnsi="Arial"/>
          <w:sz w:val="17"/>
          <w:szCs w:val="17"/>
          <w:color w:val="auto"/>
        </w:rPr>
        <w:t>, as clarified in ASU 2019-04 and ASU 2019-05. The objective of the standard is to provide information about expected credit losses on financial instruments at each reporting date and to change how other-than-temporary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6" w:name="page157"/>
    <w:bookmarkEnd w:id="1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impairments on investment securities are recorded. The standard became effective for the Company beginning on January 1, 2020. The Company does not anticipate the adoption of this ASU to have a material impact on its consolidated financial statements and related disclosures.</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212529"/>
        </w:rPr>
        <w:t xml:space="preserve">In December 2019, the FASB issued ASU 2019-12, </w:t>
      </w:r>
      <w:r>
        <w:rPr>
          <w:rFonts w:ascii="Arial" w:cs="Arial" w:eastAsia="Arial" w:hAnsi="Arial"/>
          <w:sz w:val="16"/>
          <w:szCs w:val="16"/>
          <w:i w:val="1"/>
          <w:iCs w:val="1"/>
          <w:color w:val="212529"/>
        </w:rPr>
        <w:t>Simplifying the Accounting for Income Taxes (Topic 740)(“ASU</w:t>
      </w:r>
      <w:r>
        <w:rPr>
          <w:rFonts w:ascii="Arial" w:cs="Arial" w:eastAsia="Arial" w:hAnsi="Arial"/>
          <w:sz w:val="16"/>
          <w:szCs w:val="16"/>
          <w:color w:val="212529"/>
        </w:rPr>
        <w:t xml:space="preserve"> </w:t>
      </w:r>
      <w:r>
        <w:rPr>
          <w:rFonts w:ascii="Arial" w:cs="Arial" w:eastAsia="Arial" w:hAnsi="Arial"/>
          <w:sz w:val="16"/>
          <w:szCs w:val="16"/>
          <w:i w:val="1"/>
          <w:iCs w:val="1"/>
          <w:color w:val="212529"/>
        </w:rPr>
        <w:t>2019-12”)</w:t>
      </w:r>
      <w:r>
        <w:rPr>
          <w:rFonts w:ascii="Arial" w:cs="Arial" w:eastAsia="Arial" w:hAnsi="Arial"/>
          <w:sz w:val="16"/>
          <w:szCs w:val="16"/>
          <w:color w:val="212529"/>
        </w:rPr>
        <w:t>. The objective of the standard is to improve areas of GAAP by removing certain exceptions permitted by ASC</w:t>
      </w:r>
      <w:r>
        <w:rPr>
          <w:rFonts w:ascii="Arial" w:cs="Arial" w:eastAsia="Arial" w:hAnsi="Arial"/>
          <w:sz w:val="16"/>
          <w:szCs w:val="16"/>
          <w:i w:val="1"/>
          <w:iCs w:val="1"/>
          <w:color w:val="212529"/>
        </w:rPr>
        <w:t xml:space="preserve"> </w:t>
      </w:r>
      <w:r>
        <w:rPr>
          <w:rFonts w:ascii="Arial" w:cs="Arial" w:eastAsia="Arial" w:hAnsi="Arial"/>
          <w:sz w:val="16"/>
          <w:szCs w:val="16"/>
          <w:color w:val="212529"/>
        </w:rPr>
        <w:t>Topic 740 Income Taxes and clarifying existing guidance to facilitate consistent application. The standard will become effective for the Company beginning on January 1, 2021. The Company is currently evaluating the new standard to determine the potential impact of ASU 2019-12 on its consolidated financial statements and related disclosures.</w:t>
      </w:r>
    </w:p>
    <w:p>
      <w:pPr>
        <w:spacing w:after="0" w:line="154" w:lineRule="exact"/>
        <w:rPr>
          <w:sz w:val="20"/>
          <w:szCs w:val="20"/>
          <w:color w:val="auto"/>
        </w:rPr>
      </w:pPr>
    </w:p>
    <w:p>
      <w:pPr>
        <w:ind w:left="640" w:hanging="637"/>
        <w:spacing w:after="0"/>
        <w:tabs>
          <w:tab w:leader="none" w:pos="6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ind w:right="20" w:firstLine="648"/>
        <w:spacing w:after="0" w:line="220" w:lineRule="exact"/>
        <w:rPr>
          <w:sz w:val="20"/>
          <w:szCs w:val="20"/>
          <w:color w:val="auto"/>
        </w:rPr>
      </w:pPr>
      <w:r>
        <w:rPr>
          <w:rFonts w:ascii="Arial" w:cs="Arial" w:eastAsia="Arial" w:hAnsi="Arial"/>
          <w:sz w:val="17"/>
          <w:szCs w:val="17"/>
          <w:color w:val="auto"/>
        </w:rPr>
        <w:t>Short</w:t>
      </w:r>
      <w:r>
        <w:rPr>
          <w:rFonts w:ascii="MS PGothic" w:cs="MS PGothic" w:eastAsia="MS PGothic" w:hAnsi="MS PGothic"/>
          <w:sz w:val="17"/>
          <w:szCs w:val="17"/>
          <w:color w:val="auto"/>
        </w:rPr>
        <w:t>‑</w:t>
      </w:r>
      <w:r>
        <w:rPr>
          <w:rFonts w:ascii="Arial" w:cs="Arial" w:eastAsia="Arial" w:hAnsi="Arial"/>
          <w:sz w:val="17"/>
          <w:szCs w:val="17"/>
          <w:color w:val="auto"/>
        </w:rPr>
        <w:t>term investments as of December 31, 2019 and 2018 consisted of U.S. Treasury notes all of which are due within six months. As of December 31, 2019 and 2018, the fair value of short</w:t>
      </w:r>
      <w:r>
        <w:rPr>
          <w:rFonts w:ascii="MS PGothic" w:cs="MS PGothic" w:eastAsia="MS PGothic" w:hAnsi="MS PGothic"/>
          <w:sz w:val="17"/>
          <w:szCs w:val="17"/>
          <w:color w:val="auto"/>
        </w:rPr>
        <w:t>‑</w:t>
      </w:r>
      <w:r>
        <w:rPr>
          <w:rFonts w:ascii="Arial" w:cs="Arial" w:eastAsia="Arial" w:hAnsi="Arial"/>
          <w:sz w:val="17"/>
          <w:szCs w:val="17"/>
          <w:color w:val="auto"/>
        </w:rPr>
        <w:t>term investments was $186,452 and $235,328, respectively. As of December 31, 2019, the amortized cost was $186,415 and gross unrealized gain was $37. As of December 31, 2018, the amortized cost was $235,332 and gross unrealized loss was $4.</w:t>
      </w:r>
    </w:p>
    <w:p>
      <w:pPr>
        <w:spacing w:after="0" w:line="20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tables present information about the Company’s financial instruments measured at fair value on a recurring basis and indicate the level of the fair value hierarchy used to determine such fair values:</w:t>
      </w:r>
    </w:p>
    <w:p>
      <w:pPr>
        <w:spacing w:after="0" w:line="176" w:lineRule="exact"/>
        <w:rPr>
          <w:sz w:val="20"/>
          <w:szCs w:val="20"/>
          <w:color w:val="auto"/>
        </w:rPr>
      </w:pPr>
    </w:p>
    <w:p>
      <w:pPr>
        <w:jc w:val="center"/>
        <w:ind w:left="4160"/>
        <w:spacing w:after="0"/>
        <w:rPr>
          <w:sz w:val="20"/>
          <w:szCs w:val="20"/>
          <w:color w:val="auto"/>
        </w:rPr>
      </w:pPr>
      <w:r>
        <w:rPr>
          <w:rFonts w:ascii="Arial" w:cs="Arial" w:eastAsia="Arial" w:hAnsi="Arial"/>
          <w:sz w:val="14"/>
          <w:szCs w:val="14"/>
          <w:b w:val="1"/>
          <w:bCs w:val="1"/>
          <w:color w:val="auto"/>
        </w:rPr>
        <w:t>Fair Value Measurements</w:t>
      </w:r>
    </w:p>
    <w:p>
      <w:pPr>
        <w:jc w:val="center"/>
        <w:ind w:left="4160"/>
        <w:spacing w:after="0" w:line="236" w:lineRule="auto"/>
        <w:rPr>
          <w:sz w:val="20"/>
          <w:szCs w:val="20"/>
          <w:color w:val="auto"/>
        </w:rPr>
      </w:pPr>
      <w:r>
        <w:rPr>
          <w:rFonts w:ascii="Arial" w:cs="Arial" w:eastAsia="Arial" w:hAnsi="Arial"/>
          <w:sz w:val="14"/>
          <w:szCs w:val="14"/>
          <w:b w:val="1"/>
          <w:bCs w:val="1"/>
          <w:color w:val="auto"/>
        </w:rPr>
        <w:t>as of December 31, 2019 Using: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8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3820" w:type="dxa"/>
            <w:vAlign w:val="bottom"/>
          </w:tcPr>
          <w:p>
            <w:pPr>
              <w:ind w:left="120"/>
              <w:spacing w:after="0"/>
              <w:rPr>
                <w:sz w:val="20"/>
                <w:szCs w:val="20"/>
                <w:color w:val="auto"/>
              </w:rPr>
            </w:pPr>
            <w:r>
              <w:rPr>
                <w:rFonts w:ascii="Arial" w:cs="Arial" w:eastAsia="Arial" w:hAnsi="Arial"/>
                <w:sz w:val="18"/>
                <w:szCs w:val="18"/>
                <w:color w:val="auto"/>
              </w:rPr>
              <w:t>Restricted cash — money market funds</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equivalents — money market funds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25,207</w:t>
            </w:r>
          </w:p>
        </w:tc>
      </w:tr>
      <w:tr>
        <w:trPr>
          <w:trHeight w:val="216"/>
        </w:trPr>
        <w:tc>
          <w:tcPr>
            <w:tcW w:w="3820" w:type="dxa"/>
            <w:vAlign w:val="bottom"/>
          </w:tcPr>
          <w:p>
            <w:pPr>
              <w:ind w:left="120"/>
              <w:spacing w:after="0"/>
              <w:rPr>
                <w:sz w:val="20"/>
                <w:szCs w:val="20"/>
                <w:color w:val="auto"/>
              </w:rPr>
            </w:pPr>
            <w:r>
              <w:rPr>
                <w:rFonts w:ascii="Arial" w:cs="Arial" w:eastAsia="Arial" w:hAnsi="Arial"/>
                <w:sz w:val="18"/>
                <w:szCs w:val="18"/>
                <w:color w:val="auto"/>
              </w:rPr>
              <w:t>Cash equivalents — U.S. Treasury notes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10,192</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10,192</w:t>
            </w: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Short-term investments — U.S. Treasury notes</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186,452</w:t>
            </w: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186,452</w:t>
            </w:r>
          </w:p>
        </w:tc>
      </w:tr>
      <w:tr>
        <w:trPr>
          <w:trHeight w:val="217"/>
        </w:trPr>
        <w:tc>
          <w:tcPr>
            <w:tcW w:w="3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25,417</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196,644</w:t>
            </w:r>
          </w:p>
        </w:tc>
        <w:tc>
          <w:tcPr>
            <w:tcW w:w="240" w:type="dxa"/>
            <w:vAlign w:val="bottom"/>
          </w:tcPr>
          <w:p>
            <w:pPr>
              <w:spacing w:after="0"/>
              <w:rPr>
                <w:sz w:val="18"/>
                <w:szCs w:val="18"/>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222,061</w:t>
            </w:r>
          </w:p>
        </w:tc>
      </w:tr>
      <w:tr>
        <w:trPr>
          <w:trHeight w:val="572"/>
        </w:trPr>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3"/>
          </w:tcPr>
          <w:p>
            <w:pPr>
              <w:ind w:left="200"/>
              <w:spacing w:after="0"/>
              <w:rPr>
                <w:sz w:val="20"/>
                <w:szCs w:val="20"/>
                <w:color w:val="auto"/>
              </w:rPr>
            </w:pPr>
            <w:r>
              <w:rPr>
                <w:rFonts w:ascii="Arial" w:cs="Arial" w:eastAsia="Arial" w:hAnsi="Arial"/>
                <w:sz w:val="14"/>
                <w:szCs w:val="14"/>
                <w:b w:val="1"/>
                <w:bCs w:val="1"/>
                <w:color w:val="auto"/>
              </w:rPr>
              <w:t>Fair Value Measurements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1"/>
        </w:trPr>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as of December 31, 2018 Using:</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3820" w:type="dxa"/>
            <w:vAlign w:val="bottom"/>
          </w:tcPr>
          <w:p>
            <w:pPr>
              <w:ind w:left="120"/>
              <w:spacing w:after="0"/>
              <w:rPr>
                <w:sz w:val="20"/>
                <w:szCs w:val="20"/>
                <w:color w:val="auto"/>
              </w:rPr>
            </w:pPr>
            <w:r>
              <w:rPr>
                <w:rFonts w:ascii="Arial" w:cs="Arial" w:eastAsia="Arial" w:hAnsi="Arial"/>
                <w:sz w:val="18"/>
                <w:szCs w:val="18"/>
                <w:color w:val="auto"/>
              </w:rPr>
              <w:t>Restricted cash — money market funds</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equivalents — money market funds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29,721</w:t>
            </w:r>
          </w:p>
        </w:tc>
      </w:tr>
      <w:tr>
        <w:trPr>
          <w:trHeight w:val="216"/>
        </w:trPr>
        <w:tc>
          <w:tcPr>
            <w:tcW w:w="3820" w:type="dxa"/>
            <w:vAlign w:val="bottom"/>
          </w:tcPr>
          <w:p>
            <w:pPr>
              <w:ind w:left="120"/>
              <w:spacing w:after="0"/>
              <w:rPr>
                <w:sz w:val="20"/>
                <w:szCs w:val="20"/>
                <w:color w:val="auto"/>
              </w:rPr>
            </w:pPr>
            <w:r>
              <w:rPr>
                <w:rFonts w:ascii="Arial" w:cs="Arial" w:eastAsia="Arial" w:hAnsi="Arial"/>
                <w:sz w:val="18"/>
                <w:szCs w:val="18"/>
                <w:color w:val="auto"/>
              </w:rPr>
              <w:t>Cash equivalents — U.S. Treasury notes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15,634</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15,634</w:t>
            </w: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Short-term investments — U.S. Treasury notes</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235,328</w:t>
            </w: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235,328</w:t>
            </w:r>
          </w:p>
        </w:tc>
      </w:tr>
      <w:tr>
        <w:trPr>
          <w:trHeight w:val="217"/>
        </w:trPr>
        <w:tc>
          <w:tcPr>
            <w:tcW w:w="3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29,931</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250,962</w:t>
            </w:r>
          </w:p>
        </w:tc>
        <w:tc>
          <w:tcPr>
            <w:tcW w:w="240" w:type="dxa"/>
            <w:vAlign w:val="bottom"/>
          </w:tcPr>
          <w:p>
            <w:pPr>
              <w:spacing w:after="0"/>
              <w:rPr>
                <w:sz w:val="18"/>
                <w:szCs w:val="18"/>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280,893</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years ended December 31, 2019 and 2018, there were no transfers between Level 1, Level 2 and Level 3.</w:t>
      </w:r>
    </w:p>
    <w:p>
      <w:pPr>
        <w:spacing w:after="0" w:line="24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money market funds were valued using quoted prices in active markets, which represent a Level 1 measurement in the fair value hierarchy. The Company’s cash equivalents and short-term investments as of December 31, 2019 and 2018 consisted of U.S. Treasury notes, which are not traded on a daily basis and, therefore, represent a Level 2 measurement in the fair value hierarchy at each period end.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7" w:name="page158"/>
    <w:bookmarkEnd w:id="1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76" w:lineRule="exact"/>
        <w:rPr>
          <w:sz w:val="20"/>
          <w:szCs w:val="20"/>
          <w:color w:val="auto"/>
        </w:rPr>
      </w:pPr>
    </w:p>
    <w:p>
      <w:pPr>
        <w:ind w:left="640" w:hanging="637"/>
        <w:spacing w:after="0"/>
        <w:tabs>
          <w:tab w:leader="none" w:pos="6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92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vehicles</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Lab equipment</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4,685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3,107</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10"/>
        </w:trPr>
        <w:tc>
          <w:tcPr>
            <w:tcW w:w="4920" w:type="dxa"/>
            <w:vAlign w:val="bottom"/>
          </w:tcPr>
          <w:p>
            <w:pPr>
              <w:ind w:left="320"/>
              <w:spacing w:after="0"/>
              <w:rPr>
                <w:sz w:val="20"/>
                <w:szCs w:val="20"/>
                <w:color w:val="auto"/>
              </w:rPr>
            </w:pPr>
            <w:r>
              <w:rPr>
                <w:rFonts w:ascii="Arial" w:cs="Arial" w:eastAsia="Arial" w:hAnsi="Arial"/>
                <w:sz w:val="18"/>
                <w:szCs w:val="18"/>
                <w:color w:val="auto"/>
              </w:rPr>
              <w:t>Total property and equipment</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6,675</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17"/>
        </w:trPr>
        <w:tc>
          <w:tcPr>
            <w:tcW w:w="4920" w:type="dxa"/>
            <w:vAlign w:val="bottom"/>
          </w:tcPr>
          <w:p>
            <w:pPr>
              <w:ind w:left="320"/>
              <w:spacing w:after="0"/>
              <w:rPr>
                <w:sz w:val="20"/>
                <w:szCs w:val="20"/>
                <w:color w:val="auto"/>
              </w:rPr>
            </w:pPr>
            <w:r>
              <w:rPr>
                <w:rFonts w:ascii="Arial" w:cs="Arial" w:eastAsia="Arial" w:hAnsi="Arial"/>
                <w:sz w:val="18"/>
                <w:szCs w:val="18"/>
                <w:color w:val="auto"/>
              </w:rPr>
              <w:t>Total property and equipment, net</w:t>
            </w:r>
          </w:p>
        </w:tc>
        <w:tc>
          <w:tcPr>
            <w:tcW w:w="2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6,356</w:t>
            </w: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of December 31, 2019, construction in progress is primarily comprised of lab equipment which the Company anticipates will be placed into service in 2020.</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Depreciation expense for the years ended December 31, 2019 and 2018 was $2,068 and $286, respectively.</w:t>
      </w:r>
    </w:p>
    <w:p>
      <w:pPr>
        <w:spacing w:after="0" w:line="221" w:lineRule="exact"/>
        <w:rPr>
          <w:sz w:val="20"/>
          <w:szCs w:val="20"/>
          <w:color w:val="auto"/>
        </w:rPr>
      </w:pPr>
    </w:p>
    <w:p>
      <w:pPr>
        <w:ind w:left="640" w:hanging="637"/>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Kiniksa US leases office and laboratory space under operating leases. Leases with an initial term of 12 months or less are not recorded on the balance sheet; the Company recognizes lease expense for these leases on a straight-line basis over the lease term. For lease agreements entered into or reassessed after the Company’s adoption of ASC 842, the Company will combine lease and non-lease components. Kiniksa US’s leases have remaining lease terms of less than 2 years.</w:t>
      </w:r>
    </w:p>
    <w:p>
      <w:pPr>
        <w:spacing w:after="0" w:line="15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July 24, 2015, Kiniksa US entered into an operating lease in Wellesley Hills, Massachusetts for office space that comprised the former headquarters for Kiniksa US. In March 2016, effective August 1, 2016, Kiniksa US entered into an expansion and extension on its lease, which expanded its leased space to a total of 10,800 square feet. On March 31, 2017, Kiniksa US renewed this lease and extended the lease term to August 2018. Monthly lease payments, inclusive of base rent and ancillary charges, were $27.</w:t>
      </w:r>
    </w:p>
    <w:p>
      <w:pPr>
        <w:spacing w:after="0" w:line="18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On March 13, 2018, Kiniksa US entered into an operating lease in Lexington, Massachusetts for office and laboratory space that comprises the new headquarters for Kiniksa US and on June 26, 2018, Kiniksa US entered into an amendment to the lease expanding the rentable space to a total of 27,244 square feet. On November 7, 2018, Kiniksa US entered into an amendment (the “Third Amendment”) to the lease expanding the rentable space to a total of 55,924 square feet which were occupied in phases through December 2019. The lease expires on July 31, 2021. Monthly lease payments include base rent, as well as, ancillary charges such as the share of operating expenses and real estate taxes. Base rent under the Third Amendment is $138 per month as of December 2019.</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December 21, 2018, Kiniksa US entered into an operating lease in San Diego, California for office space comprising a total of 4,400 square feet. The lease commenced on January 1, 2019 and expires on December 31, 2020. Monthly lease payments for base rent are $13. Additional fees for ancillary charges such as the share of operating expenses, parking and real estate taxes are not included in the base rent.</w:t>
      </w:r>
    </w:p>
    <w:p>
      <w:pPr>
        <w:spacing w:after="0" w:line="187"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components of lease cost consisted of operating lease costs and variable lease costs were $1,443 and $152 for the year end ended December 31, 2019. As of December 31, 2019, the weighted-average lease term was 1.47 years and the discount rate was 7.16%.</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8" w:name="page159"/>
    <w:bookmarkEnd w:id="1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operating leases liabilities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9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972</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 and thereafter</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r>
      <w:tr>
        <w:trPr>
          <w:trHeight w:val="210"/>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17"/>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Prior to the adoption of the new lease accounting standard, undiscounted future minimum rents payable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under non-cancelable leases with the initial term exceeding one year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r>
      <w:tr>
        <w:trPr>
          <w:trHeight w:val="210"/>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2020</w:t>
            </w:r>
          </w:p>
        </w:tc>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1,821</w:t>
            </w:r>
          </w:p>
        </w:tc>
      </w:tr>
      <w:tr>
        <w:trPr>
          <w:trHeight w:val="230"/>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r>
      <w:tr>
        <w:trPr>
          <w:trHeight w:val="230"/>
        </w:trPr>
        <w:tc>
          <w:tcPr>
            <w:tcW w:w="7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2022 and thereafter</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w:t>
            </w:r>
          </w:p>
        </w:tc>
      </w:tr>
      <w:tr>
        <w:trPr>
          <w:trHeight w:val="878"/>
        </w:trPr>
        <w:tc>
          <w:tcPr>
            <w:tcW w:w="520" w:type="dxa"/>
            <w:vAlign w:val="bottom"/>
          </w:tcPr>
          <w:p>
            <w:pPr>
              <w:spacing w:after="0"/>
              <w:rPr>
                <w:sz w:val="20"/>
                <w:szCs w:val="20"/>
                <w:color w:val="auto"/>
              </w:rPr>
            </w:pPr>
            <w:r>
              <w:rPr>
                <w:rFonts w:ascii="Arial" w:cs="Arial" w:eastAsia="Arial" w:hAnsi="Arial"/>
                <w:sz w:val="18"/>
                <w:szCs w:val="18"/>
                <w:b w:val="1"/>
                <w:bCs w:val="1"/>
                <w:color w:val="auto"/>
              </w:rPr>
              <w:t>6.</w:t>
            </w:r>
          </w:p>
        </w:tc>
        <w:tc>
          <w:tcPr>
            <w:tcW w:w="6540" w:type="dxa"/>
            <w:vAlign w:val="bottom"/>
          </w:tcPr>
          <w:p>
            <w:pPr>
              <w:ind w:left="100"/>
              <w:spacing w:after="0"/>
              <w:rPr>
                <w:sz w:val="20"/>
                <w:szCs w:val="20"/>
                <w:color w:val="auto"/>
              </w:rPr>
            </w:pPr>
            <w:r>
              <w:rPr>
                <w:rFonts w:ascii="Arial" w:cs="Arial" w:eastAsia="Arial" w:hAnsi="Arial"/>
                <w:sz w:val="18"/>
                <w:szCs w:val="18"/>
                <w:b w:val="1"/>
                <w:bCs w:val="1"/>
                <w:color w:val="auto"/>
              </w:rPr>
              <w:t>Accrued Expenses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6540" w:type="dxa"/>
            <w:vAlign w:val="bottom"/>
          </w:tcPr>
          <w:p>
            <w:pPr>
              <w:ind w:left="140"/>
              <w:spacing w:after="0"/>
              <w:rPr>
                <w:sz w:val="20"/>
                <w:szCs w:val="20"/>
                <w:color w:val="auto"/>
              </w:rPr>
            </w:pPr>
            <w:r>
              <w:rPr>
                <w:rFonts w:ascii="Arial" w:cs="Arial" w:eastAsia="Arial" w:hAnsi="Arial"/>
                <w:sz w:val="18"/>
                <w:szCs w:val="18"/>
                <w:color w:val="auto"/>
              </w:rPr>
              <w:t>Accrued expenses consisted of the following: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5"/>
        </w:trPr>
        <w:tc>
          <w:tcPr>
            <w:tcW w:w="5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18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20" w:type="dxa"/>
            <w:vAlign w:val="bottom"/>
            <w:tcBorders>
              <w:bottom w:val="single" w:sz="8" w:color="CCEEFF"/>
            </w:tcBorders>
          </w:tcPr>
          <w:p>
            <w:pPr>
              <w:spacing w:after="0"/>
              <w:rPr>
                <w:sz w:val="14"/>
                <w:szCs w:val="14"/>
                <w:color w:val="auto"/>
              </w:rPr>
            </w:pPr>
          </w:p>
        </w:tc>
        <w:tc>
          <w:tcPr>
            <w:tcW w:w="6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r>
      <w:tr>
        <w:trPr>
          <w:trHeight w:val="210"/>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research and development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Accrued employee compensation and benefits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7,089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5,678</w:t>
            </w: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legal and professional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16"/>
        </w:trPr>
        <w:tc>
          <w:tcPr>
            <w:tcW w:w="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65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17"/>
        </w:trPr>
        <w:tc>
          <w:tcPr>
            <w:tcW w:w="520" w:type="dxa"/>
            <w:vAlign w:val="bottom"/>
            <w:tcBorders>
              <w:bottom w:val="single" w:sz="8" w:color="CCEEFF"/>
            </w:tcBorders>
            <w:shd w:val="clear" w:color="auto" w:fill="CCEEFF"/>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20,415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16,418</w:t>
            </w:r>
          </w:p>
        </w:tc>
      </w:tr>
    </w:tbl>
    <w:p>
      <w:pPr>
        <w:spacing w:after="0" w:line="200" w:lineRule="exact"/>
        <w:rPr>
          <w:sz w:val="20"/>
          <w:szCs w:val="20"/>
          <w:color w:val="auto"/>
        </w:rPr>
      </w:pPr>
    </w:p>
    <w:p>
      <w:pPr>
        <w:spacing w:after="0" w:line="227" w:lineRule="exact"/>
        <w:rPr>
          <w:sz w:val="20"/>
          <w:szCs w:val="20"/>
          <w:color w:val="auto"/>
        </w:rPr>
      </w:pPr>
    </w:p>
    <w:p>
      <w:pPr>
        <w:ind w:left="680" w:hanging="677"/>
        <w:spacing w:after="0"/>
        <w:tabs>
          <w:tab w:leader="none" w:pos="6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Shares</w:t>
      </w:r>
    </w:p>
    <w:p>
      <w:pPr>
        <w:spacing w:after="0" w:line="229" w:lineRule="exact"/>
        <w:rPr>
          <w:sz w:val="20"/>
          <w:szCs w:val="20"/>
          <w:color w:val="auto"/>
        </w:rPr>
      </w:pPr>
    </w:p>
    <w:p>
      <w:pPr>
        <w:ind w:left="40" w:firstLine="648"/>
        <w:spacing w:after="0" w:line="288" w:lineRule="auto"/>
        <w:rPr>
          <w:sz w:val="20"/>
          <w:szCs w:val="20"/>
          <w:color w:val="auto"/>
        </w:rPr>
      </w:pPr>
      <w:r>
        <w:rPr>
          <w:rFonts w:ascii="Arial" w:cs="Arial" w:eastAsia="Arial" w:hAnsi="Arial"/>
          <w:sz w:val="16"/>
          <w:szCs w:val="16"/>
          <w:color w:val="auto"/>
        </w:rPr>
        <w:t>As of December 31, 2017, the Company’s bye-laws, as amended and restated, designated 22,885,492 authorized shares to be issued as convertible preferred shares with a par value of $0.000273235 per share, of which 17,128,120 shares were further designated as Series A convertible preferred shares (the “Series A preferred shares”) and 5,757,372 shares were further designated as Series B convertible preferred shares (the "Series B preferred shares"). In February 2018, the Company’s bye-laws were further amended and restated to, among other things, effect an increase in the number of authorized convertible preferred shares with a par value of $0.000273235 per share to 35,670,093 shares, of which 12,784,601 shares were further designated as Series C convertible preferred shares (the "Series C preferred shares"). The holders of convertible preferred shares had liquidation rights in the event of a deemed liquidation that, in certain situations, was not solely within the control of the Company. Therefore, the Series A, Series B and Series C convertible preferred shares (collectively, the “Preferred Shares”) were classified outside of shareholders' equity.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9" w:name="page160"/>
    <w:bookmarkEnd w:id="1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left="40" w:right="160" w:firstLine="648"/>
        <w:spacing w:after="0" w:line="277" w:lineRule="auto"/>
        <w:rPr>
          <w:sz w:val="20"/>
          <w:szCs w:val="20"/>
          <w:color w:val="auto"/>
        </w:rPr>
      </w:pPr>
      <w:r>
        <w:rPr>
          <w:rFonts w:ascii="Arial" w:cs="Arial" w:eastAsia="Arial" w:hAnsi="Arial"/>
          <w:sz w:val="18"/>
          <w:szCs w:val="18"/>
          <w:color w:val="auto"/>
        </w:rPr>
        <w:t>In October 2015, the Company issued and sold 8,028,809 Series A preferred shares at a price of $4.6707 per share (the “Series A Original Issue Price”) for proceeds of $37,398, net of issuance costs of $102.</w:t>
      </w:r>
    </w:p>
    <w:p>
      <w:pPr>
        <w:spacing w:after="0" w:line="170" w:lineRule="exact"/>
        <w:rPr>
          <w:sz w:val="20"/>
          <w:szCs w:val="20"/>
          <w:color w:val="auto"/>
        </w:rPr>
      </w:pPr>
    </w:p>
    <w:p>
      <w:pPr>
        <w:ind w:left="40" w:right="320" w:firstLine="648"/>
        <w:spacing w:after="0" w:line="277" w:lineRule="auto"/>
        <w:rPr>
          <w:sz w:val="20"/>
          <w:szCs w:val="20"/>
          <w:color w:val="auto"/>
        </w:rPr>
      </w:pPr>
      <w:r>
        <w:rPr>
          <w:rFonts w:ascii="Arial" w:cs="Arial" w:eastAsia="Arial" w:hAnsi="Arial"/>
          <w:sz w:val="18"/>
          <w:szCs w:val="18"/>
          <w:color w:val="auto"/>
        </w:rPr>
        <w:t>In September 2016, the Company issued and sold an additional 9,099,311 Series A preferred shares at a price of $4.6707 per share for proceeds of $42,499, net of issuance costs of $1.</w:t>
      </w:r>
    </w:p>
    <w:p>
      <w:pPr>
        <w:spacing w:after="0" w:line="170" w:lineRule="exact"/>
        <w:rPr>
          <w:sz w:val="20"/>
          <w:szCs w:val="20"/>
          <w:color w:val="auto"/>
        </w:rPr>
      </w:pPr>
    </w:p>
    <w:p>
      <w:pPr>
        <w:ind w:left="40" w:right="260" w:firstLine="648"/>
        <w:spacing w:after="0" w:line="308" w:lineRule="auto"/>
        <w:rPr>
          <w:sz w:val="20"/>
          <w:szCs w:val="20"/>
          <w:color w:val="auto"/>
        </w:rPr>
      </w:pPr>
      <w:r>
        <w:rPr>
          <w:rFonts w:ascii="Arial" w:cs="Arial" w:eastAsia="Arial" w:hAnsi="Arial"/>
          <w:sz w:val="17"/>
          <w:szCs w:val="17"/>
          <w:color w:val="auto"/>
        </w:rPr>
        <w:t>In March 2017, the Company issued and sold 5,757,372 Series B preferred shares at a price of $6.9475 per share (the “Series B Original Issue Price”) for proceeds of $39,873, net of issuance costs of $127.</w:t>
      </w:r>
    </w:p>
    <w:p>
      <w:pPr>
        <w:spacing w:after="0" w:line="147"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In February 2018, the Company issued and sold 12,784,601 Series C preferred shares at a price of $15.6438 per share (the “Series C Original Issue Price”) for proceeds of $190,822, net of issuance costs of $9,178.</w:t>
      </w:r>
    </w:p>
    <w:p>
      <w:pPr>
        <w:spacing w:after="0" w:line="147"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6"/>
          <w:szCs w:val="16"/>
          <w:color w:val="auto"/>
        </w:rPr>
        <w:t>In May 2018, upon the completion of the Company’s IPO (which qualified as a “Qualified IPO” under the Company’s bye</w:t>
      </w:r>
      <w:r>
        <w:rPr>
          <w:rFonts w:ascii="MS PGothic" w:cs="MS PGothic" w:eastAsia="MS PGothic" w:hAnsi="MS PGothic"/>
          <w:sz w:val="16"/>
          <w:szCs w:val="16"/>
          <w:color w:val="auto"/>
        </w:rPr>
        <w:t>‑</w:t>
      </w:r>
      <w:r>
        <w:rPr>
          <w:rFonts w:ascii="Arial" w:cs="Arial" w:eastAsia="Arial" w:hAnsi="Arial"/>
          <w:sz w:val="16"/>
          <w:szCs w:val="16"/>
          <w:color w:val="auto"/>
        </w:rPr>
        <w:t>laws, as amended and restated), all of the outstanding Preferred Shares were converted into 5,546,019 Class A common shares, 1,070,502 Class B common shares, 12,995,954 Class A1 common shares and 16,057,618 Class B1 common shares in accordance with the Company’s bye</w:t>
      </w:r>
      <w:r>
        <w:rPr>
          <w:rFonts w:ascii="MS PGothic" w:cs="MS PGothic" w:eastAsia="MS PGothic" w:hAnsi="MS PGothic"/>
          <w:sz w:val="16"/>
          <w:szCs w:val="16"/>
          <w:color w:val="auto"/>
        </w:rPr>
        <w:t>‑</w:t>
      </w:r>
      <w:r>
        <w:rPr>
          <w:rFonts w:ascii="Arial" w:cs="Arial" w:eastAsia="Arial" w:hAnsi="Arial"/>
          <w:sz w:val="16"/>
          <w:szCs w:val="16"/>
          <w:color w:val="auto"/>
        </w:rPr>
        <w:t>laws, as amended and restated. In connection with the completion of its IPO in May 2018, the Company amended and restated its bye</w:t>
      </w:r>
      <w:r>
        <w:rPr>
          <w:rFonts w:ascii="MS PGothic" w:cs="MS PGothic" w:eastAsia="MS PGothic" w:hAnsi="MS PGothic"/>
          <w:sz w:val="16"/>
          <w:szCs w:val="16"/>
          <w:color w:val="auto"/>
        </w:rPr>
        <w:t>‑</w:t>
      </w:r>
      <w:r>
        <w:rPr>
          <w:rFonts w:ascii="Arial" w:cs="Arial" w:eastAsia="Arial" w:hAnsi="Arial"/>
          <w:sz w:val="16"/>
          <w:szCs w:val="16"/>
          <w:color w:val="auto"/>
        </w:rPr>
        <w:t>laws to, among other things, authorize the issuance of undesignated preferred shares. As of December 31, 2019, no preferred shares were designated or issued.</w:t>
      </w:r>
    </w:p>
    <w:p>
      <w:pPr>
        <w:spacing w:after="0" w:line="206"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Prior to the conversion to common shares, the holders of the Preferred Shares had the following rights and preferences: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The holders of Preferred Shares were entitled to vote, together with the holders of common shares, on all matters submitted to shareholders for a vote. The holders of Series A preferred shares were entitled to the number of votes per Series A preferred share equal to the number of whole Class B common shares into which the Series A preferred shares were convertible at the time of such vote (which is ten votes for each Class B common share). The holders of Series B preferred shares were entitled to the number of votes per Series B preferred share equal to the number of whole Class A common shares into which the Series B preferred shares were convertible at the time of such vote (which was one vote for each Class A common share). The holders of Series C preferred shares were entitled to the number of votes per Series C preferred share equal to the number of whole Class A common shares into which the Series C preferred shares were convertible at the time of such vote (which was one vote for each Class A common share). Except as provided by law or by the other provisions of the Company’s bye</w:t>
      </w:r>
      <w:r>
        <w:rPr>
          <w:rFonts w:ascii="MS PGothic" w:cs="MS PGothic" w:eastAsia="MS PGothic" w:hAnsi="MS PGothic"/>
          <w:sz w:val="16"/>
          <w:szCs w:val="16"/>
          <w:color w:val="auto"/>
        </w:rPr>
        <w:t>‑</w:t>
      </w:r>
      <w:r>
        <w:rPr>
          <w:rFonts w:ascii="Arial" w:cs="Arial" w:eastAsia="Arial" w:hAnsi="Arial"/>
          <w:sz w:val="16"/>
          <w:szCs w:val="16"/>
          <w:color w:val="auto"/>
        </w:rPr>
        <w:t>laws, holders of Preferred Shares voted together with the holders of common shares as a single class.</w:t>
      </w:r>
    </w:p>
    <w:p>
      <w:pPr>
        <w:spacing w:after="0" w:line="20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holders of Preferred Shares, voting together as a single class, were entitled to elect two directors of the Company. The holders of Preferred Shares, voting together with the holders of common shares as a single class, were entitled to elect the remaining directors of the Company, except for the one director that the holders of Class A common shares and Class B common shares, voting together as a single class were entitled to elect.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ind w:right="180" w:firstLine="648"/>
        <w:spacing w:after="0" w:line="218" w:lineRule="exact"/>
        <w:rPr>
          <w:sz w:val="20"/>
          <w:szCs w:val="20"/>
          <w:color w:val="auto"/>
        </w:rPr>
      </w:pPr>
      <w:r>
        <w:rPr>
          <w:rFonts w:ascii="Arial" w:cs="Arial" w:eastAsia="Arial" w:hAnsi="Arial"/>
          <w:sz w:val="16"/>
          <w:szCs w:val="16"/>
          <w:color w:val="auto"/>
        </w:rPr>
        <w:t>Each Series A preferred share was convertible, at the option of the holder, at any time and from time to time, and without the payment of additional consideration by the holder thereof, in such manner as permitted by Bermuda law, into such number of fully paid and non</w:t>
      </w:r>
      <w:r>
        <w:rPr>
          <w:rFonts w:ascii="MS PGothic" w:cs="MS PGothic" w:eastAsia="MS PGothic" w:hAnsi="MS PGothic"/>
          <w:sz w:val="16"/>
          <w:szCs w:val="16"/>
          <w:color w:val="auto"/>
        </w:rPr>
        <w:t>‑</w:t>
      </w:r>
      <w:r>
        <w:rPr>
          <w:rFonts w:ascii="Arial" w:cs="Arial" w:eastAsia="Arial" w:hAnsi="Arial"/>
          <w:sz w:val="16"/>
          <w:szCs w:val="16"/>
          <w:color w:val="auto"/>
        </w:rPr>
        <w:t>assessable Class B common shares determined by dividing the Series A Original Issue Price by the Series A Conversion Price (as defined below) in effect at the time of conversion. Each Series B preferred share was convertible, at the option of the holder, at any time and from time to time, and without the payment of additional consideration by the holder thereof, in such manner as permitted by Bermuda law, into such number of fully paid and non</w:t>
      </w:r>
      <w:r>
        <w:rPr>
          <w:rFonts w:ascii="MS PGothic" w:cs="MS PGothic" w:eastAsia="MS PGothic" w:hAnsi="MS PGothic"/>
          <w:sz w:val="16"/>
          <w:szCs w:val="16"/>
          <w:color w:val="auto"/>
        </w:rPr>
        <w:t>‑</w:t>
      </w:r>
      <w:r>
        <w:rPr>
          <w:rFonts w:ascii="Arial" w:cs="Arial" w:eastAsia="Arial" w:hAnsi="Arial"/>
          <w:sz w:val="16"/>
          <w:szCs w:val="16"/>
          <w:color w:val="auto"/>
        </w:rPr>
        <w:t>assessable Class A common shares determined by dividing the Series B Original Issue Price by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0" w:name="page161"/>
    <w:bookmarkEnd w:id="1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Series B Conversion Price (as defined below) in effect at the time of conversion. Each Series C preferred share was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convertible, at the option of the holder, at any time and from time to time, and without the payment of additional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consideration by the holder thereof, in such manner as permitted by Bermuda law, into such number of fully paid and</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assessable Class A common shares determined by dividing the Series C Original Issue Price by the Series C Conversion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(as defined below) in effect at the time of conversion.</w:t>
      </w:r>
    </w:p>
    <w:p>
      <w:pPr>
        <w:spacing w:after="0" w:line="21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At the time of the IPO, the Series A Original Issue Price and Series A Conversion Price were equal to $4.6707. The Series B Original Issue Price and Series B Conversion Price were equal to $6.9475, and the Series C Original Issue Price and Series C Conversion Price were equal to $15.6438. Therefore, each Series A preferred share was convertible into one Class B common share, each Series B preferred share was convertible into one Class A common share and each Series C preferred share was convertible into one Class A common share.</w:t>
      </w:r>
    </w:p>
    <w:p>
      <w:pPr>
        <w:spacing w:after="0" w:line="173"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Further, upon either (i) the closing of the sale of Class A common shares or Class B common shares to the public at a price of at least $15.6438 per share (subject to appropriate adjustment in the event of any share dividend, share split, combination or other similar recapitalization with respect to the applicable class of common shares) in an initial public offering resulting in at least $100,000 of gross proceeds to the Company (a “Qualified IPO”) or (ii) the date and time, or the occurrence of an event, specified by vote or written consent of the holders of a majority of the outstanding Preferred Shares, voting together as a single class on an as if converted to Class A common shares basis, all outstanding Series A preferred shares would automatically be converted, in such manner as permitted pursuant to Bermuda law, into Class B common shares at the then effective conversion rate, and all outstanding Series B and Series C preferred shares would automatically be converted, in such manner as permitted pursuant to Bermuda law, into Class A common shares at the then effective conversion rate. Notwithstanding the foregoing, in the event of a mandatory conversion of preferred shares as a result of a Qualified IPO, (a) holders of Series A preferred shares could elect to receive Class B1 common shares in lieu of Class B common shares and (b) holders of Series B and Series C preferred shares could elect to receive Class A1 common shares in lieu of Class A common shares.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The holders of the Preferred Shares were entitled to receive noncumulative dividends when and if declared by the Company’s board of directors. The Company was not permitted to declare, pay or set aside any dividends on any other class or series of shares of the Company, other than dividends on common shares payable in common shares, unless the holders of the Preferred Share first received, or simultaneously received, a dividend on each outstanding Preferred Share equal to (i) in the case of a dividend on any class of common shares or any class or series convertible into common shares, that dividend per Preferred Share as would have equaled the product of (a) the dividend payable on each share of such class or series determined, if applicable, as if all shares of such class or series had been converted into common shares and (b) the number of common shares issuable upon conversion of a share of the applicable series of Preferred Shares, or (ii) in the case of a dividend on any class or series that was not convertible into common shares, at a rate per Preferred Share determined by</w:t>
      </w:r>
    </w:p>
    <w:p>
      <w:pPr>
        <w:spacing w:after="0" w:line="7" w:lineRule="exact"/>
        <w:rPr>
          <w:sz w:val="20"/>
          <w:szCs w:val="20"/>
          <w:color w:val="auto"/>
        </w:rPr>
      </w:pPr>
    </w:p>
    <w:p>
      <w:pPr>
        <w:ind w:right="160" w:firstLine="3"/>
        <w:spacing w:after="0" w:line="253" w:lineRule="auto"/>
        <w:tabs>
          <w:tab w:leader="none" w:pos="245"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dividing the amount of the dividend payable on each share of such class or series of shares by the original issue price of such class or series (subject to appropriate adjustment in the event of any bonus share, share dividend, share split, combination of or other similar recapitalization with respect to such class or series) and (b) multiplying such fraction by an amount equal to the applicable Series A, Series B or Series C Original Issue Price. No cash dividends were declared or paid on the Preferred Shares.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Liquidation Preference</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 xml:space="preserve">In the event of any voluntary or involuntary liquidation, dissolution or winding up of the Company or deemed liquidation event (as defined below), the holders of Preferred Shares then outstanding were entitled to be paid out of the assets of the Company available for distribution to its shareholders,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before any payment was made to the holders of common shares by reason of their ownership thereof, an amount per share equal to the greater of (i) one times the applicable Original Issue Price, plus any dividends declared but unpaid thereon, and (ii) such amount per share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1" w:name="page162"/>
    <w:bookmarkEnd w:id="1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660"/>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would have been payable had all Preferred Shares been converted into common shares immediately prior to such liquidation, dissolution, winding up or deemed liquidation event. Thereafter, the remaining assets of the Company available for distribution to its shareholders would have been distributed among the holders of common shares, pro rata based on the number of shares held by each such holder.</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If upon any such liquidation, dissolution or winding up of the Company or deemed liquidation event, the assets of the Company available for distribution to its shareholders were insufficient to pay the holders of Preferred Shares the full amount to which they were entitled, the holders of Preferred Shares would have shared ratably in any distribution of the assets available for distribution in proportion to the respective amounts which would otherwise have been payable in respect of the shares held by such holders of Preferred Shares upon such distribution if all amounts payable on or with respect to such shares were paid in full.</w:t>
      </w:r>
    </w:p>
    <w:p>
      <w:pPr>
        <w:spacing w:after="0" w:line="193"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Unless a majority of the holders of the then outstanding Preferred Shares elected otherwise, a deemed liquidation event would include a merger or consolidation (other than one in which shareholders of the Company own a majority by voting power of the outstanding shares of the surviving or acquiring company or corporation) or a sale, lease, transfer, exclusive license or other disposition of all or substantially all of the assets of the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The Company’s bye</w:t>
      </w:r>
      <w:r>
        <w:rPr>
          <w:rFonts w:ascii="MS PGothic" w:cs="MS PGothic" w:eastAsia="MS PGothic" w:hAnsi="MS PGothic"/>
          <w:sz w:val="16"/>
          <w:szCs w:val="16"/>
          <w:color w:val="auto"/>
        </w:rPr>
        <w:t>‑</w:t>
      </w:r>
      <w:r>
        <w:rPr>
          <w:rFonts w:ascii="Arial" w:cs="Arial" w:eastAsia="Arial" w:hAnsi="Arial"/>
          <w:sz w:val="16"/>
          <w:szCs w:val="16"/>
          <w:color w:val="auto"/>
        </w:rPr>
        <w:t>laws, as amended and restated, did not provide redemption rights to the holders of Preferred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23" w:lineRule="exact"/>
        <w:rPr>
          <w:sz w:val="20"/>
          <w:szCs w:val="20"/>
          <w:color w:val="auto"/>
        </w:rPr>
      </w:pPr>
    </w:p>
    <w:p>
      <w:pPr>
        <w:ind w:left="680" w:hanging="677"/>
        <w:spacing w:after="0"/>
        <w:tabs>
          <w:tab w:leader="none" w:pos="6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As of December 31, 2017, the Company’s bye</w:t>
      </w:r>
      <w:r>
        <w:rPr>
          <w:rFonts w:ascii="MS PGothic" w:cs="MS PGothic" w:eastAsia="MS PGothic" w:hAnsi="MS PGothic"/>
          <w:sz w:val="16"/>
          <w:szCs w:val="16"/>
          <w:color w:val="auto"/>
        </w:rPr>
        <w:t>‑</w:t>
      </w:r>
      <w:r>
        <w:rPr>
          <w:rFonts w:ascii="Arial" w:cs="Arial" w:eastAsia="Arial" w:hAnsi="Arial"/>
          <w:sz w:val="16"/>
          <w:szCs w:val="16"/>
          <w:color w:val="auto"/>
        </w:rPr>
        <w:t>laws, as amended and restated, authorized the Company to issue 43,918,239 total shares with a par value of $0.000273235, of which 5,507,938 and 3,568,353 shares were designated as Class A and Class B common shares, respectively. In February 2018, the Company’s bye</w:t>
      </w:r>
      <w:r>
        <w:rPr>
          <w:rFonts w:ascii="MS PGothic" w:cs="MS PGothic" w:eastAsia="MS PGothic" w:hAnsi="MS PGothic"/>
          <w:sz w:val="16"/>
          <w:szCs w:val="16"/>
          <w:color w:val="auto"/>
        </w:rPr>
        <w:t>‑</w:t>
      </w:r>
      <w:r>
        <w:rPr>
          <w:rFonts w:ascii="Arial" w:cs="Arial" w:eastAsia="Arial" w:hAnsi="Arial"/>
          <w:sz w:val="16"/>
          <w:szCs w:val="16"/>
          <w:color w:val="auto"/>
        </w:rPr>
        <w:t>laws were further amended and restated to, among other things, effect an increase in the number of authorized common shares to 44,746,463 shares, of which 5,507,938 shares were designated as Class A common shares and 3,568,353 shares were designated as Class B common shares. The remaining 11,956,456 shares that were not designated as common shares or Preferred Shares as of December 31, 2017 could have been designated to any class at any time in the future by the Company’s board of directors. No Class A1 common shares or Class B1 common shares were designated as of December 31, 2017.</w:t>
      </w:r>
    </w:p>
    <w:p>
      <w:pPr>
        <w:spacing w:after="0" w:line="203"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On May 23, 2018, the Company’s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1 relating to the IPO was declared effective by the SEC. On May 29, 2018, the Company completed the IPO of 8,477,777 Class A common shares at a public offering price of $18.00 per share for gross proceeds of $152,600. In addition, on June 22, 2018, the Company completed the sale of 1,006,425 Class A common shares to the underwriters of the IPO following the exercise in part of their over</w:t>
      </w:r>
      <w:r>
        <w:rPr>
          <w:rFonts w:ascii="MS PGothic" w:cs="MS PGothic" w:eastAsia="MS PGothic" w:hAnsi="MS PGothic"/>
          <w:sz w:val="17"/>
          <w:szCs w:val="17"/>
          <w:color w:val="auto"/>
        </w:rPr>
        <w:t>‑</w:t>
      </w:r>
      <w:r>
        <w:rPr>
          <w:rFonts w:ascii="Arial" w:cs="Arial" w:eastAsia="Arial" w:hAnsi="Arial"/>
          <w:sz w:val="17"/>
          <w:szCs w:val="17"/>
          <w:color w:val="auto"/>
        </w:rPr>
        <w:t>allotment option to purchase additional shares at a public offering price of $18.00 per share for gross proceeds of $18,116. The aggregate net proceeds to the Company from the IPO, inclusive of the over</w:t>
      </w:r>
      <w:r>
        <w:rPr>
          <w:rFonts w:ascii="MS PGothic" w:cs="MS PGothic" w:eastAsia="MS PGothic" w:hAnsi="MS PGothic"/>
          <w:sz w:val="17"/>
          <w:szCs w:val="17"/>
          <w:color w:val="auto"/>
        </w:rPr>
        <w:t>‑</w:t>
      </w:r>
      <w:r>
        <w:rPr>
          <w:rFonts w:ascii="Arial" w:cs="Arial" w:eastAsia="Arial" w:hAnsi="Arial"/>
          <w:sz w:val="17"/>
          <w:szCs w:val="17"/>
          <w:color w:val="auto"/>
        </w:rPr>
        <w:t>allotment option exercise, was $155,536 after deducting underwriting discounts and commissions and other offering costs.</w:t>
      </w:r>
    </w:p>
    <w:p>
      <w:pPr>
        <w:spacing w:after="0" w:line="206" w:lineRule="exact"/>
        <w:rPr>
          <w:sz w:val="20"/>
          <w:szCs w:val="20"/>
          <w:color w:val="auto"/>
        </w:rPr>
      </w:pPr>
    </w:p>
    <w:p>
      <w:pPr>
        <w:ind w:right="20" w:firstLine="648"/>
        <w:spacing w:after="0" w:line="218" w:lineRule="exact"/>
        <w:rPr>
          <w:sz w:val="20"/>
          <w:szCs w:val="20"/>
          <w:color w:val="auto"/>
        </w:rPr>
      </w:pPr>
      <w:r>
        <w:rPr>
          <w:rFonts w:ascii="Arial" w:cs="Arial" w:eastAsia="Arial" w:hAnsi="Arial"/>
          <w:sz w:val="18"/>
          <w:szCs w:val="18"/>
          <w:color w:val="auto"/>
        </w:rPr>
        <w:t xml:space="preserve">In May 2018, upon completion of the IPO (which qualified as a “Qualified IPO” under the Company’s bye </w:t>
      </w:r>
      <w:r>
        <w:rPr>
          <w:rFonts w:ascii="MS PGothic" w:cs="MS PGothic" w:eastAsia="MS PGothic" w:hAnsi="MS PGothic"/>
          <w:sz w:val="18"/>
          <w:szCs w:val="18"/>
          <w:color w:val="auto"/>
        </w:rPr>
        <w:t>‑</w:t>
      </w:r>
      <w:r>
        <w:rPr>
          <w:rFonts w:ascii="Arial" w:cs="Arial" w:eastAsia="Arial" w:hAnsi="Arial"/>
          <w:sz w:val="18"/>
          <w:szCs w:val="18"/>
          <w:color w:val="auto"/>
        </w:rPr>
        <w:t>laws, as amended and restated), all outstanding Preferred Shares were converted into 5,546,019 Class A common shares, 1,070,502 Class B common shares, 12,995,954 Class A1 common shares and 16,057,618 Class B1 common shares in accordance with the Company’s bye</w:t>
      </w:r>
      <w:r>
        <w:rPr>
          <w:rFonts w:ascii="MS PGothic" w:cs="MS PGothic" w:eastAsia="MS PGothic" w:hAnsi="MS PGothic"/>
          <w:sz w:val="18"/>
          <w:szCs w:val="18"/>
          <w:color w:val="auto"/>
        </w:rPr>
        <w:t>‑</w:t>
      </w:r>
      <w:r>
        <w:rPr>
          <w:rFonts w:ascii="Arial" w:cs="Arial" w:eastAsia="Arial" w:hAnsi="Arial"/>
          <w:sz w:val="18"/>
          <w:szCs w:val="18"/>
          <w:color w:val="auto"/>
        </w:rPr>
        <w:t>laws, as amended and restated. In connection with the completion of the IPO in May 2018, the Company increased the authorized capital of the Company to $54,647 consisting of 200,000,000 shares of $0.000273235 par value per share and, among other things, amended the description of different classes of shares under the Amended &amp; Restated Bye</w:t>
      </w:r>
      <w:r>
        <w:rPr>
          <w:rFonts w:ascii="MS PGothic" w:cs="MS PGothic" w:eastAsia="MS PGothic" w:hAnsi="MS PGothic"/>
          <w:sz w:val="18"/>
          <w:szCs w:val="18"/>
          <w:color w:val="auto"/>
        </w:rPr>
        <w:t>‑</w:t>
      </w:r>
      <w:r>
        <w:rPr>
          <w:rFonts w:ascii="Arial" w:cs="Arial" w:eastAsia="Arial" w:hAnsi="Arial"/>
          <w:sz w:val="18"/>
          <w:szCs w:val="18"/>
          <w:color w:val="auto"/>
        </w:rPr>
        <w:t>Laws.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62" w:name="page163"/>
    <w:bookmarkEnd w:id="1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February 4, 2019, the Company completed a follow-on offering of 2,654,984 Class A common shares at a public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offering price of $18.26 and a concurrent private placement of 2,000,000 Class A1 common shares at an offering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$18.26 per share for aggregate gross proceeds of $85,000. In addition, on March 1, 2019, the Company completed the sale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161,126 Class A common shares to the underwriters of the follow-on offering following the exercise in part of their over-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allotment option to purchase additional shares at a public offering price of $18.26 per share for gross proceeds of</w:t>
      </w:r>
    </w:p>
    <w:p>
      <w:pPr>
        <w:spacing w:after="0" w:line="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$2,942. The aggregate net proceeds to the Company from the follow-on offering and concurrent private placement, inclusive of the over-allotment option exercise, was $82,988 after deducting underwriting discounts and commissions and other offering costs.</w:t>
      </w:r>
    </w:p>
    <w:p>
      <w:pPr>
        <w:spacing w:after="0" w:line="19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rights of the holders of the Company’s Class A common shares, Class B common shares, Class A1 common shares and Class B1 common shares are identical, except with respect to voting, transferability and conversion, as described below. As of December 31, 2017, the voting, dividend and liquidation rights of the holders of the Company’s common shares were subject to and qualified by the rights, powers and preferences of the holders of the Preferred Shares as set forth above. In May 2018, following the conversion of the Preferred Shares into common shares, the voting, dividend and liquidation rights of the holders of the Company’s common shares were then subject to and qualified by the rights, powers and preferences of the holders of the preferred shares, if any. As of December 31, 2019, no preferred shares were designated or issued.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Each Class A common share entitles the holder to one vote on all matters submitted to the shareholders for a vote. Each Class B common share entitles the holder to ten votes on all matters submitted to the shareholders for a vote. Holders of Class A1 common shares and Class B1 common shares have no voting rights. As of December 31, 2017, the holders of the Class A and Class B common shares, voting together as a single class, were entitled to elect one director of the Company. The holders of the Class A and Class B common shares, voting together with the holders of the Preferred Shares, voting together as a single class, were entitled to elect the remaining directors of the Company, except for the two directors of the Company that the holders of the Preferred Shares, voting together as a single class, were entitled to elect. In May 2018, following the conversion of the Preferred Shares into common shares, the holders of Class A and Class B common shares, voting together as a single class, are entitled to elect the directors of the Company.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Common shareholders are entitled to receive dividends, as may be declared by the Company’s board of directors. As of December 31, 2017, any such dividends would have been subject to the preferential dividend rights of the holders of the Preferred Shares. In May 2018, following the conversion of the Preferred Shares into common shares, any such dividends would be subject to the rights, powers and preferences of the preferred shares, if any. As of December 31, 2019, no preferred shares were designated or issued. Through December 31, 2019, no cash dividends have been declared or paid.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Each Class B common share shall automatically convert into one Class A common share upon certain transfers of such shares by the holder thereof (subject to certain exceptions). Each Class B common share is convertible, at the holder’s election into one Class A common share or one Class B1 common share. Each Class A1 common share is convertible into one Class A common share at the holder’s election (subject to certain exceptions). Each Class B1 common share shall automatically convert into one Class A common share upon certain transfers of such shares by the holder thereof (subject to certain exceptions). Each Class B1 common share is convertible into one Class A common share or one Class B common share at the holder’s election (subject to certain exceptions). There are no conversion rights associated with the Class A common shares.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3" w:name="page164"/>
    <w:bookmarkEnd w:id="1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76" w:lineRule="exact"/>
        <w:rPr>
          <w:sz w:val="20"/>
          <w:szCs w:val="20"/>
          <w:color w:val="auto"/>
        </w:rPr>
      </w:pPr>
    </w:p>
    <w:p>
      <w:pPr>
        <w:ind w:left="660" w:right="6300" w:hanging="657"/>
        <w:spacing w:after="0" w:line="333" w:lineRule="exact"/>
        <w:tabs>
          <w:tab w:leader="none" w:pos="642" w:val="left"/>
        </w:tabs>
        <w:numPr>
          <w:ilvl w:val="0"/>
          <w:numId w:val="93"/>
        </w:numPr>
        <w:rPr>
          <w:rFonts w:ascii="Arial" w:cs="Arial" w:eastAsia="Arial" w:hAnsi="Arial"/>
          <w:sz w:val="15"/>
          <w:szCs w:val="15"/>
          <w:b w:val="1"/>
          <w:bCs w:val="1"/>
          <w:color w:val="auto"/>
        </w:rPr>
      </w:pPr>
      <w:r>
        <w:rPr>
          <w:rFonts w:ascii="Arial" w:cs="Arial" w:eastAsia="Arial" w:hAnsi="Arial"/>
          <w:sz w:val="15"/>
          <w:szCs w:val="15"/>
          <w:b w:val="1"/>
          <w:bCs w:val="1"/>
          <w:color w:val="auto"/>
        </w:rPr>
        <w:t>Share</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 xml:space="preserve">Based Compensation </w:t>
      </w:r>
      <w:r>
        <w:rPr>
          <w:rFonts w:ascii="Arial" w:cs="Arial" w:eastAsia="Arial" w:hAnsi="Arial"/>
          <w:sz w:val="15"/>
          <w:szCs w:val="15"/>
          <w:b w:val="1"/>
          <w:bCs w:val="1"/>
          <w:i w:val="1"/>
          <w:iCs w:val="1"/>
          <w:color w:val="auto"/>
        </w:rPr>
        <w:t>2018 Incentive Award Plan</w:t>
      </w:r>
    </w:p>
    <w:p>
      <w:pPr>
        <w:spacing w:after="0" w:line="203"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May 2018, the Company’s board of directors and shareholders approved the 2018 Incentive Award Plan (the “2018 Plan”), which became effective on May 23, 2018. The 2018 plan provides for the grant of incentive options, nonqualified options, share appreciation rights, restricted shares, dividend equivalents, restricted share units and other share-or cash- based awards. Upon the effectiveness of the 2018 Plan, the Company ceased granting awards under its 2015 Equity Incentive Plan (as amended, the “2015 Plan” together with the 2018 Plan, the “Plans”).</w:t>
      </w:r>
    </w:p>
    <w:p>
      <w:pPr>
        <w:spacing w:after="0" w:line="173"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A total of 4,466,500 Class A common shares were initially reserved for issuance under the 2018 Plan. The number of Class A common shares that may be issued under the 2018 Plan will automatically increase on each January 1, beginning in 2019 and continuing for each fiscal year until, and including, the fiscal year ending December 31, 2028, equal to the lesser of (i) 4% of the Class A common shares outstanding (on an as</w:t>
      </w:r>
      <w:r>
        <w:rPr>
          <w:rFonts w:ascii="MS PGothic" w:cs="MS PGothic" w:eastAsia="MS PGothic" w:hAnsi="MS PGothic"/>
          <w:sz w:val="16"/>
          <w:szCs w:val="16"/>
          <w:color w:val="auto"/>
        </w:rPr>
        <w:t>‑</w:t>
      </w:r>
      <w:r>
        <w:rPr>
          <w:rFonts w:ascii="Arial" w:cs="Arial" w:eastAsia="Arial" w:hAnsi="Arial"/>
          <w:sz w:val="16"/>
          <w:szCs w:val="16"/>
          <w:color w:val="auto"/>
        </w:rPr>
        <w:t>converted basis) on the final day of the immediately preceding calendar year and (ii) a smaller number of Class A common shares determined by the Company’s board of directors. In 2019, the board of directors approved an increase of 1,979,586 shares, equal to 4% of the as-converted Class A common shares outstanding on December 31, 2018. No more than 27,915,000 Class A common shares may be issued under the 2018 Plan upon the exercise of incentive options. The Class A common shares underlying any awards issued under the 2018 Plan or the 2015 Plan that on or after the effective date of the 2018 Plan expire, lapse unexercised or are terminated, exchanged for cash, surrendered, repurchased, canceled without having been fully exercised or forfeited under the 2018 Plan or the 2015 Plan will be added back to the Class A common shares available for issuance under the 2018 Plan. As of December 31, 2019, 2,145,907 shares remained available for future grant.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Rilonacept Long-Term Incentive Plan</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December 2019, the compensation committee of the Company’s board of directors approved the Company’s Rilonacept Long-Term Incentive Plan (“RLTIP”) under the Company’s 2018 Plan to incentivize eligible employees of the Company or any of its subsidiaries to achieve U.S. Food and Drug Administration (“FDA”) approval for the commercial sale and marketing of rilonacept for the treatment of recurrent pericarditis in the United States (“RLTIP Milestone”). The RLTIP provides for the potential to receive a cash award and two grants of restricted share unit (“RSU”) awards covering Class A common shares under the 2018 Plan. The target award value for each of the cash award and the two RSU awards will be equal to one-third of a participant’s annual target bonus for the year of grant, as determined in accordance with the RLTIP.</w:t>
      </w:r>
    </w:p>
    <w:p>
      <w:pPr>
        <w:spacing w:after="0" w:line="16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Depending on the date-range within which the RLTIP Milestone is achieved (such date the “Achievement Date”) occurs, the RLTIP provides for (i) an earnout percentage that can be achieved as to 100%, 50%, 25% or 0% and (ii) an upside earnout percentage that can be achieved as to 50%, 25% or 0%. No awards will be earned or vest, and the second RSU award will not be granted, in the event the Achievement Date does not occur by a specified date.</w:t>
      </w:r>
    </w:p>
    <w:p>
      <w:pPr>
        <w:spacing w:after="0" w:line="17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cash award is eligible to be earned and vested upon the Achievement Date with respect to an amount determined in accordance with the RLTIP based on the earnout percentage. The number of Class A common shares issuable under the first RSU award (“First RSU Award”) as a result of the RLTIP Milestone will be determined in accordance with the RLTIP based on the earnout percentage, and such RSUs will vest on the first anniversary of the Achievement Date, subject to continued employment on such date. The second RSU award will be granted on the Achievement Date with respect to a number of shares determined in accordance with the RLTIP, based on both the earnout percentage and the upside earnout percentage, and will vest on the second anniversary of the Achievement Date, subject to continued employment through such date.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4" w:name="page165"/>
    <w:bookmarkEnd w:id="1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660"/>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225"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Until May 23, 2018 (the effective date of the 2018 Plan), the 2015 Plan provided for the Company to grant qualified incentive options, nonqualified options, share grants and other share</w:t>
      </w:r>
      <w:r>
        <w:rPr>
          <w:rFonts w:ascii="MS PGothic" w:cs="MS PGothic" w:eastAsia="MS PGothic" w:hAnsi="MS PGothic"/>
          <w:sz w:val="17"/>
          <w:szCs w:val="17"/>
          <w:color w:val="auto"/>
        </w:rPr>
        <w:t>‑</w:t>
      </w:r>
      <w:r>
        <w:rPr>
          <w:rFonts w:ascii="Arial" w:cs="Arial" w:eastAsia="Arial" w:hAnsi="Arial"/>
          <w:sz w:val="17"/>
          <w:szCs w:val="17"/>
          <w:color w:val="auto"/>
        </w:rPr>
        <w:t>based awards to employees and non</w:t>
      </w:r>
      <w:r>
        <w:rPr>
          <w:rFonts w:ascii="MS PGothic" w:cs="MS PGothic" w:eastAsia="MS PGothic" w:hAnsi="MS PGothic"/>
          <w:sz w:val="17"/>
          <w:szCs w:val="17"/>
          <w:color w:val="auto"/>
        </w:rPr>
        <w:t>‑</w:t>
      </w:r>
      <w:r>
        <w:rPr>
          <w:rFonts w:ascii="Arial" w:cs="Arial" w:eastAsia="Arial" w:hAnsi="Arial"/>
          <w:sz w:val="17"/>
          <w:szCs w:val="17"/>
          <w:color w:val="auto"/>
        </w:rPr>
        <w:t>employees to purchase the Company’s Class A common shares. On the effective date of the 2018 Plan, the Company ceased granting awards under the 2015 Plan. At that time, the 4,691,213 shares of Class A common shares subject to outstanding awards under the 2015 Plan remained reserved for issuance under the plan pursuant such awards and the 92,170 Class A common shares that had been available for future grant under the 2015 Plan were no longer authorized and reserved for issuance or available for future grant under the 2015 Plan.</w:t>
      </w:r>
    </w:p>
    <w:p>
      <w:pPr>
        <w:spacing w:after="0" w:line="206"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As of December 31, 2019, there were 4,125,923 shares of Class A common shares subject to outstanding awards under the 2015 Plan and reserved for issuance under the 2015 Plan pursuant such awards. On May 23, 2018, the effective date of the 2018 Plan, the Company ceased granting awards under the 2015 Plan and no Class A common shares were available for future grant under the 2015 Plan in connection with the 2018 Plan becoming effective.</w:t>
      </w:r>
    </w:p>
    <w:p>
      <w:pPr>
        <w:spacing w:after="0" w:line="154"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The exercise price for incentive options was determined by the Company’s board of directors. All incentive options granted to any person possessing 10% or less of the total combined voting power of all classes of shares could not have an exercise price of less than 100% of the fair market value of the Class A common shares on the grant date. All incentive options granted to any person possessing more than 10% of the total combined voting power of all classes of shares could not have an exercise price of less than 110% of the fair market value of the Class A common shares on the grant date. The option term for incentive awards could not be greater than 10 years. Incentive options granted to persons possessing more than 10% of the total combined voting power of all classes of shares could not have an option term of greater than five years. The vesting period for equity</w:t>
      </w:r>
      <w:r>
        <w:rPr>
          <w:rFonts w:ascii="MS PGothic" w:cs="MS PGothic" w:eastAsia="MS PGothic" w:hAnsi="MS PGothic"/>
          <w:sz w:val="16"/>
          <w:szCs w:val="16"/>
          <w:color w:val="auto"/>
        </w:rPr>
        <w:t>‑</w:t>
      </w:r>
      <w:r>
        <w:rPr>
          <w:rFonts w:ascii="Arial" w:cs="Arial" w:eastAsia="Arial" w:hAnsi="Arial"/>
          <w:sz w:val="16"/>
          <w:szCs w:val="16"/>
          <w:color w:val="auto"/>
        </w:rPr>
        <w:t>based awards was determined by the board of directors, which was generally four to six years. For awards granted to employees and non</w:t>
      </w:r>
      <w:r>
        <w:rPr>
          <w:rFonts w:ascii="MS PGothic" w:cs="MS PGothic" w:eastAsia="MS PGothic" w:hAnsi="MS PGothic"/>
          <w:sz w:val="16"/>
          <w:szCs w:val="16"/>
          <w:color w:val="auto"/>
        </w:rPr>
        <w:t>‑</w:t>
      </w:r>
      <w:r>
        <w:rPr>
          <w:rFonts w:ascii="Arial" w:cs="Arial" w:eastAsia="Arial" w:hAnsi="Arial"/>
          <w:sz w:val="16"/>
          <w:szCs w:val="16"/>
          <w:color w:val="auto"/>
        </w:rPr>
        <w:t>employees with four</w:t>
      </w:r>
      <w:r>
        <w:rPr>
          <w:rFonts w:ascii="MS PGothic" w:cs="MS PGothic" w:eastAsia="MS PGothic" w:hAnsi="MS PGothic"/>
          <w:sz w:val="16"/>
          <w:szCs w:val="16"/>
          <w:color w:val="auto"/>
        </w:rPr>
        <w:t>‑</w:t>
      </w:r>
      <w:r>
        <w:rPr>
          <w:rFonts w:ascii="Arial" w:cs="Arial" w:eastAsia="Arial" w:hAnsi="Arial"/>
          <w:sz w:val="16"/>
          <w:szCs w:val="16"/>
          <w:color w:val="auto"/>
        </w:rPr>
        <w:t>year vesting terms, 25% of the option vests on the first anniversary of the grant date and the remaining shares vest equally each month for three years thereafter. For awards granted to employees with six</w:t>
      </w:r>
      <w:r>
        <w:rPr>
          <w:rFonts w:ascii="MS PGothic" w:cs="MS PGothic" w:eastAsia="MS PGothic" w:hAnsi="MS PGothic"/>
          <w:sz w:val="16"/>
          <w:szCs w:val="16"/>
          <w:color w:val="auto"/>
        </w:rPr>
        <w:t>‑</w:t>
      </w:r>
      <w:r>
        <w:rPr>
          <w:rFonts w:ascii="Arial" w:cs="Arial" w:eastAsia="Arial" w:hAnsi="Arial"/>
          <w:sz w:val="16"/>
          <w:szCs w:val="16"/>
          <w:color w:val="auto"/>
        </w:rPr>
        <w:t>year vesting terms, 16% of the option vests on the first anniversary of the grant date and the remaining shares vest based on a predetermined vesting schedule for five years thereafter.</w:t>
      </w:r>
    </w:p>
    <w:p>
      <w:pPr>
        <w:spacing w:after="0" w:line="20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Shares that are expired, terminated, surrendered or canceled under the 2015 Plan without having been fully exercised become be available for future awards under the 2018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 Option Grants During the Years Ended December 31, 2019 and 2018</w:t>
      </w:r>
    </w:p>
    <w:p>
      <w:pPr>
        <w:spacing w:after="0" w:line="225" w:lineRule="exact"/>
        <w:rPr>
          <w:sz w:val="20"/>
          <w:szCs w:val="20"/>
          <w:color w:val="auto"/>
        </w:rPr>
      </w:pPr>
    </w:p>
    <w:p>
      <w:pPr>
        <w:ind w:right="400" w:firstLine="648"/>
        <w:spacing w:after="0" w:line="220" w:lineRule="exact"/>
        <w:rPr>
          <w:sz w:val="20"/>
          <w:szCs w:val="20"/>
          <w:color w:val="auto"/>
        </w:rPr>
      </w:pPr>
      <w:r>
        <w:rPr>
          <w:rFonts w:ascii="Arial" w:cs="Arial" w:eastAsia="Arial" w:hAnsi="Arial"/>
          <w:sz w:val="18"/>
          <w:szCs w:val="18"/>
          <w:color w:val="auto"/>
        </w:rPr>
        <w:t>During the years ended December 31, 2019 and 2018, the Company granted options to purchase 3,605,388 and 3,114,139 Class A common shares, respectively, to employees and directors. The Company recorded share</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for options granted to employees and directors of $13,322 and $5,464 during the years ended December 31, 2019 and 2018, respectively.</w:t>
      </w:r>
    </w:p>
    <w:p>
      <w:pPr>
        <w:spacing w:after="0" w:line="204" w:lineRule="exact"/>
        <w:rPr>
          <w:sz w:val="20"/>
          <w:szCs w:val="20"/>
          <w:color w:val="auto"/>
        </w:rPr>
      </w:pPr>
    </w:p>
    <w:p>
      <w:pPr>
        <w:ind w:right="260" w:firstLine="648"/>
        <w:spacing w:after="0" w:line="221" w:lineRule="exact"/>
        <w:rPr>
          <w:sz w:val="20"/>
          <w:szCs w:val="20"/>
          <w:color w:val="auto"/>
        </w:rPr>
      </w:pPr>
      <w:r>
        <w:rPr>
          <w:rFonts w:ascii="Arial" w:cs="Arial" w:eastAsia="Arial" w:hAnsi="Arial"/>
          <w:sz w:val="16"/>
          <w:szCs w:val="16"/>
          <w:color w:val="auto"/>
        </w:rPr>
        <w:t>During the years ended December 31, 2019 and 2018, the Company granted options to purchase 3,200 and 4,000 Class A common shares, respectively, to non</w:t>
      </w:r>
      <w:r>
        <w:rPr>
          <w:rFonts w:ascii="MS PGothic" w:cs="MS PGothic" w:eastAsia="MS PGothic" w:hAnsi="MS PGothic"/>
          <w:sz w:val="16"/>
          <w:szCs w:val="16"/>
          <w:color w:val="auto"/>
        </w:rPr>
        <w:t>‑</w:t>
      </w:r>
      <w:r>
        <w:rPr>
          <w:rFonts w:ascii="Arial" w:cs="Arial" w:eastAsia="Arial" w:hAnsi="Arial"/>
          <w:sz w:val="16"/>
          <w:szCs w:val="16"/>
          <w:color w:val="auto"/>
        </w:rPr>
        <w:t>employees. The Company recorded share</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for options granted to non</w:t>
      </w:r>
      <w:r>
        <w:rPr>
          <w:rFonts w:ascii="MS PGothic" w:cs="MS PGothic" w:eastAsia="MS PGothic" w:hAnsi="MS PGothic"/>
          <w:sz w:val="16"/>
          <w:szCs w:val="16"/>
          <w:color w:val="auto"/>
        </w:rPr>
        <w:t>‑</w:t>
      </w:r>
      <w:r>
        <w:rPr>
          <w:rFonts w:ascii="Arial" w:cs="Arial" w:eastAsia="Arial" w:hAnsi="Arial"/>
          <w:sz w:val="16"/>
          <w:szCs w:val="16"/>
          <w:color w:val="auto"/>
        </w:rPr>
        <w:t>employees of $94 and $130 during the years ended December 31, 2019 and 2018, respectively.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2018 Employee Share Purchase Plan</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May 2018, the Company’s board of directors and shareholders approved the 2018 Employee Share Purchase Plan (the “2018 ESPP”), which became effective on May 23, 2018. A total of 670,000 Class A common shares were initially reserved for issuance under the 2018 ESPP. The number of Class A common shares that may be issued under the 2018 ESPP will automatically increase on each January 1, beginning in 2019 and continuing for each fiscal year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65" w:name="page166"/>
    <w:bookmarkEnd w:id="1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right="80"/>
        <w:spacing w:after="0" w:line="218" w:lineRule="exact"/>
        <w:rPr>
          <w:sz w:val="20"/>
          <w:szCs w:val="20"/>
          <w:color w:val="auto"/>
        </w:rPr>
      </w:pPr>
      <w:r>
        <w:rPr>
          <w:rFonts w:ascii="Arial" w:cs="Arial" w:eastAsia="Arial" w:hAnsi="Arial"/>
          <w:sz w:val="16"/>
          <w:szCs w:val="16"/>
          <w:color w:val="auto"/>
        </w:rPr>
        <w:t>until, and including, the fiscal year ending December 31, 2028, equal to the lesser of (i) 1% of the Class A common shares outstanding (on an as</w:t>
      </w:r>
      <w:r>
        <w:rPr>
          <w:rFonts w:ascii="MS PGothic" w:cs="MS PGothic" w:eastAsia="MS PGothic" w:hAnsi="MS PGothic"/>
          <w:sz w:val="16"/>
          <w:szCs w:val="16"/>
          <w:color w:val="auto"/>
        </w:rPr>
        <w:t>‑</w:t>
      </w:r>
      <w:r>
        <w:rPr>
          <w:rFonts w:ascii="Arial" w:cs="Arial" w:eastAsia="Arial" w:hAnsi="Arial"/>
          <w:sz w:val="16"/>
          <w:szCs w:val="16"/>
          <w:color w:val="auto"/>
        </w:rPr>
        <w:t>converted basis) on the final day of the immediately preceding calendar year and (ii) a smaller number of Class A common shares determined by the Company’s board of directors, provided that no more than 6,420,000 Class A common shares may be issued under the 2018 ESPP. As of December 31, 2019, 598,334 Class A common shares were available for future issuance under the 2018 ESPP. In December 2019, the Company’s board of directors determined that the January 1, 2020 automatic increase in shares available under the 2018 ESPP would be zero shares.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Option Valuation</w:t>
      </w:r>
    </w:p>
    <w:p>
      <w:pPr>
        <w:spacing w:after="0" w:line="225" w:lineRule="exact"/>
        <w:rPr>
          <w:sz w:val="20"/>
          <w:szCs w:val="20"/>
          <w:color w:val="auto"/>
        </w:rPr>
      </w:pPr>
    </w:p>
    <w:p>
      <w:pPr>
        <w:ind w:right="120" w:firstLine="648"/>
        <w:spacing w:after="0" w:line="221" w:lineRule="exact"/>
        <w:rPr>
          <w:sz w:val="20"/>
          <w:szCs w:val="20"/>
          <w:color w:val="auto"/>
        </w:rPr>
      </w:pPr>
      <w:r>
        <w:rPr>
          <w:rFonts w:ascii="Arial" w:cs="Arial" w:eastAsia="Arial" w:hAnsi="Arial"/>
          <w:sz w:val="18"/>
          <w:szCs w:val="18"/>
          <w:color w:val="auto"/>
        </w:rPr>
        <w:t>The assumptions that the Company used to determine the grant</w:t>
      </w:r>
      <w:r>
        <w:rPr>
          <w:rFonts w:ascii="MS PGothic" w:cs="MS PGothic" w:eastAsia="MS PGothic" w:hAnsi="MS PGothic"/>
          <w:sz w:val="18"/>
          <w:szCs w:val="18"/>
          <w:color w:val="auto"/>
        </w:rPr>
        <w:t>‑</w:t>
      </w:r>
      <w:r>
        <w:rPr>
          <w:rFonts w:ascii="Arial" w:cs="Arial" w:eastAsia="Arial" w:hAnsi="Arial"/>
          <w:sz w:val="18"/>
          <w:szCs w:val="18"/>
          <w:color w:val="auto"/>
        </w:rPr>
        <w:t>date fair value of options granted to employees and directors under the 2015 Plan and the 2018 Plan (collectively, the “Plans”) during the years ended December 31, 2019 and 2018 were as follows, presented on a weighted</w:t>
      </w:r>
      <w:r>
        <w:rPr>
          <w:rFonts w:ascii="MS PGothic" w:cs="MS PGothic" w:eastAsia="MS PGothic" w:hAnsi="MS PGothic"/>
          <w:sz w:val="18"/>
          <w:szCs w:val="18"/>
          <w:color w:val="auto"/>
        </w:rPr>
        <w:t>‑</w:t>
      </w:r>
      <w:r>
        <w:rPr>
          <w:rFonts w:ascii="Arial" w:cs="Arial" w:eastAsia="Arial" w:hAnsi="Arial"/>
          <w:sz w:val="18"/>
          <w:szCs w:val="18"/>
          <w:color w:val="auto"/>
        </w:rPr>
        <w:t>average basis:</w:t>
      </w:r>
    </w:p>
    <w:p>
      <w:pPr>
        <w:spacing w:after="0" w:line="207"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Years Ended</w:t>
      </w:r>
    </w:p>
    <w:p>
      <w:pPr>
        <w:ind w:left="75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00" w:type="dxa"/>
            <w:vAlign w:val="bottom"/>
          </w:tcPr>
          <w:p>
            <w:pPr>
              <w:jc w:val="right"/>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0 %</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0 %</w:t>
            </w:r>
          </w:p>
        </w:tc>
      </w:tr>
    </w:tbl>
    <w:p>
      <w:pPr>
        <w:spacing w:after="0" w:line="21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assumptions that the Company used to determine the fair value of options granted to non-employees were as follows, presented on a weighted-average basis:</w:t>
      </w:r>
    </w:p>
    <w:p>
      <w:pPr>
        <w:spacing w:after="0" w:line="176"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Years Ended</w:t>
      </w:r>
    </w:p>
    <w:p>
      <w:pPr>
        <w:ind w:left="75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00" w:type="dxa"/>
            <w:vAlign w:val="bottom"/>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0 %</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0 %</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ind w:right="160" w:firstLine="648"/>
        <w:spacing w:after="0" w:line="217" w:lineRule="exact"/>
        <w:rPr>
          <w:sz w:val="20"/>
          <w:szCs w:val="20"/>
          <w:color w:val="auto"/>
        </w:rPr>
      </w:pPr>
      <w:r>
        <w:rPr>
          <w:rFonts w:ascii="Arial" w:cs="Arial" w:eastAsia="Arial" w:hAnsi="Arial"/>
          <w:sz w:val="16"/>
          <w:szCs w:val="16"/>
          <w:color w:val="auto"/>
        </w:rPr>
        <w:t>Through December 31, 2017, all options granted by the Company under the 2015 Plan were for the purchase of Class A common shares. Until May 23, 2018 (the effective date of the 2018 Plan), the 2015 Plan provided for the Company to grant qualified incentive share options, nonqualified share options, share grants and other share</w:t>
      </w:r>
      <w:r>
        <w:rPr>
          <w:rFonts w:ascii="MS PGothic" w:cs="MS PGothic" w:eastAsia="MS PGothic" w:hAnsi="MS PGothic"/>
          <w:sz w:val="16"/>
          <w:szCs w:val="16"/>
          <w:color w:val="auto"/>
        </w:rPr>
        <w:t>‑</w:t>
      </w:r>
      <w:r>
        <w:rPr>
          <w:rFonts w:ascii="Arial" w:cs="Arial" w:eastAsia="Arial" w:hAnsi="Arial"/>
          <w:sz w:val="16"/>
          <w:szCs w:val="16"/>
          <w:color w:val="auto"/>
        </w:rPr>
        <w:t>based awards to employees, directors, and consultants to purchase the Company’s Class A common shares. On May 23, 2018, the Company ceased granting awards under the 2015 Plan. At that time, shares of Class A common shares subject to outstanding awards under the 2015 Plan remained reserved for issuance under the plan pursuant such awards and shares of Class A common shares that had been available for future grant under the 2015 Plan were no longer authorized and reserved for issuance or available for future grant under the 2015 Plan. However, the 2015 Plan continues to govern the terms and conditions of the outstanding awards granted under it. Class A common shares subject to awards granted under the 2015 Plan that are forfeited, lapse unexercised or are settled in cash become available for issuance under the 2018 Plan.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6" w:name="page167"/>
    <w:bookmarkEnd w:id="1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option activity for the year ended December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8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860" w:type="dxa"/>
            <w:vAlign w:val="bottom"/>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5,960,939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108,352</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3,608,588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13.44</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(927,540)</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15.26</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8,491,734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11.17</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27,217</w:t>
            </w:r>
          </w:p>
        </w:tc>
        <w:tc>
          <w:tcPr>
            <w:tcW w:w="0" w:type="dxa"/>
            <w:vAlign w:val="bottom"/>
          </w:tcPr>
          <w:p>
            <w:pPr>
              <w:spacing w:after="0"/>
              <w:rPr>
                <w:sz w:val="1"/>
                <w:szCs w:val="1"/>
                <w:color w:val="auto"/>
              </w:rPr>
            </w:pPr>
          </w:p>
        </w:tc>
      </w:tr>
      <w:tr>
        <w:trPr>
          <w:trHeight w:val="203"/>
        </w:trPr>
        <w:tc>
          <w:tcPr>
            <w:tcW w:w="5540" w:type="dxa"/>
            <w:vAlign w:val="bottom"/>
          </w:tcPr>
          <w:p>
            <w:pPr>
              <w:spacing w:after="0" w:line="203" w:lineRule="exact"/>
              <w:rPr>
                <w:sz w:val="20"/>
                <w:szCs w:val="20"/>
                <w:color w:val="auto"/>
              </w:rPr>
            </w:pPr>
            <w:r>
              <w:rPr>
                <w:rFonts w:ascii="Arial" w:cs="Arial" w:eastAsia="Arial" w:hAnsi="Arial"/>
                <w:sz w:val="18"/>
                <w:szCs w:val="18"/>
                <w:color w:val="auto"/>
              </w:rPr>
              <w:t>Options exercisable as of December 31, 2019</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w w:val="94"/>
              </w:rPr>
              <w:t>3,373,659</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7.29</w:t>
            </w:r>
          </w:p>
        </w:tc>
        <w:tc>
          <w:tcPr>
            <w:tcW w:w="16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6.24</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19,903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Options unvested as of 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5,118,075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aggregate intrinsic value of options is calculated as the difference between the exercise price of the options and the fair value of the Company’s common shares for those options that had exercise prices lower than the fair value of the Company’s common shares.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year ended December 31, 2019, option holders exercised 150,253 options for Class A common shares with an intrinsic value of $1,776 for total cash proceeds to the Company of $590. During the year ended December 31, 2018, option holders exercised 25,683 options for Class A common shares with an intrinsic value of $411 for total cash proceeds to the Company of $87.</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weighted-average grant-date fair value per share of options granted during the years ended December 31, 2019 and 2018 was $9.36 and $11.96, respectively.</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total fair value of options vested during the years ended December 31, 2019 and 2018 was $13,997 and $2,255,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25" w:lineRule="exact"/>
        <w:rPr>
          <w:sz w:val="20"/>
          <w:szCs w:val="20"/>
          <w:color w:val="auto"/>
        </w:rPr>
      </w:pPr>
    </w:p>
    <w:p>
      <w:pPr>
        <w:ind w:right="80" w:firstLine="648"/>
        <w:spacing w:after="0" w:line="219" w:lineRule="exact"/>
        <w:rPr>
          <w:sz w:val="20"/>
          <w:szCs w:val="20"/>
          <w:color w:val="auto"/>
        </w:rPr>
      </w:pPr>
      <w:r>
        <w:rPr>
          <w:rFonts w:ascii="Arial" w:cs="Arial" w:eastAsia="Arial" w:hAnsi="Arial"/>
          <w:sz w:val="16"/>
          <w:szCs w:val="16"/>
          <w:color w:val="auto"/>
        </w:rPr>
        <w:t>Under terms of the Class A and Class B restricted share agreements covering the Class A and Class B common shares, the restricted shares vest over a four</w:t>
      </w:r>
      <w:r>
        <w:rPr>
          <w:rFonts w:ascii="MS PGothic" w:cs="MS PGothic" w:eastAsia="MS PGothic" w:hAnsi="MS PGothic"/>
          <w:sz w:val="16"/>
          <w:szCs w:val="16"/>
          <w:color w:val="auto"/>
        </w:rPr>
        <w:t>‑</w:t>
      </w:r>
      <w:r>
        <w:rPr>
          <w:rFonts w:ascii="Arial" w:cs="Arial" w:eastAsia="Arial" w:hAnsi="Arial"/>
          <w:sz w:val="16"/>
          <w:szCs w:val="16"/>
          <w:color w:val="auto"/>
        </w:rPr>
        <w:t>year period during which time the Company has the right to repurchase up to all unvested shares at the amount paid if the relationship between the recipient and the Company ceases. Subject to the continued employment (or other engagement of the recipient by the Company as described in the restricted share agreements), all of the restricted common shares became fully vested within four years of the date of issuance.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7" w:name="page168"/>
    <w:bookmarkEnd w:id="1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restricted share activity for the year ended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Class A</w:t>
            </w:r>
          </w:p>
        </w:tc>
        <w:tc>
          <w:tcPr>
            <w:tcW w:w="760" w:type="dxa"/>
            <w:vAlign w:val="bottom"/>
          </w:tcPr>
          <w:p>
            <w:pPr>
              <w:spacing w:after="0"/>
              <w:rPr>
                <w:sz w:val="14"/>
                <w:szCs w:val="14"/>
                <w:color w:val="auto"/>
              </w:rPr>
            </w:pPr>
          </w:p>
        </w:tc>
        <w:tc>
          <w:tcPr>
            <w:tcW w:w="1320" w:type="dxa"/>
            <w:vAlign w:val="bottom"/>
            <w:gridSpan w:val="2"/>
          </w:tcPr>
          <w:p>
            <w:pPr>
              <w:jc w:val="right"/>
              <w:ind w:right="743"/>
              <w:spacing w:after="0"/>
              <w:rPr>
                <w:sz w:val="20"/>
                <w:szCs w:val="20"/>
                <w:color w:val="auto"/>
              </w:rPr>
            </w:pPr>
            <w:r>
              <w:rPr>
                <w:rFonts w:ascii="Arial" w:cs="Arial" w:eastAsia="Arial" w:hAnsi="Arial"/>
                <w:sz w:val="14"/>
                <w:szCs w:val="14"/>
                <w:b w:val="1"/>
                <w:bCs w:val="1"/>
                <w:color w:val="auto"/>
                <w:w w:val="93"/>
              </w:rPr>
              <w:t>Class B</w:t>
            </w: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760" w:type="dxa"/>
            <w:vAlign w:val="bottom"/>
          </w:tcPr>
          <w:p>
            <w:pPr>
              <w:jc w:val="right"/>
              <w:ind w:right="9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2"/>
        </w:trPr>
        <w:tc>
          <w:tcPr>
            <w:tcW w:w="47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Unvested restricted shares outstanding as of</w:t>
            </w: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133,812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$ 0.000273235</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743,407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$ 0.000273235</w:t>
            </w: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(133,812)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$ 0.000273235</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(743,407)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$ 0.000273235</w:t>
            </w:r>
          </w:p>
        </w:tc>
        <w:tc>
          <w:tcPr>
            <w:tcW w:w="0" w:type="dxa"/>
            <w:vAlign w:val="bottom"/>
          </w:tcPr>
          <w:p>
            <w:pPr>
              <w:spacing w:after="0"/>
              <w:rPr>
                <w:sz w:val="1"/>
                <w:szCs w:val="1"/>
                <w:color w:val="auto"/>
              </w:rPr>
            </w:pPr>
          </w:p>
        </w:tc>
      </w:tr>
      <w:tr>
        <w:trPr>
          <w:trHeight w:val="182"/>
        </w:trPr>
        <w:tc>
          <w:tcPr>
            <w:tcW w:w="4700" w:type="dxa"/>
            <w:vAlign w:val="bottom"/>
          </w:tcPr>
          <w:p>
            <w:pPr>
              <w:spacing w:after="0" w:line="182" w:lineRule="exact"/>
              <w:rPr>
                <w:sz w:val="20"/>
                <w:szCs w:val="20"/>
                <w:color w:val="auto"/>
              </w:rPr>
            </w:pPr>
            <w:r>
              <w:rPr>
                <w:rFonts w:ascii="Arial" w:cs="Arial" w:eastAsia="Arial" w:hAnsi="Arial"/>
                <w:sz w:val="18"/>
                <w:szCs w:val="18"/>
                <w:color w:val="auto"/>
              </w:rPr>
              <w:t>Unvested restricted shares outstanding as of</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December 31, 2019</w:t>
            </w:r>
          </w:p>
        </w:tc>
        <w:tc>
          <w:tcPr>
            <w:tcW w:w="7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aggregate fair value of restricted shares that vested during the years ended December 31, 2019 and 2018 was $12,154 and $15,182,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An RSU represents the right to receive one share of the Company’s Class A common share upon vesting of the RSU. The fair value of each RSU is based on the closing price of the Company’s Class A common shares on the date of grant. In December 2019, the Company granted RSUs with service conditions that vest in one installment provided that the recipient remains employed with the Company (“Time-Based RSUs”) through December 31, 2020. During the year ended December 31, 2019, the Company also granted the First RSU Award as part of the RLTIP, which becomes eligible to vest upon the Achievement Date and will vest upon the first anniversary of such date, subject to the recipient’s continued employment through that date. In the event the RLTIP Milestone is not achieved, none of the First RSU Award will vest.</w:t>
      </w:r>
    </w:p>
    <w:p>
      <w:pPr>
        <w:spacing w:after="0" w:line="16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grant-date fair value of the Time-Based RSUs granted in 2019 was $1,250 and will be recognized on a straight-line basis through the vest date for these shares. For the year ended December 31, 2019, the Company recognized $65 in Time-Based RSU expense. The grant-date fair value of the First RSU Award was $2,994 and will be recognized when the RLTIP Milestone is deemed probable of achievement through the date the First RSU Award will vest. During the year ended December 31, 2019, the Company did not recognize compensation expense related to the First RSU Award, as achievement of the RLTIP Milestone was determined to be not probable.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RSU activity for the year ended December 31,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Unvested RSUs as of December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328,296</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RSUs as of December 31, 2019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328,296</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6" w:right="1419" w:bottom="1440" w:gutter="0" w:footer="0" w:header="0"/>
        </w:sectPr>
      </w:pPr>
    </w:p>
    <w:bookmarkStart w:id="168" w:name="page169"/>
    <w:bookmarkEnd w:id="1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180" w:firstLine="648"/>
        <w:spacing w:after="0" w:line="223" w:lineRule="exact"/>
        <w:rPr>
          <w:sz w:val="20"/>
          <w:szCs w:val="20"/>
          <w:color w:val="auto"/>
        </w:rPr>
      </w:pPr>
      <w:r>
        <w:rPr>
          <w:rFonts w:ascii="Arial" w:cs="Arial" w:eastAsia="Arial" w:hAnsi="Arial"/>
          <w:sz w:val="18"/>
          <w:szCs w:val="18"/>
          <w:color w:val="auto"/>
        </w:rPr>
        <w:t>Share</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was classified in the consolidated statements of operations and comprehensive loss as follows:</w:t>
      </w:r>
    </w:p>
    <w:p>
      <w:pPr>
        <w:spacing w:after="0" w:line="208"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Years Ended</w:t>
      </w:r>
    </w:p>
    <w:p>
      <w:pPr>
        <w:ind w:left="75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8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r>
      <w:tr>
        <w:trPr>
          <w:trHeight w:val="216"/>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 expenses</w:t>
            </w:r>
          </w:p>
        </w:tc>
        <w:tc>
          <w:tcPr>
            <w:tcW w:w="2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w:t>
            </w:r>
          </w:p>
        </w:tc>
      </w:tr>
      <w:tr>
        <w:trPr>
          <w:trHeight w:val="217"/>
        </w:trPr>
        <w:tc>
          <w:tcPr>
            <w:tcW w:w="478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5,701</w:t>
            </w:r>
          </w:p>
        </w:tc>
      </w:tr>
    </w:tbl>
    <w:p>
      <w:pPr>
        <w:spacing w:after="0" w:line="202"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As of December 31, 2019, total unrecognized compensation cost related to the unvested option-based awards was $44,185, which is expected to be recognized over a weighted average remaining period of 3.1 years. As of December 31, 2019, total unrecognized compensation cost related to the unvested Time-Based RSUs was $1,185, which is expected to be recognized over a weighted average remaining period of 1.0 year. As of December 31, 2019, total unrecognized compensation cost related to the First RSU Award was $2,994, which will be recognized when the RLTIP Milestone is deemed probable of achievement through the date the First RSU Award vests.</w:t>
      </w:r>
    </w:p>
    <w:p>
      <w:pPr>
        <w:spacing w:after="0" w:line="391" w:lineRule="exact"/>
        <w:rPr>
          <w:sz w:val="20"/>
          <w:szCs w:val="20"/>
          <w:color w:val="auto"/>
        </w:rPr>
      </w:pPr>
    </w:p>
    <w:p>
      <w:pPr>
        <w:ind w:left="720" w:hanging="717"/>
        <w:spacing w:after="0"/>
        <w:tabs>
          <w:tab w:leader="none" w:pos="7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Acquisition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Biogen Asset Purchase Agreement</w:t>
      </w:r>
    </w:p>
    <w:p>
      <w:pPr>
        <w:spacing w:after="0" w:line="225" w:lineRule="exact"/>
        <w:rPr>
          <w:sz w:val="20"/>
          <w:szCs w:val="20"/>
          <w:color w:val="auto"/>
        </w:rPr>
      </w:pPr>
    </w:p>
    <w:p>
      <w:pPr>
        <w:ind w:right="120" w:firstLine="648"/>
        <w:spacing w:after="0" w:line="219" w:lineRule="exact"/>
        <w:rPr>
          <w:sz w:val="20"/>
          <w:szCs w:val="20"/>
          <w:color w:val="auto"/>
        </w:rPr>
      </w:pPr>
      <w:r>
        <w:rPr>
          <w:rFonts w:ascii="Arial" w:cs="Arial" w:eastAsia="Arial" w:hAnsi="Arial"/>
          <w:sz w:val="17"/>
          <w:szCs w:val="17"/>
          <w:color w:val="auto"/>
        </w:rPr>
        <w:t>In September 2016, the Company entered into an asset purchase agreement (the “Biogen Agreement”) with Biogen MA Inc. (“Biogen”) to acquire all of Biogen’s right, title and interest in and to certain assets used in or relating to KPL</w:t>
      </w:r>
      <w:r>
        <w:rPr>
          <w:rFonts w:ascii="MS PGothic" w:cs="MS PGothic" w:eastAsia="MS PGothic" w:hAnsi="MS PGothic"/>
          <w:sz w:val="17"/>
          <w:szCs w:val="17"/>
          <w:color w:val="auto"/>
        </w:rPr>
        <w:t>‑</w:t>
      </w:r>
      <w:r>
        <w:rPr>
          <w:rFonts w:ascii="Arial" w:cs="Arial" w:eastAsia="Arial" w:hAnsi="Arial"/>
          <w:sz w:val="17"/>
          <w:szCs w:val="17"/>
          <w:color w:val="auto"/>
        </w:rPr>
        <w:t>716 and other antibodies covered by certain patent rights, including patents and other intellectual property rights, clinical data, know</w:t>
      </w:r>
      <w:r>
        <w:rPr>
          <w:rFonts w:ascii="MS PGothic" w:cs="MS PGothic" w:eastAsia="MS PGothic" w:hAnsi="MS PGothic"/>
          <w:sz w:val="17"/>
          <w:szCs w:val="17"/>
          <w:color w:val="auto"/>
        </w:rPr>
        <w:t>‑</w:t>
      </w:r>
      <w:r>
        <w:rPr>
          <w:rFonts w:ascii="Arial" w:cs="Arial" w:eastAsia="Arial" w:hAnsi="Arial"/>
          <w:sz w:val="17"/>
          <w:szCs w:val="17"/>
          <w:color w:val="auto"/>
        </w:rPr>
        <w:t>how, and clinical drug supply. In addition, Biogen granted to the Company a non</w:t>
      </w:r>
      <w:r>
        <w:rPr>
          <w:rFonts w:ascii="MS PGothic" w:cs="MS PGothic" w:eastAsia="MS PGothic" w:hAnsi="MS PGothic"/>
          <w:sz w:val="17"/>
          <w:szCs w:val="17"/>
          <w:color w:val="auto"/>
        </w:rPr>
        <w:t>‑</w:t>
      </w:r>
      <w:r>
        <w:rPr>
          <w:rFonts w:ascii="Arial" w:cs="Arial" w:eastAsia="Arial" w:hAnsi="Arial"/>
          <w:sz w:val="17"/>
          <w:szCs w:val="17"/>
          <w:color w:val="auto"/>
        </w:rPr>
        <w:t>exclusive, sublicensable, worldwide license to certain background patent rights related to the KPL</w:t>
      </w:r>
      <w:r>
        <w:rPr>
          <w:rFonts w:ascii="MS PGothic" w:cs="MS PGothic" w:eastAsia="MS PGothic" w:hAnsi="MS PGothic"/>
          <w:sz w:val="17"/>
          <w:szCs w:val="17"/>
          <w:color w:val="auto"/>
        </w:rPr>
        <w:t>‑</w:t>
      </w:r>
      <w:r>
        <w:rPr>
          <w:rFonts w:ascii="Arial" w:cs="Arial" w:eastAsia="Arial" w:hAnsi="Arial"/>
          <w:sz w:val="17"/>
          <w:szCs w:val="17"/>
          <w:color w:val="auto"/>
        </w:rPr>
        <w:t>716 program. The Company is obligated to use commercially reasonable efforts to develop and commercialize such acquired products.</w:t>
      </w:r>
    </w:p>
    <w:p>
      <w:pPr>
        <w:spacing w:after="0" w:line="203"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In exchange for these rights, the Company made an upfront payment to Biogen of $11,500 and a technology transfer payment of $500. The Company accounted for the acquisition of technology as an asset acquisition because it did not meet the definition of a business. The Company recorded the upfront payment and technology transfer payment as research and development expense in the consolidated statement of operations and comprehensive loss because the acquired technology represented in</w:t>
      </w:r>
      <w:r>
        <w:rPr>
          <w:rFonts w:ascii="MS PGothic" w:cs="MS PGothic" w:eastAsia="MS PGothic" w:hAnsi="MS PGothic"/>
          <w:sz w:val="17"/>
          <w:szCs w:val="17"/>
          <w:color w:val="auto"/>
        </w:rPr>
        <w:t>‑</w:t>
      </w:r>
      <w:r>
        <w:rPr>
          <w:rFonts w:ascii="Arial" w:cs="Arial" w:eastAsia="Arial" w:hAnsi="Arial"/>
          <w:sz w:val="17"/>
          <w:szCs w:val="17"/>
          <w:color w:val="auto"/>
        </w:rPr>
        <w:t>process research and development and had no alternative future use.</w:t>
      </w:r>
    </w:p>
    <w:p>
      <w:pPr>
        <w:spacing w:after="0" w:line="205" w:lineRule="exact"/>
        <w:rPr>
          <w:sz w:val="20"/>
          <w:szCs w:val="20"/>
          <w:color w:val="auto"/>
        </w:rPr>
      </w:pPr>
    </w:p>
    <w:p>
      <w:pPr>
        <w:ind w:right="80" w:firstLine="648"/>
        <w:spacing w:after="0" w:line="218" w:lineRule="exact"/>
        <w:rPr>
          <w:sz w:val="20"/>
          <w:szCs w:val="20"/>
          <w:color w:val="auto"/>
        </w:rPr>
      </w:pPr>
      <w:r>
        <w:rPr>
          <w:rFonts w:ascii="Arial" w:cs="Arial" w:eastAsia="Arial" w:hAnsi="Arial"/>
          <w:sz w:val="17"/>
          <w:szCs w:val="17"/>
          <w:color w:val="auto"/>
        </w:rPr>
        <w:t>Under the Biogen Agreement, the Company is obligated to make milestone payments to Biogen of up to $179,000 upon the achievement of specified clinical and regulatory milestones in multiple indications in various territories, including milestone payments of $4,000 and $10,000 paid during the year ended December 31, 2017 and the year ended December 31, 2019, respectively, each payment was associated with the achievement of a specified clinical milestone event. Additionally, the Company could be obligated to make up to an aggregate of up to $150,000 of payments upon the achievement of specified annual net sales milestones and to pay tiered royalties on escalating tiers of annual net sales of licensed products starting in the high single</w:t>
      </w:r>
      <w:r>
        <w:rPr>
          <w:rFonts w:ascii="MS PGothic" w:cs="MS PGothic" w:eastAsia="MS PGothic" w:hAnsi="MS PGothic"/>
          <w:sz w:val="17"/>
          <w:szCs w:val="17"/>
          <w:color w:val="auto"/>
        </w:rPr>
        <w:t>‑</w:t>
      </w:r>
      <w:r>
        <w:rPr>
          <w:rFonts w:ascii="Arial" w:cs="Arial" w:eastAsia="Arial" w:hAnsi="Arial"/>
          <w:sz w:val="17"/>
          <w:szCs w:val="17"/>
          <w:color w:val="auto"/>
        </w:rPr>
        <w:t>digit percentages and ending below the teens.</w:t>
      </w:r>
    </w:p>
    <w:p>
      <w:pPr>
        <w:spacing w:after="0" w:line="206" w:lineRule="exact"/>
        <w:rPr>
          <w:sz w:val="20"/>
          <w:szCs w:val="20"/>
          <w:color w:val="auto"/>
        </w:rPr>
      </w:pPr>
    </w:p>
    <w:p>
      <w:pPr>
        <w:ind w:right="60" w:firstLine="648"/>
        <w:spacing w:after="0" w:line="219" w:lineRule="exact"/>
        <w:rPr>
          <w:sz w:val="20"/>
          <w:szCs w:val="20"/>
          <w:color w:val="auto"/>
        </w:rPr>
      </w:pPr>
      <w:r>
        <w:rPr>
          <w:rFonts w:ascii="Arial" w:cs="Arial" w:eastAsia="Arial" w:hAnsi="Arial"/>
          <w:sz w:val="18"/>
          <w:szCs w:val="18"/>
          <w:color w:val="auto"/>
        </w:rPr>
        <w:t>The Company also agreed to pay certain obligations under third</w:t>
      </w:r>
      <w:r>
        <w:rPr>
          <w:rFonts w:ascii="MS PGothic" w:cs="MS PGothic" w:eastAsia="MS PGothic" w:hAnsi="MS PGothic"/>
          <w:sz w:val="18"/>
          <w:szCs w:val="18"/>
          <w:color w:val="auto"/>
        </w:rPr>
        <w:t>‑</w:t>
      </w:r>
      <w:r>
        <w:rPr>
          <w:rFonts w:ascii="Arial" w:cs="Arial" w:eastAsia="Arial" w:hAnsi="Arial"/>
          <w:sz w:val="18"/>
          <w:szCs w:val="18"/>
          <w:color w:val="auto"/>
        </w:rPr>
        <w:t>party contracts retained by Biogen that relate to the KPL</w:t>
      </w:r>
      <w:r>
        <w:rPr>
          <w:rFonts w:ascii="MS PGothic" w:cs="MS PGothic" w:eastAsia="MS PGothic" w:hAnsi="MS PGothic"/>
          <w:sz w:val="18"/>
          <w:szCs w:val="18"/>
          <w:color w:val="auto"/>
        </w:rPr>
        <w:t>‑</w:t>
      </w:r>
      <w:r>
        <w:rPr>
          <w:rFonts w:ascii="Arial" w:cs="Arial" w:eastAsia="Arial" w:hAnsi="Arial"/>
          <w:sz w:val="18"/>
          <w:szCs w:val="18"/>
          <w:color w:val="auto"/>
        </w:rPr>
        <w:t>716 program. Under these retained contracts, the Company paid a one</w:t>
      </w:r>
      <w:r>
        <w:rPr>
          <w:rFonts w:ascii="MS PGothic" w:cs="MS PGothic" w:eastAsia="MS PGothic" w:hAnsi="MS PGothic"/>
          <w:sz w:val="18"/>
          <w:szCs w:val="18"/>
          <w:color w:val="auto"/>
        </w:rPr>
        <w:t>‑</w:t>
      </w:r>
      <w:r>
        <w:rPr>
          <w:rFonts w:ascii="Arial" w:cs="Arial" w:eastAsia="Arial" w:hAnsi="Arial"/>
          <w:sz w:val="18"/>
          <w:szCs w:val="18"/>
          <w:color w:val="auto"/>
        </w:rPr>
        <w:t>time upfront sublicense fee of $150 and is obligated to pay insignificant annual maintenance fees as well as clinical and regulatory milestone payments of up to an aggregate of $1,575. The Company made insignificant payments in connection with the retained contracts during the years ended December 31, 2019 and 2018.</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9" w:name="page170"/>
    <w:bookmarkEnd w:id="1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The Biogen Agreement will terminate upon the expiration of all payment obligations with respect to the last product in all countries in the territory. The Company has the right to terminate the agreement with 90 days’ prior written notice. Both parties may terminate by mutual written consent or in the event of material breach of the agreement by the other party that remains uncured for 90 days (or 30 days for payment</w:t>
      </w:r>
      <w:r>
        <w:rPr>
          <w:rFonts w:ascii="MS PGothic" w:cs="MS PGothic" w:eastAsia="MS PGothic" w:hAnsi="MS PGothic"/>
          <w:sz w:val="18"/>
          <w:szCs w:val="18"/>
          <w:color w:val="auto"/>
        </w:rPr>
        <w:t>‑</w:t>
      </w:r>
      <w:r>
        <w:rPr>
          <w:rFonts w:ascii="Arial" w:cs="Arial" w:eastAsia="Arial" w:hAnsi="Arial"/>
          <w:sz w:val="18"/>
          <w:szCs w:val="18"/>
          <w:color w:val="auto"/>
        </w:rPr>
        <w:t>related breaches).</w:t>
      </w:r>
    </w:p>
    <w:p>
      <w:pPr>
        <w:spacing w:after="0" w:line="204"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During the year ended December 31, 2019, the Company recorded research and development expense of $10,347 primarily related to milestone payments associated with the achievement of a specified clinical milestone event as well as other payments in connection with the retained contracts due under the Biogen Agreement. The Company did not incur any research and development expense, other than insignificant payments in connection with the retained contracts, under the Biogen Agreement during the year ended December 31, 2018</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Novo Nordisk License Agreement</w:t>
      </w:r>
    </w:p>
    <w:p>
      <w:pPr>
        <w:spacing w:after="0" w:line="225" w:lineRule="exact"/>
        <w:rPr>
          <w:sz w:val="20"/>
          <w:szCs w:val="20"/>
          <w:color w:val="auto"/>
        </w:rPr>
      </w:pPr>
    </w:p>
    <w:p>
      <w:pPr>
        <w:ind w:right="100" w:firstLine="648"/>
        <w:spacing w:after="0" w:line="220" w:lineRule="exact"/>
        <w:rPr>
          <w:sz w:val="20"/>
          <w:szCs w:val="20"/>
          <w:color w:val="auto"/>
        </w:rPr>
      </w:pPr>
      <w:r>
        <w:rPr>
          <w:rFonts w:ascii="Arial" w:cs="Arial" w:eastAsia="Arial" w:hAnsi="Arial"/>
          <w:sz w:val="18"/>
          <w:szCs w:val="18"/>
          <w:color w:val="auto"/>
        </w:rPr>
        <w:t>In August 2017, the Company entered into a license agreement (the “Novo Nordisk Agreement”) with Novo Nordisk A/S (“Novo Nordisk”), pursuant to which the Company was granted an exclusive, sublicensable, worldwide license under certain intellectual property rights controlled by Novo Nordisk to make, use, develop and commercialize KPL</w:t>
      </w:r>
      <w:r>
        <w:rPr>
          <w:rFonts w:ascii="MS PGothic" w:cs="MS PGothic" w:eastAsia="MS PGothic" w:hAnsi="MS PGothic"/>
          <w:sz w:val="18"/>
          <w:szCs w:val="18"/>
          <w:color w:val="auto"/>
        </w:rPr>
        <w:t>‑</w:t>
      </w:r>
      <w:r>
        <w:rPr>
          <w:rFonts w:ascii="Arial" w:cs="Arial" w:eastAsia="Arial" w:hAnsi="Arial"/>
          <w:sz w:val="18"/>
          <w:szCs w:val="18"/>
          <w:color w:val="auto"/>
        </w:rPr>
        <w:t>045 for all indications.</w:t>
      </w:r>
    </w:p>
    <w:p>
      <w:pPr>
        <w:spacing w:after="0" w:line="204"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In consideration for the license, the Company made an upfront payment of $1,500 to Novo Nordisk. The Company accounted for the acquisition of technology as an asset acquisition because it did not meet the definition of a business. The Company recorded the upfront payment as research and development expense in the consolidated statement of operations and comprehensive loss because the acquired technology represented in</w:t>
      </w:r>
      <w:r>
        <w:rPr>
          <w:rFonts w:ascii="MS PGothic" w:cs="MS PGothic" w:eastAsia="MS PGothic" w:hAnsi="MS PGothic"/>
          <w:sz w:val="18"/>
          <w:szCs w:val="18"/>
          <w:color w:val="auto"/>
        </w:rPr>
        <w:t>‑</w:t>
      </w:r>
      <w:r>
        <w:rPr>
          <w:rFonts w:ascii="Arial" w:cs="Arial" w:eastAsia="Arial" w:hAnsi="Arial"/>
          <w:sz w:val="18"/>
          <w:szCs w:val="18"/>
          <w:color w:val="auto"/>
        </w:rPr>
        <w:t>process research and development and had no alternative future use.</w:t>
      </w:r>
    </w:p>
    <w:p>
      <w:pPr>
        <w:spacing w:after="0" w:line="206"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In January 2020, the Company terminated the Novo Nordisk Agreement in accordance with the terms and conditions of the agreement.</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Under the Novo Nordisk Agreement, the Company was required to make a payment of $150 upon completion of the technology transfer by Novo Nordisk. The technology was transferred during the year ended December 31, 2018 and, as a result, this payment was made and was recorded in the Company’s consolidated statement of operations for the year ended December 31, 2018. In addition, the Company was obligated to make milestone payments upon the achievement of specified clinical, regulatory and initial sales milestones and upon the achievement of annual net sales thresholds including a payment of $1,000 upon the earlier to occur of a specified regulatory milestone and January 2020, unless the Novo Nordisk Agreement is earlier terminated by either party. As of December 31, 2019 and December 31, 2018, the Company determined that the payment related to the milestone was not probable and, therefore, no amount was recorded in the Company’s consolidated statement of operations and comprehensive loss during years ended December 31, 2019 and 2018.</w:t>
      </w:r>
    </w:p>
    <w:p>
      <w:pPr>
        <w:spacing w:after="0" w:line="16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Under the Novo Nordisk Agreement, the Company was solely responsible for all development, regulatory and commercial activities and costs. The Company is also responsible for costs related to filing, prosecuting and maintaining the licensed patent rights.</w:t>
      </w:r>
    </w:p>
    <w:p>
      <w:pPr>
        <w:spacing w:after="0" w:line="18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Company did not record any research and development expense during the year ended December 31, 2019 in connection with milestone payments due under the Novo Nordisk Agreement. During the year ended December 31, 2018, the Company recorded research and development expense of $154, in connection with milestone payments due under the Novo Nordisk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0" w:name="page171"/>
    <w:bookmarkEnd w:id="1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660"/>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Primatope Stock Purchase Option Agreement</w:t>
      </w:r>
    </w:p>
    <w:p>
      <w:pPr>
        <w:spacing w:after="0" w:line="225" w:lineRule="exact"/>
        <w:rPr>
          <w:sz w:val="20"/>
          <w:szCs w:val="20"/>
          <w:color w:val="auto"/>
        </w:rPr>
      </w:pPr>
    </w:p>
    <w:p>
      <w:pPr>
        <w:ind w:firstLine="648"/>
        <w:spacing w:after="0" w:line="221" w:lineRule="exact"/>
        <w:rPr>
          <w:sz w:val="20"/>
          <w:szCs w:val="20"/>
          <w:color w:val="auto"/>
        </w:rPr>
      </w:pPr>
      <w:r>
        <w:rPr>
          <w:rFonts w:ascii="Arial" w:cs="Arial" w:eastAsia="Arial" w:hAnsi="Arial"/>
          <w:sz w:val="16"/>
          <w:szCs w:val="16"/>
          <w:color w:val="auto"/>
        </w:rPr>
        <w:t>In September 2017, the Company entered into a stock purchase option agreement (the “Primatope Agreement”) with Primatope Therapeutics, Inc. (“Primatope”), pursuant to which the Company was granted a license to certain intellectual property rights owned or controlled by Primatope to research, develop, and manufacture the preclinical antibody, KPL</w:t>
      </w:r>
      <w:r>
        <w:rPr>
          <w:rFonts w:ascii="MS PGothic" w:cs="MS PGothic" w:eastAsia="MS PGothic" w:hAnsi="MS PGothic"/>
          <w:sz w:val="16"/>
          <w:szCs w:val="16"/>
          <w:color w:val="auto"/>
        </w:rPr>
        <w:t>‑</w:t>
      </w:r>
      <w:r>
        <w:rPr>
          <w:rFonts w:ascii="Arial" w:cs="Arial" w:eastAsia="Arial" w:hAnsi="Arial"/>
          <w:sz w:val="16"/>
          <w:szCs w:val="16"/>
          <w:color w:val="auto"/>
        </w:rPr>
        <w:t>404.</w:t>
      </w:r>
    </w:p>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agreement provided the Company with an exclusive call option to purchase 100% of the equity securities of Primatope. Upon execution of the agreement, the Company made $500 in upfront payments for the initial option period through April 2018 (the “Initial Option Period”). The Primatope Agreement allowed for up to three extensions of the Initial Option Period through January 2019 (including the initial option period, the “Option Period”) for total extension payments of up to $800. Through December 31, 2018, the Company made payments totaling $800 to extend the Option Period to January 15, 2019. During the Option Period, the Company could conduct research and preclinical work to assess the viability of the asset.</w:t>
      </w:r>
    </w:p>
    <w:p>
      <w:pPr>
        <w:spacing w:after="0" w:line="18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Company determined that the call option represented a variable interest in Primatope and that Primatope is a VIE. However, as the Company had no ability to control the board of directors or direct the ongoing activities of Primatope during the Option Period, the Company did not have power over the activities that most significantly impact Primatope’s economic performance and was not the primary beneficiary of Primatope. As a result, the Company did not consolidate the assets, liabilities, and results of operations of Primatope.</w:t>
      </w:r>
    </w:p>
    <w:p>
      <w:pPr>
        <w:spacing w:after="0" w:line="173"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In January 2019, the Company exercised the call option and in March 2019, the Company acquired all of the issued and outstanding equity securities of Primatope (the “Primatope Acquisition”) in exchange for $18,000 comprised of upfront consideration of $10,000 at closing and milestone payments of $5,000,which had been achieved as of the closing date, and in June 2019, the Company made the final milestone payment of $3,000, which was achieved during the year ended December 31, 2019 following the closing, each paid in a combination of cash and Class A common shares (inclusive of escrow and holdback amounts) in accordance with the Primatope Agreement. At the closing of the Primatope Acquisition, Primatope became a wholly owned subsidiary of the Company and the acquisition was accounted for as an asset acquisition as it did not meet the definition of a business. The Company recorded the upfront payment and milestone payments as research and development expense in the consolidated statement of operations and comprehensive loss because the acquired technology represented in</w:t>
      </w:r>
      <w:r>
        <w:rPr>
          <w:rFonts w:ascii="MS PGothic" w:cs="MS PGothic" w:eastAsia="MS PGothic" w:hAnsi="MS PGothic"/>
          <w:sz w:val="16"/>
          <w:szCs w:val="16"/>
          <w:color w:val="auto"/>
        </w:rPr>
        <w:t>‑</w:t>
      </w:r>
      <w:r>
        <w:rPr>
          <w:rFonts w:ascii="Arial" w:cs="Arial" w:eastAsia="Arial" w:hAnsi="Arial"/>
          <w:sz w:val="16"/>
          <w:szCs w:val="16"/>
          <w:color w:val="auto"/>
        </w:rPr>
        <w:t>process research and development and had no alternative future use.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year ended December 31, 2019, the Company did not incur any research and development expense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directly in connection with milestone or other payments related to the Primatope Acquisition or the Primatope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Agreement. During the year ended December 31, 2019, the Company recorded research and development expense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$18,000 related to the Primatope Acquisition. During the year ended December 31, 2018, the Company recorded research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development expense of $800, related to the extension of the option period under the Primatope 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Beth Israel Deaconess Medical Center License Agreement</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a result of the Primatope Acquisition, the Company acquired the rights to an exclusive license to certain intellectual property rights controlled by Beth Israel Deaconess Medical Center, Inc. (“BIDMC”) to make, use, develop and commercialize KPL-404 (the “BIDMC Agreement”). Under the BIDMC Agreement, the Company is solely responsible for all development, regulatory and commercial activities and costs. The Company is also responsible for costs related to filing, prosecuting and maintaining the licensed patent rights. Under the BIDMC Agreement, the Company is obligated to pay an insignificant annual maintenance fee as well as clinical and regulatory milestone payments of up to an aggregate of $1,200 to BIDMC. The Company is also obligated to pay a low single-digit royalty on annual net sales of products licensed under the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1" w:name="page172"/>
    <w:bookmarkEnd w:id="1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During the year ended December 31, 2019, the Company recorded research and development expense of $10 in connection with the BIDMC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Regeneron License Agreement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September 2017, the Company entered into a license agreement (the “Regeneron Agreement”) with Regeneron Pharmaceuticals, Inc. (“Regeneron”), pursuant to which the Company has been granted an exclusive, sublicensable license under certain intellectual property rights controlled by Regeneron to develop and commercialize rilonacept in certain fields and territories. The Company is obligated to use commercially reasonable efforts to develop and commercialize such licensed products.</w:t>
      </w:r>
    </w:p>
    <w:p>
      <w:pPr>
        <w:spacing w:after="0" w:line="188" w:lineRule="exact"/>
        <w:rPr>
          <w:sz w:val="20"/>
          <w:szCs w:val="20"/>
          <w:color w:val="auto"/>
        </w:rPr>
      </w:pPr>
    </w:p>
    <w:p>
      <w:pPr>
        <w:ind w:right="100" w:firstLine="648"/>
        <w:spacing w:after="0" w:line="220" w:lineRule="exact"/>
        <w:rPr>
          <w:sz w:val="20"/>
          <w:szCs w:val="20"/>
          <w:color w:val="auto"/>
        </w:rPr>
      </w:pPr>
      <w:r>
        <w:rPr>
          <w:rFonts w:ascii="Arial" w:cs="Arial" w:eastAsia="Arial" w:hAnsi="Arial"/>
          <w:sz w:val="16"/>
          <w:szCs w:val="16"/>
          <w:color w:val="auto"/>
        </w:rPr>
        <w:t>In exchange for these rights, the Company made an upfront payment of $5,000. The Company accounted for the acquisition of technology as an asset acquisition because it did not meet the definition of a business. The Company recorded the upfront payment as research and development expense in the consolidated statement of operations and comprehensive loss because the acquired technology represented in</w:t>
      </w:r>
      <w:r>
        <w:rPr>
          <w:rFonts w:ascii="MS PGothic" w:cs="MS PGothic" w:eastAsia="MS PGothic" w:hAnsi="MS PGothic"/>
          <w:sz w:val="16"/>
          <w:szCs w:val="16"/>
          <w:color w:val="auto"/>
        </w:rPr>
        <w:t>‑</w:t>
      </w:r>
      <w:r>
        <w:rPr>
          <w:rFonts w:ascii="Arial" w:cs="Arial" w:eastAsia="Arial" w:hAnsi="Arial"/>
          <w:sz w:val="16"/>
          <w:szCs w:val="16"/>
          <w:color w:val="auto"/>
        </w:rPr>
        <w:t>process research and development and had no alternative future use.</w:t>
      </w:r>
    </w:p>
    <w:p>
      <w:pPr>
        <w:spacing w:after="0" w:line="203"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Under the Regeneron Agreement, the Company is also obligated to make payments to Regeneron of up to an aggregate of $27,500 upon the achievement of specified regulatory milestones. Upon commercialization of the licensed products, the parties will share profits equally for all commercial products, after deducting certain commercialization expenses subject to specified limits.</w:t>
      </w:r>
    </w:p>
    <w:p>
      <w:pPr>
        <w:spacing w:after="0" w:line="18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Under the Regeneron Agreement, the Company is solely responsible for all development and commercialization activities and costs in its territories. The Company is also responsible for costs related to the filing, prosecution and maintenance of certain licensed patent rights.</w:t>
      </w:r>
    </w:p>
    <w:p>
      <w:pPr>
        <w:spacing w:after="0" w:line="181" w:lineRule="exact"/>
        <w:rPr>
          <w:sz w:val="20"/>
          <w:szCs w:val="20"/>
          <w:color w:val="auto"/>
        </w:rPr>
      </w:pPr>
    </w:p>
    <w:p>
      <w:pPr>
        <w:ind w:right="240" w:firstLine="648"/>
        <w:spacing w:after="0" w:line="219" w:lineRule="exact"/>
        <w:rPr>
          <w:sz w:val="20"/>
          <w:szCs w:val="20"/>
          <w:color w:val="auto"/>
        </w:rPr>
      </w:pPr>
      <w:r>
        <w:rPr>
          <w:rFonts w:ascii="Arial" w:cs="Arial" w:eastAsia="Arial" w:hAnsi="Arial"/>
          <w:sz w:val="18"/>
          <w:szCs w:val="18"/>
          <w:color w:val="auto"/>
        </w:rPr>
        <w:t>The parties also entered into a clinical supply agreement under which Regeneron agreed to manufacture the developed product during the clinical phase. During the years ended December 31, 2019 and 2018, the Company recorded research and development expense of $6,854 and $1,835, respectively, related to the purchase of drug materials under this agreement. As of December 31, 2019, the Company has non</w:t>
      </w:r>
      <w:r>
        <w:rPr>
          <w:rFonts w:ascii="MS PGothic" w:cs="MS PGothic" w:eastAsia="MS PGothic" w:hAnsi="MS PGothic"/>
          <w:sz w:val="18"/>
          <w:szCs w:val="18"/>
          <w:color w:val="auto"/>
        </w:rPr>
        <w:t>‑</w:t>
      </w:r>
      <w:r>
        <w:rPr>
          <w:rFonts w:ascii="Arial" w:cs="Arial" w:eastAsia="Arial" w:hAnsi="Arial"/>
          <w:sz w:val="18"/>
          <w:szCs w:val="18"/>
          <w:color w:val="auto"/>
        </w:rPr>
        <w:t>cancelable purchase commitments under the clinical supply agreement (see Note 13).</w:t>
      </w:r>
    </w:p>
    <w:p>
      <w:pPr>
        <w:spacing w:after="0" w:line="206"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The Regeneron Agreement will expire when the Company is no longer developing or commercializing any licensed product under the Regeneron Agreement. Either party may terminate the agreement upon the other party’s insolvency or bankruptcy or for material breach of the agreement by the other party that remains uncured for 90 days (or 30 days for payment</w:t>
      </w:r>
      <w:r>
        <w:rPr>
          <w:rFonts w:ascii="MS PGothic" w:cs="MS PGothic" w:eastAsia="MS PGothic" w:hAnsi="MS PGothic"/>
          <w:sz w:val="17"/>
          <w:szCs w:val="17"/>
          <w:color w:val="auto"/>
        </w:rPr>
        <w:t>‑</w:t>
      </w:r>
      <w:r>
        <w:rPr>
          <w:rFonts w:ascii="Arial" w:cs="Arial" w:eastAsia="Arial" w:hAnsi="Arial"/>
          <w:sz w:val="17"/>
          <w:szCs w:val="17"/>
          <w:color w:val="auto"/>
        </w:rPr>
        <w:t>related breaches). Regeneron has the right to terminate the agreement if the Company suspends its development or commercialization activities for a consecutive 12</w:t>
      </w:r>
      <w:r>
        <w:rPr>
          <w:rFonts w:ascii="MS PGothic" w:cs="MS PGothic" w:eastAsia="MS PGothic" w:hAnsi="MS PGothic"/>
          <w:sz w:val="17"/>
          <w:szCs w:val="17"/>
          <w:color w:val="auto"/>
        </w:rPr>
        <w:t>‑</w:t>
      </w:r>
      <w:r>
        <w:rPr>
          <w:rFonts w:ascii="Arial" w:cs="Arial" w:eastAsia="Arial" w:hAnsi="Arial"/>
          <w:sz w:val="17"/>
          <w:szCs w:val="17"/>
          <w:color w:val="auto"/>
        </w:rPr>
        <w:t>month period or does not grant a sublicense to a third</w:t>
      </w:r>
      <w:r>
        <w:rPr>
          <w:rFonts w:ascii="MS PGothic" w:cs="MS PGothic" w:eastAsia="MS PGothic" w:hAnsi="MS PGothic"/>
          <w:sz w:val="17"/>
          <w:szCs w:val="17"/>
          <w:color w:val="auto"/>
        </w:rPr>
        <w:t>‑</w:t>
      </w:r>
      <w:r>
        <w:rPr>
          <w:rFonts w:ascii="Arial" w:cs="Arial" w:eastAsia="Arial" w:hAnsi="Arial"/>
          <w:sz w:val="17"/>
          <w:szCs w:val="17"/>
          <w:color w:val="auto"/>
        </w:rPr>
        <w:t>party to perform such activities, or if the Company challenges any of the licensed patent rights. The Company may terminate the agreement at any time that is 18 months after the effective date of the agreement with 180 days’ written notice or with one years’ written notice if the Company terminates the agreement following U.S. marketing approval of a rilonacept product developed by the Company. The Company may also terminate the agreement with three month’s written notice if the products are determined to have certain safety concerns.</w:t>
      </w:r>
    </w:p>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did not incur any research and development expense directly related to milestone payments due under the Regeneron Agreement during the year ended December 31, 2019 and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MedImmune License Agreement</w:t>
      </w:r>
    </w:p>
    <w:p>
      <w:pPr>
        <w:spacing w:after="0" w:line="225" w:lineRule="exact"/>
        <w:rPr>
          <w:sz w:val="20"/>
          <w:szCs w:val="20"/>
          <w:color w:val="auto"/>
        </w:rPr>
      </w:pPr>
    </w:p>
    <w:p>
      <w:pPr>
        <w:ind w:right="920" w:firstLine="648"/>
        <w:spacing w:after="0" w:line="342" w:lineRule="auto"/>
        <w:rPr>
          <w:sz w:val="20"/>
          <w:szCs w:val="20"/>
          <w:color w:val="auto"/>
        </w:rPr>
      </w:pPr>
      <w:r>
        <w:rPr>
          <w:rFonts w:ascii="Arial" w:cs="Arial" w:eastAsia="Arial" w:hAnsi="Arial"/>
          <w:sz w:val="16"/>
          <w:szCs w:val="16"/>
          <w:color w:val="auto"/>
        </w:rPr>
        <w:t>In December 2017, the Company entered into a license agreement (the “MedImmune Agreement”) with MedImmune, Limited (“MedImmune”), pursuant to which MedImmune granted the Company an exclusive,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2" w:name="page173"/>
    <w:bookmarkEnd w:id="1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60" w:right="1640"/>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right="19"/>
        <w:spacing w:after="0" w:line="302" w:lineRule="auto"/>
        <w:rPr>
          <w:sz w:val="20"/>
          <w:szCs w:val="20"/>
          <w:color w:val="auto"/>
        </w:rPr>
      </w:pPr>
      <w:r>
        <w:rPr>
          <w:rFonts w:ascii="Arial" w:cs="Arial" w:eastAsia="Arial" w:hAnsi="Arial"/>
          <w:sz w:val="16"/>
          <w:szCs w:val="16"/>
          <w:color w:val="auto"/>
        </w:rPr>
        <w:t>sublicensable, worldwide license to certain intellectual property rights to make, use, develop and commercialize mavrilimumab. Under the MedImmune Agreement, the Company also acquired reference rights to relevant manufacturing and regulatory documents and MedImmune’s existing supply of mavrilimumab drug substance and product. The Company is obligated to use commercially reasonable efforts to develop and commercialize the licensed products.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exchange for these rights, the Company made an upfront payment of $8,000. The Company accounted for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technology as an asset acquisition because it did not meet the definition of a business. The Company recorded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upfront payment as research and development expense in the consolidated statement of operations and comprehensive</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loss because the acquired technology represented in</w:t>
      </w:r>
      <w:r>
        <w:rPr>
          <w:rFonts w:ascii="MS PGothic" w:cs="MS PGothic" w:eastAsia="MS PGothic" w:hAnsi="MS PGothic"/>
          <w:sz w:val="16"/>
          <w:szCs w:val="16"/>
          <w:color w:val="auto"/>
        </w:rPr>
        <w:t>‑</w:t>
      </w:r>
      <w:r>
        <w:rPr>
          <w:rFonts w:ascii="Arial" w:cs="Arial" w:eastAsia="Arial" w:hAnsi="Arial"/>
          <w:sz w:val="16"/>
          <w:szCs w:val="16"/>
          <w:color w:val="auto"/>
        </w:rPr>
        <w:t>process research and development and had no alternative future use.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 the Company is obligated to make clinical, regulatory and initial sales milestone payments of up to $72,500 in</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aggregate for the first two indications, including, a $5,000 pass</w:t>
      </w:r>
      <w:r>
        <w:rPr>
          <w:rFonts w:ascii="MS PGothic" w:cs="MS PGothic" w:eastAsia="MS PGothic" w:hAnsi="MS PGothic"/>
          <w:sz w:val="16"/>
          <w:szCs w:val="16"/>
          <w:color w:val="auto"/>
        </w:rPr>
        <w:t>‑</w:t>
      </w:r>
      <w:r>
        <w:rPr>
          <w:rFonts w:ascii="Arial" w:cs="Arial" w:eastAsia="Arial" w:hAnsi="Arial"/>
          <w:sz w:val="16"/>
          <w:szCs w:val="16"/>
          <w:color w:val="auto"/>
        </w:rPr>
        <w:t>through payment due upon the achievement of a specified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clinical milestone event which was met in the fourth quarter of 2018. Also included is a milestone payment of $10,000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the earlier to occur of a specified regulatory milestone and December 31, 2018, unless the MedImmune Agreement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earlier terminated by either party. As of December 31, 2018 and 2017, the Company determined that the payment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milestone was probable and, therefore, recognized research and development expense and an accrued milestone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 during the year ended December 31, 2017. During the year ended December 31, 2019, the Company made both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 and $10,000 previously accrued milestone payments in accordance with the MedImmune Agreement. In addition,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is obligated to make clinical and regulatory milestone payments of up to $15,000 in the aggregate for each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subsequent indication. The Company is obligated to make milestone payments to MedImmune of up to $85,000 upon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achievement of annual net sales thresholds up to, but excluding, $1,000,000 in annual net sales as well as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milestone payments aggregating up to $1,100,000 upon the achievement of additional specified annual net sales thresholds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starting at $1,000,000 and higher. The Company has also agreed to pay tiered royalties on escalating tiers of annual net sales</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of licensed products starting in the low double</w:t>
      </w:r>
      <w:r>
        <w:rPr>
          <w:rFonts w:ascii="MS PGothic" w:cs="MS PGothic" w:eastAsia="MS PGothic" w:hAnsi="MS PGothic"/>
          <w:sz w:val="16"/>
          <w:szCs w:val="16"/>
          <w:color w:val="auto"/>
        </w:rPr>
        <w:t>‑</w:t>
      </w:r>
      <w:r>
        <w:rPr>
          <w:rFonts w:ascii="Arial" w:cs="Arial" w:eastAsia="Arial" w:hAnsi="Arial"/>
          <w:sz w:val="16"/>
          <w:szCs w:val="16"/>
          <w:color w:val="auto"/>
        </w:rPr>
        <w:t>digit percentages and ending at twenty percent. Royalty rates are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reductions upon certain events.</w:t>
      </w:r>
    </w:p>
    <w:p>
      <w:pPr>
        <w:spacing w:after="0" w:line="211" w:lineRule="exact"/>
        <w:rPr>
          <w:sz w:val="20"/>
          <w:szCs w:val="20"/>
          <w:color w:val="auto"/>
        </w:rPr>
      </w:pPr>
    </w:p>
    <w:p>
      <w:pPr>
        <w:ind w:right="19" w:firstLine="648"/>
        <w:spacing w:after="0" w:line="286" w:lineRule="auto"/>
        <w:rPr>
          <w:sz w:val="20"/>
          <w:szCs w:val="20"/>
          <w:color w:val="auto"/>
        </w:rPr>
      </w:pPr>
      <w:r>
        <w:rPr>
          <w:rFonts w:ascii="Arial" w:cs="Arial" w:eastAsia="Arial" w:hAnsi="Arial"/>
          <w:sz w:val="17"/>
          <w:szCs w:val="17"/>
          <w:color w:val="auto"/>
        </w:rPr>
        <w:t>The Company is solely responsible for all development, manufacturing, and commercial activities and costs of the licensed products, including clinical studies or other tests necessary to support the use of a licensed product. The Company is also responsible for costs related to the filing, prosecution and maintenance of the licensed patent rights.</w:t>
      </w:r>
    </w:p>
    <w:p>
      <w:pPr>
        <w:spacing w:after="0" w:line="166" w:lineRule="exact"/>
        <w:rPr>
          <w:sz w:val="20"/>
          <w:szCs w:val="20"/>
          <w:color w:val="auto"/>
        </w:rPr>
      </w:pPr>
    </w:p>
    <w:p>
      <w:pPr>
        <w:ind w:right="59" w:firstLine="648"/>
        <w:spacing w:after="0" w:line="257" w:lineRule="auto"/>
        <w:rPr>
          <w:sz w:val="20"/>
          <w:szCs w:val="20"/>
          <w:color w:val="auto"/>
        </w:rPr>
      </w:pPr>
      <w:r>
        <w:rPr>
          <w:rFonts w:ascii="Arial" w:cs="Arial" w:eastAsia="Arial" w:hAnsi="Arial"/>
          <w:sz w:val="18"/>
          <w:szCs w:val="18"/>
          <w:color w:val="auto"/>
        </w:rPr>
        <w:t>The MedImmune Agreement will expire upon the expiration of the royalty term in the last country for the last indication, as defined in the agreement. Either party may terminate the agreement upon the other party’s insolvency or bankruptcy or for material breach of the agreement by the other party that remains uncured for 90 days. MedImmune has the right to terminate the agreement if the Company challenges any of the licensed patent rights. The Company may terminate the agreement at any time upon 90 days’ prior written notice.</w:t>
      </w:r>
    </w:p>
    <w:p>
      <w:pPr>
        <w:spacing w:after="0" w:line="188" w:lineRule="exact"/>
        <w:rPr>
          <w:sz w:val="20"/>
          <w:szCs w:val="20"/>
          <w:color w:val="auto"/>
        </w:rPr>
      </w:pPr>
    </w:p>
    <w:p>
      <w:pPr>
        <w:ind w:right="99" w:firstLine="648"/>
        <w:spacing w:after="0" w:line="279" w:lineRule="auto"/>
        <w:rPr>
          <w:sz w:val="20"/>
          <w:szCs w:val="20"/>
          <w:color w:val="auto"/>
        </w:rPr>
      </w:pPr>
      <w:r>
        <w:rPr>
          <w:rFonts w:ascii="Arial" w:cs="Arial" w:eastAsia="Arial" w:hAnsi="Arial"/>
          <w:sz w:val="17"/>
          <w:szCs w:val="17"/>
          <w:color w:val="auto"/>
        </w:rPr>
        <w:t>During the year ended December 31, 2019, the Company did not record research and development expense in connection with the milestone payments due under the MedImmune Agreement. During the year ended December 31, 2018, the Company recorded research and development expense $5,000, related primarily to a pass-through payment due upon the achievement of specified clinical milestone events due under the MedImmune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Kite Clinical Collaboration Agreement</w:t>
      </w:r>
    </w:p>
    <w:p>
      <w:pPr>
        <w:spacing w:after="0" w:line="225" w:lineRule="exact"/>
        <w:rPr>
          <w:sz w:val="20"/>
          <w:szCs w:val="20"/>
          <w:color w:val="auto"/>
        </w:rPr>
      </w:pPr>
    </w:p>
    <w:p>
      <w:pPr>
        <w:ind w:right="39" w:firstLine="648"/>
        <w:spacing w:after="0" w:line="272" w:lineRule="auto"/>
        <w:rPr>
          <w:sz w:val="20"/>
          <w:szCs w:val="20"/>
          <w:color w:val="auto"/>
        </w:rPr>
      </w:pPr>
      <w:r>
        <w:rPr>
          <w:rFonts w:ascii="Arial" w:cs="Arial" w:eastAsia="Arial" w:hAnsi="Arial"/>
          <w:sz w:val="17"/>
          <w:szCs w:val="17"/>
          <w:color w:val="auto"/>
        </w:rPr>
        <w:t>In December 2019, we entered into a clinical collaboration (the “Kite Agreement”) with Kite Pharma, Inc., a Gilead Company (“Kite”), to initiate a Phase 2 clinical trial evaluating the combination of Yescarta (axicabtagene ciloleucel) and mavrilimumab in relapsed or refractory large B-Cell lymphoma. The objective of the Phase 2 trial is to determine the effect of mavrilimumab on the safety of Yescarta. Treatment related induction of GM-CSF has been identified through clinical, translational and preclinical studies as a potential key signal associated with side effects of chimeric antigen receptor T, or CAR T, cell therapy. Preclinical evidence suggest the potential for interruption of GM-CSF signaling to disrupt CAR T cell mediated inflammation without disrupting anti-tumor activity. Kite will be the</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6" w:right="1440" w:bottom="1440" w:gutter="0" w:footer="0" w:header="0"/>
        </w:sectPr>
      </w:pPr>
    </w:p>
    <w:bookmarkStart w:id="173" w:name="page174"/>
    <w:bookmarkEnd w:id="1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sponsor of this study and responsible for its conduct. Under the Kite Agreement, Kite and the Company shall share a portion of the costs incurred in conducting the study.</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Kite Agreement will expire on the one-year anniversary of the date that Kite provides the clinical study report to the Company or unless otherwise terminated in accordance with the Kite Agreement.</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Company evaluated the agreement and determined all costs and expenses will be recognized as incurred as research and development expenses. During the year ended December 31, 2019, the Company did not record any research and development expense in connection with the Kite Agreement.</w:t>
      </w:r>
    </w:p>
    <w:p>
      <w:pPr>
        <w:spacing w:after="0" w:line="312" w:lineRule="exact"/>
        <w:rPr>
          <w:sz w:val="20"/>
          <w:szCs w:val="20"/>
          <w:color w:val="auto"/>
        </w:rPr>
      </w:pPr>
    </w:p>
    <w:p>
      <w:pPr>
        <w:ind w:left="620" w:hanging="617"/>
        <w:spacing w:after="0"/>
        <w:tabs>
          <w:tab w:leader="none" w:pos="6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company incorporated in Bermuda, the Company is principally subject to taxation in Bermuda. Under the current laws of Bermuda, tax on a company’s income is assessed at a zero percent tax rate. As a result, the Company has not recorded any income tax benefits from its losses incurred in Bermuda during each reporting period, and no net operating loss carryforwards will be available to the Company for those losses.</w:t>
      </w:r>
    </w:p>
    <w:p>
      <w:pPr>
        <w:spacing w:after="0" w:line="13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August 2015, the Company entered into agreements with its wholly owned subsidiary, Kiniksa US, under which Kiniksa US provides management and research and development services to the Company for which the Company pays costs plus a service fee. On March 9, 2019, the Company entered into an agreement with Primatope to license certain intellectual property rights related to KPL-404. Kiniksa US and Primatope are subject to tax in the United States for federal and state tax purposes.</w:t>
      </w:r>
    </w:p>
    <w:p>
      <w:pPr>
        <w:spacing w:after="0" w:line="134"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Company has a wholly owned subsidiary in Europe, Kiniksa UK (formed in December 2018). Kiniksa UK has two wholly owned subsidiaries in Europe, Kiniksa Germany (formed in February 2019), and Kiniksa France (formed in June 2019). Each are subject to taxation in their respective countries.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(loss) before benefit for income taxes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Years Ended</w:t>
            </w:r>
          </w:p>
        </w:tc>
      </w:tr>
      <w:tr>
        <w:trPr>
          <w:trHeight w:val="171"/>
        </w:trPr>
        <w:tc>
          <w:tcPr>
            <w:tcW w:w="35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r>
      <w:tr>
        <w:trPr>
          <w:trHeight w:val="210"/>
        </w:trPr>
        <w:tc>
          <w:tcPr>
            <w:tcW w:w="3580" w:type="dxa"/>
            <w:vAlign w:val="bottom"/>
            <w:tcBorders>
              <w:bottom w:val="single" w:sz="8" w:color="CCEEFF"/>
            </w:tcBorders>
          </w:tcPr>
          <w:p>
            <w:pPr>
              <w:spacing w:after="0"/>
              <w:rPr>
                <w:sz w:val="18"/>
                <w:szCs w:val="18"/>
                <w:color w:val="auto"/>
              </w:rPr>
            </w:pPr>
          </w:p>
        </w:tc>
        <w:tc>
          <w:tcPr>
            <w:tcW w:w="32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8"/>
                <w:szCs w:val="18"/>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Bermuda</w:t>
            </w:r>
          </w:p>
        </w:tc>
        <w:tc>
          <w:tcPr>
            <w:tcW w:w="3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(105,562)</w:t>
            </w:r>
          </w:p>
        </w:tc>
        <w:tc>
          <w:tcPr>
            <w:tcW w:w="120" w:type="dxa"/>
            <w:vAlign w:val="bottom"/>
            <w:shd w:val="clear" w:color="auto" w:fill="CCEEFF"/>
          </w:tcPr>
          <w:p>
            <w:pPr>
              <w:spacing w:after="0"/>
              <w:rPr>
                <w:sz w:val="18"/>
                <w:szCs w:val="18"/>
                <w:color w:val="auto"/>
              </w:rPr>
            </w:pPr>
          </w:p>
        </w:tc>
      </w:tr>
      <w:tr>
        <w:trPr>
          <w:trHeight w:val="230"/>
        </w:trPr>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(U.S., U.K., Germany, France)</w:t>
            </w:r>
          </w:p>
        </w:tc>
        <w:tc>
          <w:tcPr>
            <w:tcW w:w="3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120" w:type="dxa"/>
            <w:vAlign w:val="bottom"/>
            <w:tcBorders>
              <w:bottom w:val="single" w:sz="8" w:color="CCEEFF"/>
            </w:tcBorders>
          </w:tcPr>
          <w:p>
            <w:pPr>
              <w:spacing w:after="0"/>
              <w:rPr>
                <w:sz w:val="19"/>
                <w:szCs w:val="19"/>
                <w:color w:val="auto"/>
              </w:rPr>
            </w:pPr>
          </w:p>
        </w:tc>
      </w:tr>
      <w:tr>
        <w:trPr>
          <w:trHeight w:val="217"/>
        </w:trPr>
        <w:tc>
          <w:tcPr>
            <w:tcW w:w="3580" w:type="dxa"/>
            <w:vAlign w:val="bottom"/>
            <w:tcBorders>
              <w:bottom w:val="single" w:sz="8" w:color="CCEEFF"/>
            </w:tcBorders>
            <w:shd w:val="clear" w:color="auto" w:fill="CCEEFF"/>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(163,914)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(103,441)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864"/>
        </w:trPr>
        <w:tc>
          <w:tcPr>
            <w:tcW w:w="3580" w:type="dxa"/>
            <w:vAlign w:val="bottom"/>
          </w:tcPr>
          <w:p>
            <w:pPr>
              <w:spacing w:after="0"/>
              <w:rPr>
                <w:sz w:val="24"/>
                <w:szCs w:val="24"/>
                <w:color w:val="auto"/>
              </w:rPr>
            </w:pPr>
          </w:p>
        </w:tc>
        <w:tc>
          <w:tcPr>
            <w:tcW w:w="3460" w:type="dxa"/>
            <w:vAlign w:val="bottom"/>
            <w:gridSpan w:val="2"/>
          </w:tcPr>
          <w:p>
            <w:pPr>
              <w:jc w:val="right"/>
              <w:ind w:right="2265"/>
              <w:spacing w:after="0"/>
              <w:rPr>
                <w:sz w:val="20"/>
                <w:szCs w:val="20"/>
                <w:color w:val="auto"/>
              </w:rPr>
            </w:pPr>
            <w:r>
              <w:rPr>
                <w:rFonts w:ascii="Arial" w:cs="Arial" w:eastAsia="Arial" w:hAnsi="Arial"/>
                <w:sz w:val="18"/>
                <w:szCs w:val="18"/>
                <w:color w:val="auto"/>
              </w:rPr>
              <w:t>F-33</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1"/>
        </w:trPr>
        <w:tc>
          <w:tcPr>
            <w:tcW w:w="35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74" w:name="page175"/>
    <w:bookmarkEnd w:id="1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components of the Company’s income tax benefit for the years ended December 31, 2019 and 2018 are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Years Ended</w:t>
      </w:r>
    </w:p>
    <w:p>
      <w:pPr>
        <w:ind w:left="76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3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(provision):</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Arial" w:cs="Arial" w:eastAsia="Arial" w:hAnsi="Arial"/>
                <w:sz w:val="18"/>
                <w:szCs w:val="18"/>
                <w:color w:val="auto"/>
              </w:rPr>
              <w:t>Bermuda</w:t>
            </w:r>
          </w:p>
        </w:tc>
        <w:tc>
          <w:tcPr>
            <w:tcW w:w="2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federal</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16"/>
        </w:trPr>
        <w:tc>
          <w:tcPr>
            <w:tcW w:w="4300" w:type="dxa"/>
            <w:vAlign w:val="bottom"/>
          </w:tcPr>
          <w:p>
            <w:pPr>
              <w:ind w:left="120"/>
              <w:spacing w:after="0"/>
              <w:rPr>
                <w:sz w:val="20"/>
                <w:szCs w:val="20"/>
                <w:color w:val="auto"/>
              </w:rPr>
            </w:pPr>
            <w:r>
              <w:rPr>
                <w:rFonts w:ascii="Arial" w:cs="Arial" w:eastAsia="Arial" w:hAnsi="Arial"/>
                <w:sz w:val="18"/>
                <w:szCs w:val="18"/>
                <w:color w:val="auto"/>
              </w:rPr>
              <w:t>U.S. state</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current income tax (provision)</w:t>
            </w:r>
          </w:p>
        </w:tc>
        <w:tc>
          <w:tcPr>
            <w:tcW w:w="27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(1,109)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(764)</w:t>
            </w: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Arial" w:cs="Arial" w:eastAsia="Arial" w:hAnsi="Arial"/>
                <w:sz w:val="18"/>
                <w:szCs w:val="18"/>
                <w:color w:val="auto"/>
              </w:rPr>
              <w:t>Bermuda</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federal</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16"/>
        </w:trPr>
        <w:tc>
          <w:tcPr>
            <w:tcW w:w="4300" w:type="dxa"/>
            <w:vAlign w:val="bottom"/>
          </w:tcPr>
          <w:p>
            <w:pPr>
              <w:ind w:left="120"/>
              <w:spacing w:after="0"/>
              <w:rPr>
                <w:sz w:val="20"/>
                <w:szCs w:val="20"/>
                <w:color w:val="auto"/>
              </w:rPr>
            </w:pPr>
            <w:r>
              <w:rPr>
                <w:rFonts w:ascii="Arial" w:cs="Arial" w:eastAsia="Arial" w:hAnsi="Arial"/>
                <w:sz w:val="18"/>
                <w:szCs w:val="18"/>
                <w:color w:val="auto"/>
              </w:rPr>
              <w:t>U.S. state</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436</w:t>
            </w:r>
          </w:p>
        </w:tc>
      </w:tr>
      <w:tr>
        <w:trPr>
          <w:trHeight w:val="216"/>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income tax benefit</w:t>
            </w:r>
          </w:p>
        </w:tc>
        <w:tc>
          <w:tcPr>
            <w:tcW w:w="27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978</w:t>
            </w:r>
          </w:p>
        </w:tc>
      </w:tr>
      <w:tr>
        <w:trPr>
          <w:trHeight w:val="217"/>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benefit (provision) for income taxes</w:t>
            </w:r>
          </w:p>
        </w:tc>
        <w:tc>
          <w:tcPr>
            <w:tcW w:w="2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418"/>
        </w:trPr>
        <w:tc>
          <w:tcPr>
            <w:tcW w:w="9060" w:type="dxa"/>
            <w:vAlign w:val="bottom"/>
            <w:gridSpan w:val="11"/>
          </w:tcPr>
          <w:p>
            <w:pPr>
              <w:ind w:left="660"/>
              <w:spacing w:after="0"/>
              <w:rPr>
                <w:sz w:val="20"/>
                <w:szCs w:val="20"/>
                <w:color w:val="auto"/>
              </w:rPr>
            </w:pPr>
            <w:r>
              <w:rPr>
                <w:rFonts w:ascii="Arial" w:cs="Arial" w:eastAsia="Arial" w:hAnsi="Arial"/>
                <w:sz w:val="18"/>
                <w:szCs w:val="18"/>
                <w:color w:val="auto"/>
                <w:w w:val="94"/>
              </w:rPr>
              <w:t>A reconciliation of the Bermuda statutory income tax rate of 0% to the Company’s effective income tax rate is as</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follows:</w:t>
            </w:r>
          </w:p>
        </w:tc>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55"/>
        </w:trPr>
        <w:tc>
          <w:tcPr>
            <w:tcW w:w="4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7"/>
          </w:tcPr>
          <w:p>
            <w:pPr>
              <w:jc w:val="right"/>
              <w:ind w:right="570"/>
              <w:spacing w:after="0"/>
              <w:rPr>
                <w:sz w:val="20"/>
                <w:szCs w:val="20"/>
                <w:color w:val="auto"/>
              </w:rPr>
            </w:pPr>
            <w:r>
              <w:rPr>
                <w:rFonts w:ascii="Arial" w:cs="Arial" w:eastAsia="Arial" w:hAnsi="Arial"/>
                <w:sz w:val="14"/>
                <w:szCs w:val="14"/>
                <w:b w:val="1"/>
                <w:bCs w:val="1"/>
                <w:color w:val="auto"/>
              </w:rPr>
              <w:t>Years Ended</w:t>
            </w:r>
          </w:p>
        </w:tc>
      </w:tr>
      <w:tr>
        <w:trPr>
          <w:trHeight w:val="171"/>
        </w:trPr>
        <w:tc>
          <w:tcPr>
            <w:tcW w:w="4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7"/>
          </w:tcPr>
          <w:p>
            <w:pPr>
              <w:jc w:val="right"/>
              <w:ind w:right="55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3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Bermuda statutory income tax rate</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4"/>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300" w:type="dxa"/>
            <w:vAlign w:val="bottom"/>
          </w:tcPr>
          <w:p>
            <w:pPr>
              <w:ind w:left="40"/>
              <w:spacing w:after="0"/>
              <w:rPr>
                <w:sz w:val="20"/>
                <w:szCs w:val="20"/>
                <w:color w:val="auto"/>
              </w:rPr>
            </w:pPr>
            <w:r>
              <w:rPr>
                <w:rFonts w:ascii="Arial" w:cs="Arial" w:eastAsia="Arial" w:hAnsi="Arial"/>
                <w:sz w:val="18"/>
                <w:szCs w:val="18"/>
                <w:color w:val="auto"/>
              </w:rPr>
              <w:t>Foreign (U.S.) tax rate differential</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r>
      <w:tr>
        <w:trPr>
          <w:trHeight w:val="216"/>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tax credits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r>
      <w:tr>
        <w:trPr>
          <w:trHeight w:val="216"/>
        </w:trPr>
        <w:tc>
          <w:tcPr>
            <w:tcW w:w="43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r>
      <w:tr>
        <w:trPr>
          <w:trHeight w:val="216"/>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Permanent differences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state taxes, net of federal</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r>
      <w:tr>
        <w:trPr>
          <w:trHeight w:val="216"/>
        </w:trPr>
        <w:tc>
          <w:tcPr>
            <w:tcW w:w="4300" w:type="dxa"/>
            <w:vAlign w:val="bottom"/>
          </w:tcPr>
          <w:p>
            <w:pPr>
              <w:ind w:left="40"/>
              <w:spacing w:after="0"/>
              <w:rPr>
                <w:sz w:val="20"/>
                <w:szCs w:val="20"/>
                <w:color w:val="auto"/>
              </w:rPr>
            </w:pPr>
            <w:r>
              <w:rPr>
                <w:rFonts w:ascii="Arial" w:cs="Arial" w:eastAsia="Arial" w:hAnsi="Arial"/>
                <w:sz w:val="18"/>
                <w:szCs w:val="18"/>
                <w:color w:val="auto"/>
              </w:rPr>
              <w:t>FDII</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Uncertain tax positions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7"/>
        </w:trPr>
        <w:tc>
          <w:tcPr>
            <w:tcW w:w="43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432"/>
        </w:trPr>
        <w:tc>
          <w:tcPr>
            <w:tcW w:w="4300" w:type="dxa"/>
            <w:vAlign w:val="bottom"/>
          </w:tcPr>
          <w:p>
            <w:pPr>
              <w:ind w:left="660"/>
              <w:spacing w:after="0"/>
              <w:rPr>
                <w:sz w:val="20"/>
                <w:szCs w:val="20"/>
                <w:color w:val="auto"/>
              </w:rPr>
            </w:pPr>
            <w:r>
              <w:rPr>
                <w:rFonts w:ascii="Arial" w:cs="Arial" w:eastAsia="Arial" w:hAnsi="Arial"/>
                <w:sz w:val="18"/>
                <w:szCs w:val="18"/>
                <w:color w:val="auto"/>
                <w:w w:val="91"/>
              </w:rPr>
              <w:t>Net deferred tax assets consisted of the following:</w:t>
            </w: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4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right"/>
              <w:ind w:right="49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3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 carryforwards</w:t>
            </w:r>
          </w:p>
        </w:tc>
        <w:tc>
          <w:tcPr>
            <w:tcW w:w="27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(639)</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829</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w:t>
            </w:r>
          </w:p>
        </w:tc>
        <w:tc>
          <w:tcPr>
            <w:tcW w:w="2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300" w:type="dxa"/>
            <w:vAlign w:val="bottom"/>
          </w:tcPr>
          <w:p>
            <w:pPr>
              <w:ind w:left="120"/>
              <w:spacing w:after="0"/>
              <w:rPr>
                <w:sz w:val="20"/>
                <w:szCs w:val="20"/>
                <w:color w:val="auto"/>
              </w:rPr>
            </w:pPr>
            <w:r>
              <w:rPr>
                <w:rFonts w:ascii="Arial" w:cs="Arial" w:eastAsia="Arial" w:hAnsi="Arial"/>
                <w:sz w:val="18"/>
                <w:szCs w:val="18"/>
                <w:color w:val="auto"/>
              </w:rPr>
              <w:t>Total deferred tax assets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4,702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1,265</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7"/>
        </w:trPr>
        <w:tc>
          <w:tcPr>
            <w:tcW w:w="4300" w:type="dxa"/>
            <w:vAlign w:val="bottom"/>
          </w:tcPr>
          <w:p>
            <w:pPr>
              <w:ind w:left="120"/>
              <w:spacing w:after="0"/>
              <w:rPr>
                <w:sz w:val="20"/>
                <w:szCs w:val="20"/>
                <w:color w:val="auto"/>
              </w:rPr>
            </w:pPr>
            <w:r>
              <w:rPr>
                <w:rFonts w:ascii="Arial" w:cs="Arial" w:eastAsia="Arial" w:hAnsi="Arial"/>
                <w:sz w:val="18"/>
                <w:szCs w:val="18"/>
                <w:color w:val="auto"/>
              </w:rPr>
              <w:t>Net deferred tax assets</w:t>
            </w:r>
          </w:p>
        </w:tc>
        <w:tc>
          <w:tcPr>
            <w:tcW w:w="274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1,216</w:t>
            </w:r>
          </w:p>
        </w:tc>
      </w:tr>
      <w:tr>
        <w:trPr>
          <w:trHeight w:val="864"/>
        </w:trPr>
        <w:tc>
          <w:tcPr>
            <w:tcW w:w="4300" w:type="dxa"/>
            <w:vAlign w:val="bottom"/>
          </w:tcPr>
          <w:p>
            <w:pPr>
              <w:spacing w:after="0"/>
              <w:rPr>
                <w:sz w:val="24"/>
                <w:szCs w:val="24"/>
                <w:color w:val="auto"/>
              </w:rPr>
            </w:pPr>
          </w:p>
        </w:tc>
        <w:tc>
          <w:tcPr>
            <w:tcW w:w="2940" w:type="dxa"/>
            <w:vAlign w:val="bottom"/>
            <w:gridSpan w:val="3"/>
          </w:tcPr>
          <w:p>
            <w:pPr>
              <w:jc w:val="right"/>
              <w:ind w:right="2540"/>
              <w:spacing w:after="0"/>
              <w:rPr>
                <w:sz w:val="20"/>
                <w:szCs w:val="20"/>
                <w:color w:val="auto"/>
              </w:rPr>
            </w:pPr>
            <w:r>
              <w:rPr>
                <w:rFonts w:ascii="Arial" w:cs="Arial" w:eastAsia="Arial" w:hAnsi="Arial"/>
                <w:sz w:val="18"/>
                <w:szCs w:val="18"/>
                <w:color w:val="auto"/>
              </w:rPr>
              <w:t>F-34</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61"/>
        </w:trPr>
        <w:tc>
          <w:tcPr>
            <w:tcW w:w="4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75" w:name="page176"/>
    <w:bookmarkEnd w:id="1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8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As of December 31, 2019 and 2018, the Company had federal research and development tax credit carryforwards of approximately $228 and $0 respectively, available to reduce future tax liabilities, which begin to expire in 2039. As of December 31, 2019 and 2018, the Company had state research and development tax credit carryforwards of approximately $265 and $95 respectively, available to reduce future tax liabilities, which begin to expire in 2034.</w:t>
      </w:r>
    </w:p>
    <w:p>
      <w:pPr>
        <w:spacing w:after="0" w:line="114"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As required by ASC 740, the Company has evaluated the positive and negative evidence bearing upon its ability to realize the deferred tax assets. In order to utilize state research and development tax credits, the Company will need taxable income in the jurisdiction of where the credit was generated. The Company currently has no taxable income in certain state jurisdictions and thus management has determined that it is more likely than not that the Company will not recognize the benefits of state research and development tax credits generated in those jurisdictions, and as a result, a valuation allowance of $330 and $49 has been established at December 31, 2019 and 2018, respectively.</w:t>
      </w:r>
    </w:p>
    <w:p>
      <w:pPr>
        <w:spacing w:after="0" w:line="165" w:lineRule="exact"/>
        <w:rPr>
          <w:sz w:val="20"/>
          <w:szCs w:val="20"/>
          <w:color w:val="auto"/>
        </w:rPr>
      </w:pPr>
    </w:p>
    <w:p>
      <w:pPr>
        <w:ind w:right="80" w:firstLine="648"/>
        <w:spacing w:after="0" w:line="219" w:lineRule="exact"/>
        <w:rPr>
          <w:sz w:val="20"/>
          <w:szCs w:val="20"/>
          <w:color w:val="auto"/>
        </w:rPr>
      </w:pPr>
      <w:r>
        <w:rPr>
          <w:rFonts w:ascii="Arial" w:cs="Arial" w:eastAsia="Arial" w:hAnsi="Arial"/>
          <w:sz w:val="16"/>
          <w:szCs w:val="16"/>
          <w:color w:val="auto"/>
        </w:rPr>
        <w:t>Utilization of the state research and development tax credits may be subject to substantial annual limitation under Section 382 of the Internal Revenue Code of 1986 due to ownership changes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shares of a corporation by more than 50% over a three</w:t>
      </w:r>
      <w:r>
        <w:rPr>
          <w:rFonts w:ascii="MS PGothic" w:cs="MS PGothic" w:eastAsia="MS PGothic" w:hAnsi="MS PGothic"/>
          <w:sz w:val="16"/>
          <w:szCs w:val="16"/>
          <w:color w:val="auto"/>
        </w:rPr>
        <w:t>‑</w:t>
      </w:r>
      <w:r>
        <w:rPr>
          <w:rFonts w:ascii="Arial" w:cs="Arial" w:eastAsia="Arial" w:hAnsi="Arial"/>
          <w:sz w:val="16"/>
          <w:szCs w:val="16"/>
          <w:color w:val="auto"/>
        </w:rPr>
        <w:t>year period.</w:t>
      </w:r>
    </w:p>
    <w:p>
      <w:pPr>
        <w:spacing w:after="0" w:line="177"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Changes in the valuation allowance for deferred tax assets during the years ended December 31, 2019 and 2018 were due primarily to an increase in state research and development tax credits and net operating losses from Primatope which are more likely than not to expire unutilized and were as follows:</w:t>
      </w:r>
    </w:p>
    <w:p>
      <w:pPr>
        <w:spacing w:after="0" w:line="146"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Years Ended</w:t>
      </w:r>
    </w:p>
    <w:p>
      <w:pPr>
        <w:ind w:left="76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at beginning of year</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Increases recorded to through the balance sheet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Increases recorded to income tax provision</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7"/>
        </w:trPr>
        <w:tc>
          <w:tcPr>
            <w:tcW w:w="7040" w:type="dxa"/>
            <w:vAlign w:val="bottom"/>
          </w:tcPr>
          <w:p>
            <w:pPr>
              <w:spacing w:after="0"/>
              <w:rPr>
                <w:sz w:val="20"/>
                <w:szCs w:val="20"/>
                <w:color w:val="auto"/>
              </w:rPr>
            </w:pPr>
            <w:r>
              <w:rPr>
                <w:rFonts w:ascii="Arial" w:cs="Arial" w:eastAsia="Arial" w:hAnsi="Arial"/>
                <w:sz w:val="18"/>
                <w:szCs w:val="18"/>
                <w:color w:val="auto"/>
              </w:rPr>
              <w:t>Valuation allowance at end of year</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bl>
    <w:p>
      <w:pPr>
        <w:spacing w:after="0" w:line="202" w:lineRule="exact"/>
        <w:rPr>
          <w:sz w:val="20"/>
          <w:szCs w:val="20"/>
          <w:color w:val="auto"/>
        </w:rPr>
      </w:pPr>
    </w:p>
    <w:p>
      <w:pPr>
        <w:ind w:right="120" w:firstLine="648"/>
        <w:spacing w:after="0" w:line="220" w:lineRule="exact"/>
        <w:rPr>
          <w:sz w:val="20"/>
          <w:szCs w:val="20"/>
          <w:color w:val="auto"/>
        </w:rPr>
      </w:pPr>
      <w:r>
        <w:rPr>
          <w:rFonts w:ascii="Arial" w:cs="Arial" w:eastAsia="Arial" w:hAnsi="Arial"/>
          <w:sz w:val="18"/>
          <w:szCs w:val="18"/>
          <w:color w:val="auto"/>
        </w:rPr>
        <w:t>The valuation allowance increased by $281 in 2019 primarily as a result of additional California Research and Development (“R&amp;D”) credits and the net operating loss carryovers at Primatope which may not be realized. The remaining deferred tax assets will be fully utilized in the United States based on future income generated under the cost</w:t>
      </w:r>
      <w:r>
        <w:rPr>
          <w:rFonts w:ascii="MS PGothic" w:cs="MS PGothic" w:eastAsia="MS PGothic" w:hAnsi="MS PGothic"/>
          <w:sz w:val="18"/>
          <w:szCs w:val="18"/>
          <w:color w:val="auto"/>
        </w:rPr>
        <w:t>‑</w:t>
      </w:r>
      <w:r>
        <w:rPr>
          <w:rFonts w:ascii="Arial" w:cs="Arial" w:eastAsia="Arial" w:hAnsi="Arial"/>
          <w:sz w:val="18"/>
          <w:szCs w:val="18"/>
          <w:color w:val="auto"/>
        </w:rPr>
        <w:t>plus arrangement in place.</w:t>
      </w:r>
    </w:p>
    <w:p>
      <w:pPr>
        <w:spacing w:after="0" w:line="20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recognizes the tax benefit from an uncertain tax position only if it is more-likely-than-not that the tax position will be sustained on examination by taxing authorities, based on the technical merits of the position. The tax benefits recognized in the financial statements from such a position are measured based on the largest benefit that has a greater than 50% likelihood of being realized upon ultimate settlement. The amount of unrecognized tax benefits is $528 and $0 as of December 31, 2019 and 2018, respectively. The net increase relates to new tax positions on Research and Development credits as a result of the R&amp;D study performed in 2019.</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roll forward of the Company’s uncertainties in its income tax provision liability is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Years Ended</w:t>
            </w:r>
          </w:p>
        </w:tc>
        <w:tc>
          <w:tcPr>
            <w:tcW w:w="760" w:type="dxa"/>
            <w:vAlign w:val="bottom"/>
          </w:tcPr>
          <w:p>
            <w:pPr>
              <w:spacing w:after="0"/>
              <w:rPr>
                <w:sz w:val="16"/>
                <w:szCs w:val="16"/>
                <w:color w:val="auto"/>
              </w:rPr>
            </w:pPr>
          </w:p>
        </w:tc>
      </w:tr>
      <w:tr>
        <w:trPr>
          <w:trHeight w:val="201"/>
        </w:trPr>
        <w:tc>
          <w:tcPr>
            <w:tcW w:w="4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r>
      <w:tr>
        <w:trPr>
          <w:trHeight w:val="196"/>
        </w:trPr>
        <w:tc>
          <w:tcPr>
            <w:tcW w:w="4100" w:type="dxa"/>
            <w:vAlign w:val="bottom"/>
          </w:tcPr>
          <w:p>
            <w:pPr>
              <w:spacing w:after="0"/>
              <w:rPr>
                <w:sz w:val="17"/>
                <w:szCs w:val="17"/>
                <w:color w:val="auto"/>
              </w:rPr>
            </w:pPr>
          </w:p>
        </w:tc>
        <w:tc>
          <w:tcPr>
            <w:tcW w:w="3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balance at the beginning of year</w:t>
            </w:r>
          </w:p>
        </w:tc>
        <w:tc>
          <w:tcPr>
            <w:tcW w:w="2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4"/>
              </w:rPr>
              <w:t>Gross increases based on current period tax positions</w:t>
            </w:r>
          </w:p>
        </w:tc>
        <w:tc>
          <w:tcPr>
            <w:tcW w:w="24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528</w:t>
            </w:r>
          </w:p>
        </w:tc>
        <w:tc>
          <w:tcPr>
            <w:tcW w:w="3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r>
      <w:tr>
        <w:trPr>
          <w:trHeight w:val="217"/>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benefits at the end of the year</w:t>
            </w:r>
          </w:p>
        </w:tc>
        <w:tc>
          <w:tcPr>
            <w:tcW w:w="24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528</w:t>
            </w:r>
          </w:p>
        </w:tc>
        <w:tc>
          <w:tcPr>
            <w:tcW w:w="3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648"/>
        </w:trPr>
        <w:tc>
          <w:tcPr>
            <w:tcW w:w="4100" w:type="dxa"/>
            <w:vAlign w:val="bottom"/>
          </w:tcPr>
          <w:p>
            <w:pPr>
              <w:spacing w:after="0"/>
              <w:rPr>
                <w:sz w:val="24"/>
                <w:szCs w:val="24"/>
                <w:color w:val="auto"/>
              </w:rPr>
            </w:pPr>
          </w:p>
        </w:tc>
        <w:tc>
          <w:tcPr>
            <w:tcW w:w="3160" w:type="dxa"/>
            <w:vAlign w:val="bottom"/>
            <w:gridSpan w:val="2"/>
          </w:tcPr>
          <w:p>
            <w:pPr>
              <w:jc w:val="right"/>
              <w:ind w:right="2470"/>
              <w:spacing w:after="0"/>
              <w:rPr>
                <w:sz w:val="20"/>
                <w:szCs w:val="20"/>
                <w:color w:val="auto"/>
              </w:rPr>
            </w:pPr>
            <w:r>
              <w:rPr>
                <w:rFonts w:ascii="Arial" w:cs="Arial" w:eastAsia="Arial" w:hAnsi="Arial"/>
                <w:sz w:val="18"/>
                <w:szCs w:val="18"/>
                <w:color w:val="auto"/>
              </w:rPr>
              <w:t>F-35</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61"/>
        </w:trPr>
        <w:tc>
          <w:tcPr>
            <w:tcW w:w="4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76" w:name="page177"/>
    <w:bookmarkEnd w:id="1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39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Company’s policy is to record interest and penalties related to income taxes as part of its income tax provision. The Company had recorded immaterial interest on the tax positions during the year ended December 31, 2019 and no interest or penalties for the year ended December 31, 2018.</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files income tax returns in the United States and certain state jurisdictions. Kiniksa US’s federal and state income tax returns are subject to tax examinations for the tax years ended December 31, 2016 and subsequent years. To the extent the Company has tax attribute carryforwards, the tax years in which the attribute was generated may still be adjusted upon examination by the Internal Revenue Service and state tax authorities to the extent utilized in a future period. There are currently no income tax examinations pending.</w:t>
      </w:r>
    </w:p>
    <w:p>
      <w:pPr>
        <w:spacing w:after="0" w:line="400" w:lineRule="exact"/>
        <w:rPr>
          <w:sz w:val="20"/>
          <w:szCs w:val="20"/>
          <w:color w:val="auto"/>
        </w:rPr>
      </w:pPr>
    </w:p>
    <w:p>
      <w:pPr>
        <w:ind w:left="640" w:hanging="637"/>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rights, including the liquidation and dividend rights, of the holders of Class A, Class B, Class A1 and Class B1 common shares are identical, except with respect to voting, transferability and conversion (see Note 8). As the liquidation and dividend rights are identical, losses are allocated on a proportionate basis and the resulting net loss per share attributed to common shareholders will, therefore, be the same for both Class A and Class B common shares on an individual or combined basis.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and diluted net loss per share attributable to common shareholders was calculated as follows:</w:t>
      </w:r>
    </w:p>
    <w:p>
      <w:pPr>
        <w:spacing w:after="0" w:line="230"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Years Ended</w:t>
      </w:r>
    </w:p>
    <w:p>
      <w:pPr>
        <w:ind w:left="74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3"/>
        </w:trPr>
        <w:tc>
          <w:tcPr>
            <w:tcW w:w="6000" w:type="dxa"/>
            <w:vAlign w:val="bottom"/>
          </w:tcPr>
          <w:p>
            <w:pPr>
              <w:ind w:left="120"/>
              <w:spacing w:after="0"/>
              <w:rPr>
                <w:sz w:val="20"/>
                <w:szCs w:val="20"/>
                <w:color w:val="auto"/>
              </w:rPr>
            </w:pPr>
            <w:r>
              <w:rPr>
                <w:rFonts w:ascii="Arial" w:cs="Arial" w:eastAsia="Arial" w:hAnsi="Arial"/>
                <w:sz w:val="18"/>
                <w:szCs w:val="18"/>
                <w:color w:val="auto"/>
              </w:rPr>
              <w:t>Net loss attributable to common shareholders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(161,867)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(103,227)</w:t>
            </w:r>
          </w:p>
        </w:tc>
        <w:tc>
          <w:tcPr>
            <w:tcW w:w="180" w:type="dxa"/>
            <w:vAlign w:val="bottom"/>
          </w:tcPr>
          <w:p>
            <w:pPr>
              <w:spacing w:after="0"/>
              <w:rPr>
                <w:sz w:val="19"/>
                <w:szCs w:val="19"/>
                <w:color w:val="auto"/>
              </w:rPr>
            </w:pPr>
          </w:p>
        </w:tc>
      </w:tr>
      <w:tr>
        <w:trPr>
          <w:trHeight w:val="21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23"/>
        </w:trPr>
        <w:tc>
          <w:tcPr>
            <w:tcW w:w="6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Weighted average common shares outstanding—basic and diluted</w:t>
            </w:r>
          </w:p>
        </w:tc>
        <w:tc>
          <w:tcPr>
            <w:tcW w:w="6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54,049,477</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29,547,427</w:t>
            </w:r>
          </w:p>
        </w:tc>
        <w:tc>
          <w:tcPr>
            <w:tcW w:w="180" w:type="dxa"/>
            <w:vAlign w:val="bottom"/>
            <w:tcBorders>
              <w:bottom w:val="single" w:sz="8" w:color="CCEEFF"/>
            </w:tcBorders>
          </w:tcPr>
          <w:p>
            <w:pPr>
              <w:spacing w:after="0"/>
              <w:rPr>
                <w:sz w:val="19"/>
                <w:szCs w:val="19"/>
                <w:color w:val="auto"/>
              </w:rPr>
            </w:pPr>
          </w:p>
        </w:tc>
      </w:tr>
      <w:tr>
        <w:trPr>
          <w:trHeight w:val="223"/>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Net loss per share attributable to common shareholders— basic and diluted</w:t>
            </w:r>
          </w:p>
        </w:tc>
        <w:tc>
          <w:tcPr>
            <w:tcW w:w="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Company’s unvested restricted shares and restricted share units have been excluded from the computation of basic net loss per share attributable to common shareholders.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Company’s potentially dilutive securities, which include options, unvested restricted shares and unvested RSUs, have been excluded from the computation of diluted net loss per share attributable to common shareholders as the effect would be to reduce the net loss per share attributable to common shareholders. Therefore, the weighted average number of common shares outstanding used to calculate both basic and diluted net loss per share attributable to common shareholders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8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8,491,734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5,960,939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Unvested restricted shares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877,219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share units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328,296</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8,820,030</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6,838,158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7" w:name="page178"/>
    <w:bookmarkEnd w:id="1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KINIKSA PHARMACEUTICALS, LTD. NOTES TO CONSOLIDATED FINANCIAL STATEMENTS (Continued) (Amounts in thousands, except share and per share amounts)</w:t>
      </w:r>
    </w:p>
    <w:p>
      <w:pPr>
        <w:spacing w:after="0" w:line="176" w:lineRule="exact"/>
        <w:rPr>
          <w:sz w:val="20"/>
          <w:szCs w:val="20"/>
          <w:color w:val="auto"/>
        </w:rPr>
      </w:pPr>
    </w:p>
    <w:p>
      <w:pPr>
        <w:ind w:left="660" w:right="5880" w:hanging="657"/>
        <w:spacing w:after="0" w:line="528" w:lineRule="auto"/>
        <w:tabs>
          <w:tab w:leader="none" w:pos="642"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License Agreements</w:t>
      </w:r>
    </w:p>
    <w:p>
      <w:pPr>
        <w:spacing w:after="0" w:line="1" w:lineRule="exact"/>
        <w:rPr>
          <w:sz w:val="20"/>
          <w:szCs w:val="20"/>
          <w:color w:val="auto"/>
        </w:rPr>
      </w:pPr>
    </w:p>
    <w:p>
      <w:pPr>
        <w:ind w:right="740" w:firstLine="648"/>
        <w:spacing w:after="0" w:line="223" w:lineRule="exact"/>
        <w:rPr>
          <w:sz w:val="20"/>
          <w:szCs w:val="20"/>
          <w:color w:val="auto"/>
        </w:rPr>
      </w:pPr>
      <w:r>
        <w:rPr>
          <w:rFonts w:ascii="Arial" w:cs="Arial" w:eastAsia="Arial" w:hAnsi="Arial"/>
          <w:sz w:val="18"/>
          <w:szCs w:val="18"/>
          <w:color w:val="auto"/>
        </w:rPr>
        <w:t>The Company has entered into license agreements with various parties under which it is obligated to make contingent and non</w:t>
      </w:r>
      <w:r>
        <w:rPr>
          <w:rFonts w:ascii="MS PGothic" w:cs="MS PGothic" w:eastAsia="MS PGothic" w:hAnsi="MS PGothic"/>
          <w:sz w:val="18"/>
          <w:szCs w:val="18"/>
          <w:color w:val="auto"/>
        </w:rPr>
        <w:t>‑</w:t>
      </w:r>
      <w:r>
        <w:rPr>
          <w:rFonts w:ascii="Arial" w:cs="Arial" w:eastAsia="Arial" w:hAnsi="Arial"/>
          <w:sz w:val="18"/>
          <w:szCs w:val="18"/>
          <w:color w:val="auto"/>
        </w:rPr>
        <w:t>contingent payments (see Note 10).</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Manufacturing Commitments</w:t>
      </w:r>
    </w:p>
    <w:p>
      <w:pPr>
        <w:spacing w:after="0" w:line="17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entered into agreements with several contract manufacturing organizations to provide preclinical and clinical trial materials. As of December 31, 2019, the Company had committed to minimum payments under these agreements totaling $2,863 which are due during the year ending December 31, 2020.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Rilonacept Long-Term Incentive Plan</w:t>
      </w:r>
    </w:p>
    <w:p>
      <w:pPr>
        <w:spacing w:after="0" w:line="17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During the year ended December 31, 2019, the Company granted a cash award and the First RSU Award to employees under the RLTIP. The cash award vests upon the achievement of the RLTIP Milestone, subject to the recipient’s continued employment. The First RSU Award becomes eligible to vest upon the achievement of the RLTIP Milestone, and will vest upon the first anniversary of such date, subject to the recipient’s continued employment through that date. As of December 31, 2019, the Company estimates cash payments of $2,083 under the RLTIP. In the event the RLTIP Milestone is not achieved, the cash award will not be paid and the First RSU Award will not vest.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officers and other key personnel that will require the Company, among other things, to indemnify them against certain liabilities that may arise by reason of their status or service as directors, officers or other key personnel.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2019 or 2018.</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is not a party to any litigation and does not have contingency reserves established for any litigation liabilities.</w:t>
      </w:r>
    </w:p>
    <w:p>
      <w:pPr>
        <w:spacing w:after="0" w:line="112" w:lineRule="exact"/>
        <w:rPr>
          <w:sz w:val="20"/>
          <w:szCs w:val="20"/>
          <w:color w:val="auto"/>
        </w:rPr>
      </w:pPr>
    </w:p>
    <w:p>
      <w:pPr>
        <w:ind w:left="640" w:hanging="637"/>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17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has established a defined-contribution savings plan under Section 401(k) of the Internal Revenue Code. This plan covers substantially all employees who meet minimum age and service requirements and allows participants to defer a portion of their annual compensation on a pre-tax basis. The Company provides matching contributions of 100% of the first 3% of each participant’s salary contributed, plus 50% for each of the next 2% contributed. Employees are immediately and fully vested in their own contributions and the Company’s match. During the years ended December 31, 2019 and 2018, the Company contributed $851 and $315, respectively, to the plan.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8" w:name="page179"/>
    <w:bookmarkEnd w:id="178"/>
    <w:p>
      <w:pPr>
        <w:jc w:val="right"/>
        <w:ind w:right="139"/>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jc w:val="both"/>
        <w:ind w:left="160" w:right="139"/>
        <w:spacing w:after="0" w:line="279" w:lineRule="auto"/>
        <w:rPr>
          <w:sz w:val="20"/>
          <w:szCs w:val="20"/>
          <w:color w:val="auto"/>
        </w:rPr>
      </w:pPr>
      <w:r>
        <w:rPr>
          <w:rFonts w:ascii="Arial" w:cs="Arial" w:eastAsia="Arial" w:hAnsi="Arial"/>
          <w:sz w:val="17"/>
          <w:szCs w:val="17"/>
          <w:i w:val="1"/>
          <w:iCs w:val="1"/>
          <w:color w:val="auto"/>
        </w:rPr>
        <w:t>The following description of the share capital of Kiniksa Pharmaceuticals, Inc. ( “we,” “us” and “our”) is not complete and may not contain all the information you should consider before investing in our securities. This description is summarized from, and qualified in its entirety by reference to, our memorandum of association and amended and restated bye-laws, each of which has been publicly filed with the Securities and Exchange Commission.</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jc w:val="both"/>
        <w:ind w:left="160" w:right="159" w:firstLine="648"/>
        <w:spacing w:after="0" w:line="277" w:lineRule="auto"/>
        <w:rPr>
          <w:sz w:val="20"/>
          <w:szCs w:val="20"/>
          <w:color w:val="auto"/>
        </w:rPr>
      </w:pPr>
      <w:r>
        <w:rPr>
          <w:rFonts w:ascii="Arial" w:cs="Arial" w:eastAsia="Arial" w:hAnsi="Arial"/>
          <w:sz w:val="18"/>
          <w:szCs w:val="18"/>
          <w:color w:val="auto"/>
        </w:rPr>
        <w:t>As of December 31, 2019, our authorized share capital consisted of 200,000,000 shares, par value $0.000273235 per share.</w:t>
      </w:r>
    </w:p>
    <w:p>
      <w:pPr>
        <w:spacing w:after="0" w:line="170" w:lineRule="exact"/>
        <w:rPr>
          <w:sz w:val="20"/>
          <w:szCs w:val="20"/>
          <w:color w:val="auto"/>
        </w:rPr>
      </w:pPr>
    </w:p>
    <w:p>
      <w:pPr>
        <w:jc w:val="both"/>
        <w:ind w:left="160" w:right="139" w:firstLine="648"/>
        <w:spacing w:after="0" w:line="220" w:lineRule="exact"/>
        <w:rPr>
          <w:sz w:val="20"/>
          <w:szCs w:val="20"/>
          <w:color w:val="auto"/>
        </w:rPr>
      </w:pPr>
      <w:r>
        <w:rPr>
          <w:rFonts w:ascii="Arial" w:cs="Arial" w:eastAsia="Arial" w:hAnsi="Arial"/>
          <w:sz w:val="18"/>
          <w:szCs w:val="18"/>
          <w:color w:val="auto"/>
        </w:rPr>
        <w:t>Pursuant to our amended and restated bye</w:t>
      </w:r>
      <w:r>
        <w:rPr>
          <w:rFonts w:ascii="MS PGothic" w:cs="MS PGothic" w:eastAsia="MS PGothic" w:hAnsi="MS PGothic"/>
          <w:sz w:val="18"/>
          <w:szCs w:val="18"/>
          <w:color w:val="auto"/>
        </w:rPr>
        <w:t>‑</w:t>
      </w:r>
      <w:r>
        <w:rPr>
          <w:rFonts w:ascii="Arial" w:cs="Arial" w:eastAsia="Arial" w:hAnsi="Arial"/>
          <w:sz w:val="18"/>
          <w:szCs w:val="18"/>
          <w:color w:val="auto"/>
        </w:rPr>
        <w:t>laws, subject to the requirements of the Nasdaq Global Select Market and subject to any resolution of the shareholders to the contrary, our board of directors is authorized to issue any of our designated but unissued shares. There are no limitations on the right of non</w:t>
      </w:r>
      <w:r>
        <w:rPr>
          <w:rFonts w:ascii="MS PGothic" w:cs="MS PGothic" w:eastAsia="MS PGothic" w:hAnsi="MS PGothic"/>
          <w:sz w:val="18"/>
          <w:szCs w:val="18"/>
          <w:color w:val="auto"/>
        </w:rPr>
        <w:t>‑</w:t>
      </w:r>
      <w:r>
        <w:rPr>
          <w:rFonts w:ascii="Arial" w:cs="Arial" w:eastAsia="Arial" w:hAnsi="Arial"/>
          <w:sz w:val="18"/>
          <w:szCs w:val="18"/>
          <w:color w:val="auto"/>
        </w:rPr>
        <w:t>Bermudians or non</w:t>
      </w:r>
      <w:r>
        <w:rPr>
          <w:rFonts w:ascii="MS PGothic" w:cs="MS PGothic" w:eastAsia="MS PGothic" w:hAnsi="MS PGothic"/>
          <w:sz w:val="18"/>
          <w:szCs w:val="18"/>
          <w:color w:val="auto"/>
        </w:rPr>
        <w:t>‑</w:t>
      </w:r>
      <w:r>
        <w:rPr>
          <w:rFonts w:ascii="Arial" w:cs="Arial" w:eastAsia="Arial" w:hAnsi="Arial"/>
          <w:sz w:val="18"/>
          <w:szCs w:val="18"/>
          <w:color w:val="auto"/>
        </w:rPr>
        <w:t>residents of Bermuda to hold or vote our shares.</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jc w:val="both"/>
        <w:ind w:left="160" w:right="139" w:firstLine="648"/>
        <w:spacing w:after="0" w:line="218" w:lineRule="exact"/>
        <w:rPr>
          <w:sz w:val="20"/>
          <w:szCs w:val="20"/>
          <w:color w:val="auto"/>
        </w:rPr>
      </w:pPr>
      <w:r>
        <w:rPr>
          <w:rFonts w:ascii="Arial" w:cs="Arial" w:eastAsia="Arial" w:hAnsi="Arial"/>
          <w:sz w:val="17"/>
          <w:szCs w:val="17"/>
          <w:color w:val="auto"/>
        </w:rPr>
        <w:t>We have four classes of shares: Class A, Class B, Class A1 and Class B1. Class A and Class B common shares are voting common shares, or together the voting common shares, and Class A1 and Class B1 are non</w:t>
      </w:r>
      <w:r>
        <w:rPr>
          <w:rFonts w:ascii="MS PGothic" w:cs="MS PGothic" w:eastAsia="MS PGothic" w:hAnsi="MS PGothic"/>
          <w:sz w:val="17"/>
          <w:szCs w:val="17"/>
          <w:color w:val="auto"/>
        </w:rPr>
        <w:t>‑</w:t>
      </w:r>
      <w:r>
        <w:rPr>
          <w:rFonts w:ascii="Arial" w:cs="Arial" w:eastAsia="Arial" w:hAnsi="Arial"/>
          <w:sz w:val="17"/>
          <w:szCs w:val="17"/>
          <w:color w:val="auto"/>
        </w:rPr>
        <w:t>voting common shares. Except as described below with respect to voting rights, conversion, and transferability, each common share has the same rights and powers of, ranks equally to, shares ratably with and is identical in all respects and as to all matters with, each other common share. In the event of our liquidation, dissolution or winding up, the holders of our common shares are entitled to share equally and ratably in our assets, if any, remaining after the payment of all of our debts and liabilities, subject to any liquidation preference on any issued and outstanding preferred shares. None of our common shares have pre</w:t>
      </w:r>
      <w:r>
        <w:rPr>
          <w:rFonts w:ascii="MS PGothic" w:cs="MS PGothic" w:eastAsia="MS PGothic" w:hAnsi="MS PGothic"/>
          <w:sz w:val="17"/>
          <w:szCs w:val="17"/>
          <w:color w:val="auto"/>
        </w:rPr>
        <w:t>‑</w:t>
      </w:r>
      <w:r>
        <w:rPr>
          <w:rFonts w:ascii="Arial" w:cs="Arial" w:eastAsia="Arial" w:hAnsi="Arial"/>
          <w:sz w:val="17"/>
          <w:szCs w:val="17"/>
          <w:color w:val="auto"/>
        </w:rPr>
        <w:t>emptive, redemption or sinking fund rights.</w:t>
      </w:r>
    </w:p>
    <w:p>
      <w:pPr>
        <w:spacing w:after="0" w:line="205" w:lineRule="exact"/>
        <w:rPr>
          <w:sz w:val="20"/>
          <w:szCs w:val="20"/>
          <w:color w:val="auto"/>
        </w:rPr>
      </w:pPr>
    </w:p>
    <w:p>
      <w:pPr>
        <w:jc w:val="both"/>
        <w:ind w:left="160" w:right="139" w:firstLine="648"/>
        <w:spacing w:after="0" w:line="257" w:lineRule="auto"/>
        <w:rPr>
          <w:sz w:val="20"/>
          <w:szCs w:val="20"/>
          <w:color w:val="auto"/>
        </w:rPr>
      </w:pPr>
      <w:r>
        <w:rPr>
          <w:rFonts w:ascii="Arial" w:cs="Arial" w:eastAsia="Arial" w:hAnsi="Arial"/>
          <w:sz w:val="18"/>
          <w:szCs w:val="18"/>
          <w:color w:val="auto"/>
        </w:rPr>
        <w:t>Each holder of Class B common shares may convert any portion of its Class B common shares into Class A common shares or Class B1 common shares at any time with advance notice to us. In addition, each Class B common share automatically converts into one Class A common share upon transfer, except for transfers to or between affiliated holders. Our Class B common shares also have greater voting power than our Class A common shares, as described in “—Voting Rights.”</w:t>
      </w:r>
    </w:p>
    <w:p>
      <w:pPr>
        <w:spacing w:after="0" w:line="188" w:lineRule="exact"/>
        <w:rPr>
          <w:sz w:val="20"/>
          <w:szCs w:val="20"/>
          <w:color w:val="auto"/>
        </w:rPr>
      </w:pPr>
    </w:p>
    <w:p>
      <w:pPr>
        <w:jc w:val="both"/>
        <w:ind w:left="160" w:right="139" w:firstLine="648"/>
        <w:spacing w:after="0" w:line="218" w:lineRule="exact"/>
        <w:rPr>
          <w:sz w:val="20"/>
          <w:szCs w:val="20"/>
          <w:color w:val="auto"/>
        </w:rPr>
      </w:pPr>
      <w:r>
        <w:rPr>
          <w:rFonts w:ascii="Arial" w:cs="Arial" w:eastAsia="Arial" w:hAnsi="Arial"/>
          <w:sz w:val="18"/>
          <w:szCs w:val="18"/>
          <w:color w:val="auto"/>
        </w:rPr>
        <w:t>Each holder of Class A1 common shares may elect to convert any portion of its non-voting Class A1 common shares into voting Class A common shares at any time with advance notice to us, unless, immediately prior to or following such conversion, the holder and its affiliates beneficially own or would beneficially own more than 4.99% of the issued and outstanding Class A common shares or any other class of equity security (other than an exempted security) that is registered pursuant to Section 12 of the Securities Exchange Act of 1934, as amended, or the Exchange Act. A holder of Class A1 common shares may increase, decrease or waive this limitation on ownership by providing us with 61</w:t>
      </w:r>
      <w:r>
        <w:rPr>
          <w:rFonts w:ascii="MS PGothic" w:cs="MS PGothic" w:eastAsia="MS PGothic" w:hAnsi="MS PGothic"/>
          <w:sz w:val="18"/>
          <w:szCs w:val="18"/>
          <w:color w:val="auto"/>
        </w:rPr>
        <w:t>‑</w:t>
      </w:r>
      <w:r>
        <w:rPr>
          <w:rFonts w:ascii="Arial" w:cs="Arial" w:eastAsia="Arial" w:hAnsi="Arial"/>
          <w:sz w:val="18"/>
          <w:szCs w:val="18"/>
          <w:color w:val="auto"/>
        </w:rPr>
        <w:t>days’ notice.</w:t>
      </w:r>
    </w:p>
    <w:p>
      <w:pPr>
        <w:spacing w:after="0" w:line="207" w:lineRule="exact"/>
        <w:rPr>
          <w:sz w:val="20"/>
          <w:szCs w:val="20"/>
          <w:color w:val="auto"/>
        </w:rPr>
      </w:pPr>
    </w:p>
    <w:p>
      <w:pPr>
        <w:jc w:val="both"/>
        <w:ind w:left="160" w:right="139" w:firstLine="648"/>
        <w:spacing w:after="0" w:line="218" w:lineRule="exact"/>
        <w:rPr>
          <w:sz w:val="20"/>
          <w:szCs w:val="20"/>
          <w:color w:val="auto"/>
        </w:rPr>
      </w:pPr>
      <w:r>
        <w:rPr>
          <w:rFonts w:ascii="Arial" w:cs="Arial" w:eastAsia="Arial" w:hAnsi="Arial"/>
          <w:sz w:val="17"/>
          <w:szCs w:val="17"/>
          <w:color w:val="auto"/>
        </w:rPr>
        <w:t>Each holder of Class B1 common shares may elect to convert any portion of its non-voting Class B1 common shares into voting Class A common shares or voting Class B common shares at any time with advance notice to us, unless, immediately prior to or following such conversion, the holder and its affiliates beneficially own or would beneficially own more than 4.99% of the issued and outstanding Class A common shares or any other class of equity security (other than an exempted security) that is registered pursuant to Section 12 of the Exchange Act. A holder of Class B1 common shares may increase, decrease or waive this limitation on ownership by providing us with 61</w:t>
      </w:r>
      <w:r>
        <w:rPr>
          <w:rFonts w:ascii="MS PGothic" w:cs="MS PGothic" w:eastAsia="MS PGothic" w:hAnsi="MS PGothic"/>
          <w:sz w:val="17"/>
          <w:szCs w:val="17"/>
          <w:color w:val="auto"/>
        </w:rPr>
        <w:t>‑</w:t>
      </w:r>
      <w:r>
        <w:rPr>
          <w:rFonts w:ascii="Arial" w:cs="Arial" w:eastAsia="Arial" w:hAnsi="Arial"/>
          <w:sz w:val="17"/>
          <w:szCs w:val="17"/>
          <w:color w:val="auto"/>
        </w:rPr>
        <w:t>days’ notice. In addition, each Class B1 common share automatically converts into one Class A common share upon transfer, except for transfers to or between affiliated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345440</wp:posOffset>
            </wp:positionV>
            <wp:extent cx="554863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9" w:name="page180"/>
    <w:bookmarkEnd w:id="179"/>
    <w:p>
      <w:pPr>
        <w:ind w:left="160"/>
        <w:spacing w:after="0"/>
        <w:rPr>
          <w:sz w:val="20"/>
          <w:szCs w:val="20"/>
          <w:color w:val="auto"/>
        </w:rPr>
      </w:pPr>
      <w:r>
        <w:rPr>
          <w:rFonts w:ascii="Arial" w:cs="Arial" w:eastAsia="Arial" w:hAnsi="Arial"/>
          <w:sz w:val="18"/>
          <w:szCs w:val="18"/>
          <w:b w:val="1"/>
          <w:bCs w:val="1"/>
          <w:color w:val="auto"/>
        </w:rPr>
        <w:t>Preferred Shares</w:t>
      </w:r>
    </w:p>
    <w:p>
      <w:pPr>
        <w:spacing w:after="0" w:line="229" w:lineRule="exact"/>
        <w:rPr>
          <w:sz w:val="20"/>
          <w:szCs w:val="20"/>
          <w:color w:val="auto"/>
        </w:rPr>
      </w:pPr>
    </w:p>
    <w:p>
      <w:pPr>
        <w:jc w:val="both"/>
        <w:ind w:left="160" w:right="139" w:firstLine="648"/>
        <w:spacing w:after="0" w:line="218" w:lineRule="exact"/>
        <w:rPr>
          <w:sz w:val="20"/>
          <w:szCs w:val="20"/>
          <w:color w:val="auto"/>
        </w:rPr>
      </w:pPr>
      <w:r>
        <w:rPr>
          <w:rFonts w:ascii="Arial" w:cs="Arial" w:eastAsia="Arial" w:hAnsi="Arial"/>
          <w:sz w:val="16"/>
          <w:szCs w:val="16"/>
          <w:color w:val="auto"/>
        </w:rPr>
        <w:t>Under Bermuda law and our amended and restated bye</w:t>
      </w:r>
      <w:r>
        <w:rPr>
          <w:rFonts w:ascii="MS PGothic" w:cs="MS PGothic" w:eastAsia="MS PGothic" w:hAnsi="MS PGothic"/>
          <w:sz w:val="16"/>
          <w:szCs w:val="16"/>
          <w:color w:val="auto"/>
        </w:rPr>
        <w:t>‑</w:t>
      </w:r>
      <w:r>
        <w:rPr>
          <w:rFonts w:ascii="Arial" w:cs="Arial" w:eastAsia="Arial" w:hAnsi="Arial"/>
          <w:sz w:val="16"/>
          <w:szCs w:val="16"/>
          <w:color w:val="auto"/>
        </w:rPr>
        <w:t>laws, our board of directors is authorized to issue preferred shares in one or more series without shareholder approval. Our board of directors has the discretion under our amended and restated bye</w:t>
      </w:r>
      <w:r>
        <w:rPr>
          <w:rFonts w:ascii="MS PGothic" w:cs="MS PGothic" w:eastAsia="MS PGothic" w:hAnsi="MS PGothic"/>
          <w:sz w:val="16"/>
          <w:szCs w:val="16"/>
          <w:color w:val="auto"/>
        </w:rPr>
        <w:t>‑</w:t>
      </w:r>
      <w:r>
        <w:rPr>
          <w:rFonts w:ascii="Arial" w:cs="Arial" w:eastAsia="Arial" w:hAnsi="Arial"/>
          <w:sz w:val="16"/>
          <w:szCs w:val="16"/>
          <w:color w:val="auto"/>
        </w:rPr>
        <w:t>laws to determine the rights, preferences, privileges and restrictions, including voting rights, dividend rights, conversion rights, redemption privileges and liquidation preferences, of each series of preferred shares, without any further shareholder approval. The rights with respect to a series of preferred shares may be greater than the rights attached to our common shares. It is not possible to state the actual effect of the issuance of any preferred shares on the rights of holders of our common shares until our board of directors determines the specific rights attached to those preferred shares. The effect of issuing preferred shares could include, among other things, one or more of the following:</w:t>
      </w:r>
    </w:p>
    <w:p>
      <w:pPr>
        <w:spacing w:after="0" w:line="203" w:lineRule="exact"/>
        <w:rPr>
          <w:sz w:val="20"/>
          <w:szCs w:val="20"/>
          <w:color w:val="auto"/>
        </w:rPr>
      </w:pPr>
    </w:p>
    <w:p>
      <w:pPr>
        <w:ind w:left="1120" w:hanging="321"/>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restricting dividends in respect of our common shares;</w:t>
      </w:r>
    </w:p>
    <w:p>
      <w:pPr>
        <w:spacing w:after="0" w:line="23" w:lineRule="exact"/>
        <w:rPr>
          <w:rFonts w:ascii="Arial" w:cs="Arial" w:eastAsia="Arial" w:hAnsi="Arial"/>
          <w:sz w:val="18"/>
          <w:szCs w:val="18"/>
          <w:color w:val="auto"/>
        </w:rPr>
      </w:pPr>
    </w:p>
    <w:p>
      <w:pPr>
        <w:ind w:left="1120" w:right="159" w:hanging="321"/>
        <w:spacing w:after="0" w:line="250" w:lineRule="auto"/>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diluting the voting power of our common shares or providing that holders of preferred shares have the right to vote on matters as a class;</w:t>
      </w:r>
    </w:p>
    <w:p>
      <w:pPr>
        <w:ind w:left="1120" w:hanging="321"/>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impairing the liquidation rights of our common shares; or</w:t>
      </w:r>
    </w:p>
    <w:p>
      <w:pPr>
        <w:spacing w:after="0" w:line="9" w:lineRule="exact"/>
        <w:rPr>
          <w:rFonts w:ascii="Arial" w:cs="Arial" w:eastAsia="Arial" w:hAnsi="Arial"/>
          <w:sz w:val="18"/>
          <w:szCs w:val="18"/>
          <w:color w:val="auto"/>
        </w:rPr>
      </w:pPr>
    </w:p>
    <w:p>
      <w:pPr>
        <w:ind w:left="1120" w:hanging="321"/>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delaying or preventing a change of control of us.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left="160" w:right="139" w:firstLine="648"/>
        <w:spacing w:after="0" w:line="218" w:lineRule="exact"/>
        <w:rPr>
          <w:sz w:val="20"/>
          <w:szCs w:val="20"/>
          <w:color w:val="auto"/>
        </w:rPr>
      </w:pPr>
      <w:r>
        <w:rPr>
          <w:rFonts w:ascii="Arial" w:cs="Arial" w:eastAsia="Arial" w:hAnsi="Arial"/>
          <w:sz w:val="16"/>
          <w:szCs w:val="16"/>
          <w:color w:val="auto"/>
        </w:rPr>
        <w:t>Unless a different majority is required by Bermuda law or by our amended and restated bye</w:t>
      </w:r>
      <w:r>
        <w:rPr>
          <w:rFonts w:ascii="MS PGothic" w:cs="MS PGothic" w:eastAsia="MS PGothic" w:hAnsi="MS PGothic"/>
          <w:sz w:val="16"/>
          <w:szCs w:val="16"/>
          <w:color w:val="auto"/>
        </w:rPr>
        <w:t>‑</w:t>
      </w:r>
      <w:r>
        <w:rPr>
          <w:rFonts w:ascii="Arial" w:cs="Arial" w:eastAsia="Arial" w:hAnsi="Arial"/>
          <w:sz w:val="16"/>
          <w:szCs w:val="16"/>
          <w:color w:val="auto"/>
        </w:rPr>
        <w:t>laws, resolutions to be approved by holders of voting common shares require approval by a simple majority of votes cast at a meeting at which a quorum is present. Holders of our voting common shares vote together as a single class on all matters presented to the shareholders for their vote or approval, including the election of directors. Any individual who is a shareholder and who is present and entitled to vote at a meeting may vote in person, as may any corporate shareholder that is represented by a duly authorized representative at a meeting of shareholders. Our amended and restated bye</w:t>
      </w:r>
      <w:r>
        <w:rPr>
          <w:rFonts w:ascii="MS PGothic" w:cs="MS PGothic" w:eastAsia="MS PGothic" w:hAnsi="MS PGothic"/>
          <w:sz w:val="16"/>
          <w:szCs w:val="16"/>
          <w:color w:val="auto"/>
        </w:rPr>
        <w:t>‑</w:t>
      </w:r>
      <w:r>
        <w:rPr>
          <w:rFonts w:ascii="Arial" w:cs="Arial" w:eastAsia="Arial" w:hAnsi="Arial"/>
          <w:sz w:val="16"/>
          <w:szCs w:val="16"/>
          <w:color w:val="auto"/>
        </w:rPr>
        <w:t>laws also permit attendance at general meetings by proxy, provided the instrument appointing the proxy is in the form specified in our amended and restated bye</w:t>
      </w:r>
      <w:r>
        <w:rPr>
          <w:rFonts w:ascii="MS PGothic" w:cs="MS PGothic" w:eastAsia="MS PGothic" w:hAnsi="MS PGothic"/>
          <w:sz w:val="16"/>
          <w:szCs w:val="16"/>
          <w:color w:val="auto"/>
        </w:rPr>
        <w:t>‑</w:t>
      </w:r>
      <w:r>
        <w:rPr>
          <w:rFonts w:ascii="Arial" w:cs="Arial" w:eastAsia="Arial" w:hAnsi="Arial"/>
          <w:sz w:val="16"/>
          <w:szCs w:val="16"/>
          <w:color w:val="auto"/>
        </w:rPr>
        <w:t>laws or such other form as the board of directors may determine.</w:t>
      </w:r>
    </w:p>
    <w:p>
      <w:pPr>
        <w:spacing w:after="0" w:line="203" w:lineRule="exact"/>
        <w:rPr>
          <w:sz w:val="20"/>
          <w:szCs w:val="20"/>
          <w:color w:val="auto"/>
        </w:rPr>
      </w:pPr>
    </w:p>
    <w:p>
      <w:pPr>
        <w:jc w:val="both"/>
        <w:ind w:left="160" w:right="139" w:firstLine="648"/>
        <w:spacing w:after="0" w:line="219" w:lineRule="exact"/>
        <w:rPr>
          <w:sz w:val="20"/>
          <w:szCs w:val="20"/>
          <w:color w:val="auto"/>
        </w:rPr>
      </w:pPr>
      <w:r>
        <w:rPr>
          <w:rFonts w:ascii="Arial" w:cs="Arial" w:eastAsia="Arial" w:hAnsi="Arial"/>
          <w:sz w:val="18"/>
          <w:szCs w:val="18"/>
          <w:color w:val="auto"/>
        </w:rPr>
        <w:t>Each Class A common share is entitled to one vote per share and each Class B common share is entitled to ten votes per share. Each Class A1 common share and Class B1 common share is non</w:t>
      </w:r>
      <w:r>
        <w:rPr>
          <w:rFonts w:ascii="MS PGothic" w:cs="MS PGothic" w:eastAsia="MS PGothic" w:hAnsi="MS PGothic"/>
          <w:sz w:val="18"/>
          <w:szCs w:val="18"/>
          <w:color w:val="auto"/>
        </w:rPr>
        <w:t>‑</w:t>
      </w:r>
      <w:r>
        <w:rPr>
          <w:rFonts w:ascii="Arial" w:cs="Arial" w:eastAsia="Arial" w:hAnsi="Arial"/>
          <w:sz w:val="18"/>
          <w:szCs w:val="18"/>
          <w:color w:val="auto"/>
        </w:rPr>
        <w:t>voting. Our amended and restated bye</w:t>
      </w:r>
      <w:r>
        <w:rPr>
          <w:rFonts w:ascii="MS PGothic" w:cs="MS PGothic" w:eastAsia="MS PGothic" w:hAnsi="MS PGothic"/>
          <w:sz w:val="18"/>
          <w:szCs w:val="18"/>
          <w:color w:val="auto"/>
        </w:rPr>
        <w:t>‑</w:t>
      </w:r>
      <w:r>
        <w:rPr>
          <w:rFonts w:ascii="Arial" w:cs="Arial" w:eastAsia="Arial" w:hAnsi="Arial"/>
          <w:sz w:val="18"/>
          <w:szCs w:val="18"/>
          <w:color w:val="auto"/>
        </w:rPr>
        <w:t>laws generally provide that holders of our voting common shares are entitled to vote, on a non</w:t>
      </w:r>
      <w:r>
        <w:rPr>
          <w:rFonts w:ascii="MS PGothic" w:cs="MS PGothic" w:eastAsia="MS PGothic" w:hAnsi="MS PGothic"/>
          <w:sz w:val="18"/>
          <w:szCs w:val="18"/>
          <w:color w:val="auto"/>
        </w:rPr>
        <w:t>‑</w:t>
      </w:r>
      <w:r>
        <w:rPr>
          <w:rFonts w:ascii="Arial" w:cs="Arial" w:eastAsia="Arial" w:hAnsi="Arial"/>
          <w:sz w:val="18"/>
          <w:szCs w:val="18"/>
          <w:color w:val="auto"/>
        </w:rPr>
        <w:t>cumulative basis, at all annual general and special general meetings of shareholders with respect to matters on which voting common shares are eligible to vote.</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Dividend Rights</w:t>
      </w:r>
    </w:p>
    <w:p>
      <w:pPr>
        <w:spacing w:after="0" w:line="229" w:lineRule="exact"/>
        <w:rPr>
          <w:sz w:val="20"/>
          <w:szCs w:val="20"/>
          <w:color w:val="auto"/>
        </w:rPr>
      </w:pPr>
    </w:p>
    <w:p>
      <w:pPr>
        <w:jc w:val="both"/>
        <w:ind w:left="160" w:right="139" w:firstLine="648"/>
        <w:spacing w:after="0" w:line="218" w:lineRule="exact"/>
        <w:rPr>
          <w:sz w:val="20"/>
          <w:szCs w:val="20"/>
          <w:color w:val="auto"/>
        </w:rPr>
      </w:pPr>
      <w:r>
        <w:rPr>
          <w:rFonts w:ascii="Arial" w:cs="Arial" w:eastAsia="Arial" w:hAnsi="Arial"/>
          <w:sz w:val="17"/>
          <w:szCs w:val="17"/>
          <w:color w:val="auto"/>
        </w:rPr>
        <w:t>Under Bermuda law and our amended and restated bye</w:t>
      </w:r>
      <w:r>
        <w:rPr>
          <w:rFonts w:ascii="MS PGothic" w:cs="MS PGothic" w:eastAsia="MS PGothic" w:hAnsi="MS PGothic"/>
          <w:sz w:val="17"/>
          <w:szCs w:val="17"/>
          <w:color w:val="auto"/>
        </w:rPr>
        <w:t>‑</w:t>
      </w:r>
      <w:r>
        <w:rPr>
          <w:rFonts w:ascii="Arial" w:cs="Arial" w:eastAsia="Arial" w:hAnsi="Arial"/>
          <w:sz w:val="17"/>
          <w:szCs w:val="17"/>
          <w:color w:val="auto"/>
        </w:rPr>
        <w:t>laws, we may not declare or pay dividends if there are reasonable grounds for believing that: (i) after the payment, we would be unable to pay our liabilities as they become due; or (ii) that the realizable value of our assets would thereby be less than our liabilities. Under our amended and restated bye</w:t>
      </w:r>
      <w:r>
        <w:rPr>
          <w:rFonts w:ascii="MS PGothic" w:cs="MS PGothic" w:eastAsia="MS PGothic" w:hAnsi="MS PGothic"/>
          <w:sz w:val="17"/>
          <w:szCs w:val="17"/>
          <w:color w:val="auto"/>
        </w:rPr>
        <w:t>‑</w:t>
      </w:r>
      <w:r>
        <w:rPr>
          <w:rFonts w:ascii="Arial" w:cs="Arial" w:eastAsia="Arial" w:hAnsi="Arial"/>
          <w:sz w:val="17"/>
          <w:szCs w:val="17"/>
          <w:color w:val="auto"/>
        </w:rPr>
        <w:t>laws, each common share is entitled to dividends if, as and when dividends are declared by our board of directors, subject to any preferred dividend right of the holders of any preferred shares. There are no restrictions on our ability to transfer funds (other than funds denominated in Bermuda dollars) in and out of Bermuda or to pay dividends to U.S. residents who are holders of our common shares.</w:t>
      </w:r>
    </w:p>
    <w:p>
      <w:pPr>
        <w:spacing w:after="0" w:line="206" w:lineRule="exact"/>
        <w:rPr>
          <w:sz w:val="20"/>
          <w:szCs w:val="20"/>
          <w:color w:val="auto"/>
        </w:rPr>
      </w:pPr>
    </w:p>
    <w:p>
      <w:pPr>
        <w:jc w:val="both"/>
        <w:ind w:left="160" w:right="139" w:firstLine="648"/>
        <w:spacing w:after="0" w:line="218" w:lineRule="exact"/>
        <w:rPr>
          <w:sz w:val="20"/>
          <w:szCs w:val="20"/>
          <w:color w:val="auto"/>
        </w:rPr>
      </w:pPr>
      <w:r>
        <w:rPr>
          <w:rFonts w:ascii="Arial" w:cs="Arial" w:eastAsia="Arial" w:hAnsi="Arial"/>
          <w:sz w:val="16"/>
          <w:szCs w:val="16"/>
          <w:color w:val="auto"/>
        </w:rPr>
        <w:t>Our amended and restated bye</w:t>
      </w:r>
      <w:r>
        <w:rPr>
          <w:rFonts w:ascii="MS PGothic" w:cs="MS PGothic" w:eastAsia="MS PGothic" w:hAnsi="MS PGothic"/>
          <w:sz w:val="16"/>
          <w:szCs w:val="16"/>
          <w:color w:val="auto"/>
        </w:rPr>
        <w:t>‑</w:t>
      </w:r>
      <w:r>
        <w:rPr>
          <w:rFonts w:ascii="Arial" w:cs="Arial" w:eastAsia="Arial" w:hAnsi="Arial"/>
          <w:sz w:val="16"/>
          <w:szCs w:val="16"/>
          <w:color w:val="auto"/>
        </w:rPr>
        <w:t>laws provide that our board of directors may forfeit any dividend or other monies payable in respect of any shares that remain unclaimed for six years from the date when such monies became due for payment. In addition, we are entitled to cease sending dividend warrants and checks by post or otherwise to a shareholder if such instruments have been 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346075</wp:posOffset>
            </wp:positionV>
            <wp:extent cx="554863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0" w:name="page181"/>
    <w:bookmarkEnd w:id="180"/>
    <w:p>
      <w:pPr>
        <w:ind w:left="160"/>
        <w:spacing w:after="0"/>
        <w:rPr>
          <w:sz w:val="20"/>
          <w:szCs w:val="20"/>
          <w:color w:val="auto"/>
        </w:rPr>
      </w:pPr>
      <w:r>
        <w:rPr>
          <w:rFonts w:ascii="Arial" w:cs="Arial" w:eastAsia="Arial" w:hAnsi="Arial"/>
          <w:sz w:val="18"/>
          <w:szCs w:val="18"/>
          <w:b w:val="1"/>
          <w:bCs w:val="1"/>
          <w:color w:val="auto"/>
        </w:rPr>
        <w:t>Variation of Rights</w:t>
      </w:r>
    </w:p>
    <w:p>
      <w:pPr>
        <w:spacing w:after="0" w:line="229" w:lineRule="exact"/>
        <w:rPr>
          <w:sz w:val="20"/>
          <w:szCs w:val="20"/>
          <w:color w:val="auto"/>
        </w:rPr>
      </w:pPr>
    </w:p>
    <w:p>
      <w:pPr>
        <w:jc w:val="both"/>
        <w:ind w:left="160" w:right="139" w:firstLine="648"/>
        <w:spacing w:after="0" w:line="218" w:lineRule="exact"/>
        <w:rPr>
          <w:sz w:val="20"/>
          <w:szCs w:val="20"/>
          <w:color w:val="auto"/>
        </w:rPr>
      </w:pPr>
      <w:r>
        <w:rPr>
          <w:rFonts w:ascii="Arial" w:cs="Arial" w:eastAsia="Arial" w:hAnsi="Arial"/>
          <w:sz w:val="17"/>
          <w:szCs w:val="17"/>
          <w:color w:val="auto"/>
        </w:rPr>
        <w:t>If at any time we have more than one class of shares, the rights attaching to any class, unless otherwise provided for by the terms of issue of the relevant class, may be varied either: (i) with the consent in writing of the holders of 75% of the issued shares of that class; or (ii) with the sanction of a resolution passed by a majority of the votes cast at a general meeting of the relevant class of shareholders at which a quorum consisting of at least two persons holding or representing one</w:t>
      </w:r>
      <w:r>
        <w:rPr>
          <w:rFonts w:ascii="MS PGothic" w:cs="MS PGothic" w:eastAsia="MS PGothic" w:hAnsi="MS PGothic"/>
          <w:sz w:val="17"/>
          <w:szCs w:val="17"/>
          <w:color w:val="auto"/>
        </w:rPr>
        <w:t>‑</w:t>
      </w:r>
      <w:r>
        <w:rPr>
          <w:rFonts w:ascii="Arial" w:cs="Arial" w:eastAsia="Arial" w:hAnsi="Arial"/>
          <w:sz w:val="17"/>
          <w:szCs w:val="17"/>
          <w:color w:val="auto"/>
        </w:rPr>
        <w:t>third of the issued shares of the relevant class is present. Our amended and restated bye</w:t>
      </w:r>
      <w:r>
        <w:rPr>
          <w:rFonts w:ascii="MS PGothic" w:cs="MS PGothic" w:eastAsia="MS PGothic" w:hAnsi="MS PGothic"/>
          <w:sz w:val="17"/>
          <w:szCs w:val="17"/>
          <w:color w:val="auto"/>
        </w:rPr>
        <w:t>‑</w:t>
      </w:r>
      <w:r>
        <w:rPr>
          <w:rFonts w:ascii="Arial" w:cs="Arial" w:eastAsia="Arial" w:hAnsi="Arial"/>
          <w:sz w:val="17"/>
          <w:szCs w:val="17"/>
          <w:color w:val="auto"/>
        </w:rPr>
        <w:t>laws specify that the creation or issue of shares ranking equally with existing shares or the purchase or redemption by us of our shares will not, unless expressly provided by the terms of issue of existing shares, vary the rights attached to existing shares. In addition, the creation or issue of preferred shares ranking prior to common shares will not be deemed to vary the rights attached to common shares or, subject to the terms of any other series of preferred shares, to vary the rights attached to any other series of preferred shares.</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jc w:val="both"/>
        <w:ind w:left="160" w:right="139" w:firstLine="648"/>
        <w:spacing w:after="0" w:line="218" w:lineRule="exact"/>
        <w:rPr>
          <w:sz w:val="20"/>
          <w:szCs w:val="20"/>
          <w:color w:val="auto"/>
        </w:rPr>
      </w:pPr>
      <w:r>
        <w:rPr>
          <w:rFonts w:ascii="Arial" w:cs="Arial" w:eastAsia="Arial" w:hAnsi="Arial"/>
          <w:sz w:val="18"/>
          <w:szCs w:val="18"/>
          <w:color w:val="auto"/>
        </w:rPr>
        <w:t>Our board of directors may in its absolute discretion and without assigning any reason refuse to register the transfer of a share that it is not fully paid. The board of directors may also refuse to recognize an instrument of transfer of a share unless it is accompanied by the relevant share certificate and such other evidence of the transferor’s right to make the transfer as the board of directors shall reasonably require. Subject to these restrictions and the automatic conversion upon the transfer of Class B and B1 common shares to non-affiliated holders described above, a holder of common shares may transfer the title to all or any of such holder’s common shares by completing a form of transfer in the form set out in our amended and restated bye</w:t>
      </w:r>
      <w:r>
        <w:rPr>
          <w:rFonts w:ascii="MS PGothic" w:cs="MS PGothic" w:eastAsia="MS PGothic" w:hAnsi="MS PGothic"/>
          <w:sz w:val="18"/>
          <w:szCs w:val="18"/>
          <w:color w:val="auto"/>
        </w:rPr>
        <w:t>‑</w:t>
      </w:r>
      <w:r>
        <w:rPr>
          <w:rFonts w:ascii="Arial" w:cs="Arial" w:eastAsia="Arial" w:hAnsi="Arial"/>
          <w:sz w:val="18"/>
          <w:szCs w:val="18"/>
          <w:color w:val="auto"/>
        </w:rPr>
        <w:t>laws (or as near thereto as circumstances admit) or in such other common form as the board of directors may accept. The instrument of transfer must be signed by the transferor and transferee, although in the case of a fully-paid share the board of directors may accept the instrument signed only by the transferor.</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Meetings of Shareholders</w:t>
      </w:r>
    </w:p>
    <w:p>
      <w:pPr>
        <w:spacing w:after="0" w:line="229" w:lineRule="exact"/>
        <w:rPr>
          <w:sz w:val="20"/>
          <w:szCs w:val="20"/>
          <w:color w:val="auto"/>
        </w:rPr>
      </w:pPr>
    </w:p>
    <w:p>
      <w:pPr>
        <w:jc w:val="both"/>
        <w:ind w:left="160" w:right="139" w:firstLine="648"/>
        <w:spacing w:after="0" w:line="257" w:lineRule="auto"/>
        <w:rPr>
          <w:sz w:val="20"/>
          <w:szCs w:val="20"/>
          <w:color w:val="auto"/>
        </w:rPr>
      </w:pPr>
      <w:r>
        <w:rPr>
          <w:rFonts w:ascii="Arial" w:cs="Arial" w:eastAsia="Arial" w:hAnsi="Arial"/>
          <w:sz w:val="18"/>
          <w:szCs w:val="18"/>
          <w:color w:val="auto"/>
        </w:rPr>
        <w:t>Under the Bermuda Companies Act 1981, as amended, or the Companies Act, a company is required to convene at least one general meeting of shareholders each calendar year, which is referred to as the annual general meeting. However, the members may by resolution waive this requirement, either for a specific year or period of time, or indefinitely. When the requirement has been so waived, any member may, on notice to the company, terminate the waiver, in which case an annual general meeting must be called.</w:t>
      </w:r>
    </w:p>
    <w:p>
      <w:pPr>
        <w:spacing w:after="0" w:line="188" w:lineRule="exact"/>
        <w:rPr>
          <w:sz w:val="20"/>
          <w:szCs w:val="20"/>
          <w:color w:val="auto"/>
        </w:rPr>
      </w:pPr>
    </w:p>
    <w:p>
      <w:pPr>
        <w:jc w:val="both"/>
        <w:ind w:left="160" w:right="139" w:firstLine="648"/>
        <w:spacing w:after="0" w:line="217" w:lineRule="exact"/>
        <w:rPr>
          <w:sz w:val="20"/>
          <w:szCs w:val="20"/>
          <w:color w:val="auto"/>
        </w:rPr>
      </w:pPr>
      <w:r>
        <w:rPr>
          <w:rFonts w:ascii="Arial" w:cs="Arial" w:eastAsia="Arial" w:hAnsi="Arial"/>
          <w:sz w:val="16"/>
          <w:szCs w:val="16"/>
          <w:color w:val="auto"/>
        </w:rPr>
        <w:t>The Companies Act provides that a special general meeting of shareholders may be called by the board of directors of a company and must be called upon the request of shareholders holding not less than 10% of the paid</w:t>
      </w:r>
      <w:r>
        <w:rPr>
          <w:rFonts w:ascii="MS PGothic" w:cs="MS PGothic" w:eastAsia="MS PGothic" w:hAnsi="MS PGothic"/>
          <w:sz w:val="16"/>
          <w:szCs w:val="16"/>
          <w:color w:val="auto"/>
        </w:rPr>
        <w:t>‑</w:t>
      </w:r>
      <w:r>
        <w:rPr>
          <w:rFonts w:ascii="Arial" w:cs="Arial" w:eastAsia="Arial" w:hAnsi="Arial"/>
          <w:sz w:val="16"/>
          <w:szCs w:val="16"/>
          <w:color w:val="auto"/>
        </w:rPr>
        <w:t>up capital of the company carrying the right to vote at general meetings. The Companies Act also requires that shareholders be given at least five days’ advance notice of a general meeting, but the accidental omission to give notice to any person does not invalidate the proceedings at a meeting. Our amended and restated bye</w:t>
      </w:r>
      <w:r>
        <w:rPr>
          <w:rFonts w:ascii="MS PGothic" w:cs="MS PGothic" w:eastAsia="MS PGothic" w:hAnsi="MS PGothic"/>
          <w:sz w:val="16"/>
          <w:szCs w:val="16"/>
          <w:color w:val="auto"/>
        </w:rPr>
        <w:t>‑</w:t>
      </w:r>
      <w:r>
        <w:rPr>
          <w:rFonts w:ascii="Arial" w:cs="Arial" w:eastAsia="Arial" w:hAnsi="Arial"/>
          <w:sz w:val="16"/>
          <w:szCs w:val="16"/>
          <w:color w:val="auto"/>
        </w:rPr>
        <w:t>laws provide that our President or Chairman or any two directors or any director and secretary may convene an annual general meeting or a special general meeting. Under our amended and restated bye</w:t>
      </w:r>
      <w:r>
        <w:rPr>
          <w:rFonts w:ascii="MS PGothic" w:cs="MS PGothic" w:eastAsia="MS PGothic" w:hAnsi="MS PGothic"/>
          <w:sz w:val="16"/>
          <w:szCs w:val="16"/>
          <w:color w:val="auto"/>
        </w:rPr>
        <w:t>‑</w:t>
      </w:r>
      <w:r>
        <w:rPr>
          <w:rFonts w:ascii="Arial" w:cs="Arial" w:eastAsia="Arial" w:hAnsi="Arial"/>
          <w:sz w:val="16"/>
          <w:szCs w:val="16"/>
          <w:color w:val="auto"/>
        </w:rPr>
        <w:t>laws, at least 20 days’ notice of an annual general meeting or a special general meeting must be given to each shareholder entitled to vote at such meeting. This notice requirement is subject to the ability to hold such meetings on shorter notice if such notice is agreed: (i) in the case of an annual general meeting by all of the shareholders entitled to attend and vote at such meeting; or (ii) in the case of a special general meeting by a majority in number of the shareholders entitled to attend and vote at the meeting holding not less than 95% in nominal value of the shares entitled to vote at such meeting. The quorum required for a general meeting of shareholders is two or more persons present throughout the meeting and representing in person or by proxy a majority of the voting power of the issued and outstanding voting shares.</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Access to Books and Records and Dissemination of Information</w:t>
      </w:r>
    </w:p>
    <w:p>
      <w:pPr>
        <w:spacing w:after="0" w:line="229" w:lineRule="exact"/>
        <w:rPr>
          <w:sz w:val="20"/>
          <w:szCs w:val="20"/>
          <w:color w:val="auto"/>
        </w:rPr>
      </w:pPr>
    </w:p>
    <w:p>
      <w:pPr>
        <w:jc w:val="both"/>
        <w:ind w:left="160" w:right="139" w:firstLine="648"/>
        <w:spacing w:after="0" w:line="219" w:lineRule="exact"/>
        <w:rPr>
          <w:sz w:val="20"/>
          <w:szCs w:val="20"/>
          <w:color w:val="auto"/>
        </w:rPr>
      </w:pPr>
      <w:r>
        <w:rPr>
          <w:rFonts w:ascii="Arial" w:cs="Arial" w:eastAsia="Arial" w:hAnsi="Arial"/>
          <w:sz w:val="16"/>
          <w:szCs w:val="16"/>
          <w:color w:val="auto"/>
        </w:rPr>
        <w:t>Members of the general public have a right to inspect the public documents of a company available at the office of the Registrar of Companies in Bermuda. These documents include a company’s memorandum of association, including its objects and powers, and certain alterations to the memorandum of association. The shareholders have the additional right to inspect the bye</w:t>
      </w:r>
      <w:r>
        <w:rPr>
          <w:rFonts w:ascii="MS PGothic" w:cs="MS PGothic" w:eastAsia="MS PGothic" w:hAnsi="MS PGothic"/>
          <w:sz w:val="16"/>
          <w:szCs w:val="16"/>
          <w:color w:val="auto"/>
        </w:rPr>
        <w:t>‑</w:t>
      </w:r>
      <w:r>
        <w:rPr>
          <w:rFonts w:ascii="Arial" w:cs="Arial" w:eastAsia="Arial" w:hAnsi="Arial"/>
          <w:sz w:val="16"/>
          <w:szCs w:val="16"/>
          <w:color w:val="auto"/>
        </w:rPr>
        <w:t>laws of a company, minutes of general meetings and a company’s audited financial statements, which must be presented to the annual general meeting. The register of members of a company is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344805</wp:posOffset>
            </wp:positionV>
            <wp:extent cx="554863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1" w:name="page182"/>
    <w:bookmarkEnd w:id="181"/>
    <w:p>
      <w:pPr>
        <w:jc w:val="both"/>
        <w:ind w:left="160" w:right="139"/>
        <w:spacing w:after="0" w:line="291" w:lineRule="auto"/>
        <w:rPr>
          <w:sz w:val="20"/>
          <w:szCs w:val="20"/>
          <w:color w:val="auto"/>
        </w:rPr>
      </w:pPr>
      <w:r>
        <w:rPr>
          <w:rFonts w:ascii="Arial" w:cs="Arial" w:eastAsia="Arial" w:hAnsi="Arial"/>
          <w:sz w:val="16"/>
          <w:szCs w:val="16"/>
          <w:color w:val="auto"/>
        </w:rPr>
        <w:t>open to inspection by shareholders and by members of the general public without charge. The register of members is required to be open for inspection for not less than two hours in any business day (subject to the ability of a company to close the register of members for not more than 30 days in a year). A company is required to maintain its share register in Bermuda but may, subject to the provisions of the Companies Act, establish a branch register outside of Bermuda. A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Election and Removal of Directors</w:t>
      </w:r>
    </w:p>
    <w:p>
      <w:pPr>
        <w:spacing w:after="0" w:line="229" w:lineRule="exact"/>
        <w:rPr>
          <w:sz w:val="20"/>
          <w:szCs w:val="20"/>
          <w:color w:val="auto"/>
        </w:rPr>
      </w:pPr>
    </w:p>
    <w:p>
      <w:pPr>
        <w:jc w:val="both"/>
        <w:ind w:left="160" w:right="139" w:firstLine="648"/>
        <w:spacing w:after="0" w:line="219" w:lineRule="exact"/>
        <w:rPr>
          <w:sz w:val="20"/>
          <w:szCs w:val="20"/>
          <w:color w:val="auto"/>
        </w:rPr>
      </w:pPr>
      <w:r>
        <w:rPr>
          <w:rFonts w:ascii="Arial" w:cs="Arial" w:eastAsia="Arial" w:hAnsi="Arial"/>
          <w:sz w:val="18"/>
          <w:szCs w:val="18"/>
          <w:color w:val="auto"/>
        </w:rPr>
        <w:t>Our amended and restated bye</w:t>
      </w:r>
      <w:r>
        <w:rPr>
          <w:rFonts w:ascii="MS PGothic" w:cs="MS PGothic" w:eastAsia="MS PGothic" w:hAnsi="MS PGothic"/>
          <w:sz w:val="18"/>
          <w:szCs w:val="18"/>
          <w:color w:val="auto"/>
        </w:rPr>
        <w:t>‑</w:t>
      </w:r>
      <w:r>
        <w:rPr>
          <w:rFonts w:ascii="Arial" w:cs="Arial" w:eastAsia="Arial" w:hAnsi="Arial"/>
          <w:sz w:val="18"/>
          <w:szCs w:val="18"/>
          <w:color w:val="auto"/>
        </w:rPr>
        <w:t>laws provide that our board of directors shall consist of not less than five members and not more than such number of directors as the board of directors determine. Our board of directors is divided into three classes that are, as nearly as possible, of equal size. Each class of directors is elected for a three</w:t>
      </w:r>
      <w:r>
        <w:rPr>
          <w:rFonts w:ascii="MS PGothic" w:cs="MS PGothic" w:eastAsia="MS PGothic" w:hAnsi="MS PGothic"/>
          <w:sz w:val="18"/>
          <w:szCs w:val="18"/>
          <w:color w:val="auto"/>
        </w:rPr>
        <w:t>‑</w:t>
      </w:r>
      <w:r>
        <w:rPr>
          <w:rFonts w:ascii="Arial" w:cs="Arial" w:eastAsia="Arial" w:hAnsi="Arial"/>
          <w:sz w:val="18"/>
          <w:szCs w:val="18"/>
          <w:color w:val="auto"/>
        </w:rPr>
        <w:t>year term of office, but the terms are staggered so that the term of only one class of directors expires at each annual general meeting. At each succeeding annual general meeting, successors to the class of directors whose term expires at the annual general meeting will be elected for a three</w:t>
      </w:r>
      <w:r>
        <w:rPr>
          <w:rFonts w:ascii="MS PGothic" w:cs="MS PGothic" w:eastAsia="MS PGothic" w:hAnsi="MS PGothic"/>
          <w:sz w:val="18"/>
          <w:szCs w:val="18"/>
          <w:color w:val="auto"/>
        </w:rPr>
        <w:t>‑</w:t>
      </w:r>
      <w:r>
        <w:rPr>
          <w:rFonts w:ascii="Arial" w:cs="Arial" w:eastAsia="Arial" w:hAnsi="Arial"/>
          <w:sz w:val="18"/>
          <w:szCs w:val="18"/>
          <w:color w:val="auto"/>
        </w:rPr>
        <w:t>year term.</w:t>
      </w:r>
    </w:p>
    <w:p>
      <w:pPr>
        <w:spacing w:after="0" w:line="203" w:lineRule="exact"/>
        <w:rPr>
          <w:sz w:val="20"/>
          <w:szCs w:val="20"/>
          <w:color w:val="auto"/>
        </w:rPr>
      </w:pPr>
    </w:p>
    <w:p>
      <w:pPr>
        <w:jc w:val="both"/>
        <w:ind w:left="160" w:right="139" w:firstLine="648"/>
        <w:spacing w:after="0" w:line="287" w:lineRule="auto"/>
        <w:rPr>
          <w:sz w:val="20"/>
          <w:szCs w:val="20"/>
          <w:color w:val="auto"/>
        </w:rPr>
      </w:pPr>
      <w:r>
        <w:rPr>
          <w:rFonts w:ascii="Arial" w:cs="Arial" w:eastAsia="Arial" w:hAnsi="Arial"/>
          <w:sz w:val="16"/>
          <w:szCs w:val="16"/>
          <w:color w:val="auto"/>
        </w:rPr>
        <w:t>A shareholder holding any percentage of the common shares in issue may propose for election as a director someone who is not an existing director or is not proposed by our board of directors. Where a director is to be elected at an annual general meeting, notice of any such proposal for election must be given not less than 90 days nor more than 120 days before the anniversary of the last annual general meeting prior to the giving of the notice or, in the event the annual general meeting is called for a date that is not less than 30 days before or after such anniversary the notice must be given not later than ten days following the earlier of the date on which notice of the annual general meeting was posted to shareholders or the date on which public disclosure of the date of the annual general meeting was made. Where a director is to be elected at a special general meeting, provided, that our board of directors has determined that shareholders may nominate persons for election at such special general meeting, that notice must be given not later than seven days following the earlier of the date on which notice of the special general meeting was posted to shareholders or the date on which public disclosure of the date of the special general meeting was made.</w:t>
      </w:r>
    </w:p>
    <w:p>
      <w:pPr>
        <w:spacing w:after="0" w:line="173" w:lineRule="exact"/>
        <w:rPr>
          <w:sz w:val="20"/>
          <w:szCs w:val="20"/>
          <w:color w:val="auto"/>
        </w:rPr>
      </w:pPr>
    </w:p>
    <w:p>
      <w:pPr>
        <w:jc w:val="both"/>
        <w:ind w:left="160" w:right="139" w:firstLine="648"/>
        <w:spacing w:after="0" w:line="302" w:lineRule="auto"/>
        <w:rPr>
          <w:sz w:val="20"/>
          <w:szCs w:val="20"/>
          <w:color w:val="auto"/>
        </w:rPr>
      </w:pPr>
      <w:r>
        <w:rPr>
          <w:rFonts w:ascii="Arial" w:cs="Arial" w:eastAsia="Arial" w:hAnsi="Arial"/>
          <w:sz w:val="16"/>
          <w:szCs w:val="16"/>
          <w:color w:val="auto"/>
        </w:rPr>
        <w:t>A director may be removed, only with cause, by the shareholders, provided notice of the shareholders meeting convened to remove the director is given to the director. The notice must contain a statement of the intention to remove the director and a summary of the facts justifying the removal and must be served on the director not less than 14 days before the meeting. The director is entitled to attend the meeting and be heard on the motion for his removal.</w:t>
      </w:r>
    </w:p>
    <w:p>
      <w:pPr>
        <w:spacing w:after="0" w:line="150" w:lineRule="exact"/>
        <w:rPr>
          <w:sz w:val="20"/>
          <w:szCs w:val="20"/>
          <w:color w:val="auto"/>
        </w:rPr>
      </w:pPr>
    </w:p>
    <w:p>
      <w:pPr>
        <w:ind w:left="160"/>
        <w:spacing w:after="0" w:line="207" w:lineRule="exact"/>
        <w:rPr>
          <w:sz w:val="20"/>
          <w:szCs w:val="20"/>
          <w:color w:val="auto"/>
        </w:rPr>
      </w:pPr>
      <w:r>
        <w:rPr>
          <w:rFonts w:ascii="Arial" w:cs="Arial" w:eastAsia="Arial" w:hAnsi="Arial"/>
          <w:sz w:val="18"/>
          <w:szCs w:val="18"/>
          <w:b w:val="1"/>
          <w:bCs w:val="1"/>
          <w:color w:val="auto"/>
        </w:rPr>
        <w:t>Amendment of Memorandum of Association and Bye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laws</w:t>
      </w:r>
    </w:p>
    <w:p>
      <w:pPr>
        <w:spacing w:after="0" w:line="229" w:lineRule="exact"/>
        <w:rPr>
          <w:sz w:val="20"/>
          <w:szCs w:val="20"/>
          <w:color w:val="auto"/>
        </w:rPr>
      </w:pPr>
    </w:p>
    <w:p>
      <w:pPr>
        <w:jc w:val="both"/>
        <w:ind w:left="160" w:right="139" w:firstLine="648"/>
        <w:spacing w:after="0" w:line="218" w:lineRule="exact"/>
        <w:rPr>
          <w:sz w:val="20"/>
          <w:szCs w:val="20"/>
          <w:color w:val="auto"/>
        </w:rPr>
      </w:pPr>
      <w:r>
        <w:rPr>
          <w:rFonts w:ascii="Arial" w:cs="Arial" w:eastAsia="Arial" w:hAnsi="Arial"/>
          <w:sz w:val="16"/>
          <w:szCs w:val="16"/>
          <w:color w:val="auto"/>
        </w:rPr>
        <w:t>Bermuda law provides that the memorandum of association of a company may be amended by a resolution passed at a general meeting of shareholders. Amendments to most provisions of our amended and restated bye</w:t>
      </w:r>
      <w:r>
        <w:rPr>
          <w:rFonts w:ascii="MS PGothic" w:cs="MS PGothic" w:eastAsia="MS PGothic" w:hAnsi="MS PGothic"/>
          <w:sz w:val="16"/>
          <w:szCs w:val="16"/>
          <w:color w:val="auto"/>
        </w:rPr>
        <w:t>‑</w:t>
      </w:r>
      <w:r>
        <w:rPr>
          <w:rFonts w:ascii="Arial" w:cs="Arial" w:eastAsia="Arial" w:hAnsi="Arial"/>
          <w:sz w:val="16"/>
          <w:szCs w:val="16"/>
          <w:color w:val="auto"/>
        </w:rPr>
        <w:t>laws require an affirmative vote of a majority of our board of directors and a majority of the issued and outstanding shares carrying the right to vote at general meetings at the relevant time. In addition, amendments to certain sections of our amended and restated bye</w:t>
      </w:r>
      <w:r>
        <w:rPr>
          <w:rFonts w:ascii="MS PGothic" w:cs="MS PGothic" w:eastAsia="MS PGothic" w:hAnsi="MS PGothic"/>
          <w:sz w:val="16"/>
          <w:szCs w:val="16"/>
          <w:color w:val="auto"/>
        </w:rPr>
        <w:t>‑</w:t>
      </w:r>
      <w:r>
        <w:rPr>
          <w:rFonts w:ascii="Arial" w:cs="Arial" w:eastAsia="Arial" w:hAnsi="Arial"/>
          <w:sz w:val="16"/>
          <w:szCs w:val="16"/>
          <w:color w:val="auto"/>
        </w:rPr>
        <w:t>laws containing anti</w:t>
      </w:r>
      <w:r>
        <w:rPr>
          <w:rFonts w:ascii="MS PGothic" w:cs="MS PGothic" w:eastAsia="MS PGothic" w:hAnsi="MS PGothic"/>
          <w:sz w:val="16"/>
          <w:szCs w:val="16"/>
          <w:color w:val="auto"/>
        </w:rPr>
        <w:t>‑</w:t>
      </w:r>
      <w:r>
        <w:rPr>
          <w:rFonts w:ascii="Arial" w:cs="Arial" w:eastAsia="Arial" w:hAnsi="Arial"/>
          <w:sz w:val="16"/>
          <w:szCs w:val="16"/>
          <w:color w:val="auto"/>
        </w:rPr>
        <w:t>takeover provisions require an affirmative vote of at least 66% of the directors then in office and at least 66% of the voting power of the issued and outstanding shares carrying the right to vote at general meetings at the relevant time. These provisions make it more difficult for any person to remove or amend any provisions in our amended and restated bye</w:t>
      </w:r>
      <w:r>
        <w:rPr>
          <w:rFonts w:ascii="MS PGothic" w:cs="MS PGothic" w:eastAsia="MS PGothic" w:hAnsi="MS PGothic"/>
          <w:sz w:val="16"/>
          <w:szCs w:val="16"/>
          <w:color w:val="auto"/>
        </w:rPr>
        <w:t>‑</w:t>
      </w:r>
      <w:r>
        <w:rPr>
          <w:rFonts w:ascii="Arial" w:cs="Arial" w:eastAsia="Arial" w:hAnsi="Arial"/>
          <w:sz w:val="16"/>
          <w:szCs w:val="16"/>
          <w:color w:val="auto"/>
        </w:rPr>
        <w:t>laws that may have an anti</w:t>
      </w:r>
      <w:r>
        <w:rPr>
          <w:rFonts w:ascii="MS PGothic" w:cs="MS PGothic" w:eastAsia="MS PGothic" w:hAnsi="MS PGothic"/>
          <w:sz w:val="16"/>
          <w:szCs w:val="16"/>
          <w:color w:val="auto"/>
        </w:rPr>
        <w:t>‑</w:t>
      </w:r>
      <w:r>
        <w:rPr>
          <w:rFonts w:ascii="Arial" w:cs="Arial" w:eastAsia="Arial" w:hAnsi="Arial"/>
          <w:sz w:val="16"/>
          <w:szCs w:val="16"/>
          <w:color w:val="auto"/>
        </w:rPr>
        <w:t>takeover effect.</w:t>
      </w:r>
    </w:p>
    <w:p>
      <w:pPr>
        <w:spacing w:after="0" w:line="203" w:lineRule="exact"/>
        <w:rPr>
          <w:sz w:val="20"/>
          <w:szCs w:val="20"/>
          <w:color w:val="auto"/>
        </w:rPr>
      </w:pPr>
    </w:p>
    <w:p>
      <w:pPr>
        <w:ind w:left="160" w:right="159" w:firstLine="648"/>
        <w:spacing w:after="0" w:line="270" w:lineRule="auto"/>
        <w:rPr>
          <w:sz w:val="20"/>
          <w:szCs w:val="20"/>
          <w:color w:val="auto"/>
        </w:rPr>
      </w:pPr>
      <w:r>
        <w:rPr>
          <w:rFonts w:ascii="Arial" w:cs="Arial" w:eastAsia="Arial" w:hAnsi="Arial"/>
          <w:sz w:val="17"/>
          <w:szCs w:val="17"/>
          <w:color w:val="auto"/>
        </w:rPr>
        <w:t>Under Bermuda law, the holders of an aggregate of not less than 20% in par value of the issued share capital or any class thereof have the right to apply to the Supreme Court of Bermuda for an annulment of any amendment of the memorandum of association adopted by shareholders at any general meeting, other than an amendment which alters or reduces a company’s share capital as provided in the Companies Act. Where such an application is made, the amendment becomes effective only to the extent that it is confirmed by the Bermuda court.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330200</wp:posOffset>
            </wp:positionV>
            <wp:extent cx="554863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2" w:name="page183"/>
    <w:bookmarkEnd w:id="182"/>
    <w:p>
      <w:pPr>
        <w:ind w:left="160"/>
        <w:spacing w:after="0" w:line="207" w:lineRule="exact"/>
        <w:rPr>
          <w:sz w:val="20"/>
          <w:szCs w:val="20"/>
          <w:color w:val="auto"/>
        </w:rPr>
      </w:pPr>
      <w:r>
        <w:rPr>
          <w:rFonts w:ascii="Arial" w:cs="Arial" w:eastAsia="Arial" w:hAnsi="Arial"/>
          <w:sz w:val="18"/>
          <w:szCs w:val="18"/>
          <w:b w:val="1"/>
          <w:bCs w:val="1"/>
          <w:color w:val="auto"/>
        </w:rPr>
        <w:t>Certain Corporate Anti</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Takeover Provisions</w:t>
      </w:r>
    </w:p>
    <w:p>
      <w:pPr>
        <w:spacing w:after="0" w:line="216" w:lineRule="exact"/>
        <w:rPr>
          <w:sz w:val="20"/>
          <w:szCs w:val="20"/>
          <w:color w:val="auto"/>
        </w:rPr>
      </w:pPr>
    </w:p>
    <w:p>
      <w:pPr>
        <w:jc w:val="both"/>
        <w:ind w:left="160" w:right="139" w:firstLine="648"/>
        <w:spacing w:after="0" w:line="219" w:lineRule="exact"/>
        <w:rPr>
          <w:sz w:val="20"/>
          <w:szCs w:val="20"/>
          <w:color w:val="auto"/>
        </w:rPr>
      </w:pPr>
      <w:r>
        <w:rPr>
          <w:rFonts w:ascii="Arial" w:cs="Arial" w:eastAsia="Arial" w:hAnsi="Arial"/>
          <w:sz w:val="18"/>
          <w:szCs w:val="18"/>
          <w:color w:val="auto"/>
        </w:rPr>
        <w:t>Certain provisions in our amended and restated bye</w:t>
      </w:r>
      <w:r>
        <w:rPr>
          <w:rFonts w:ascii="MS PGothic" w:cs="MS PGothic" w:eastAsia="MS PGothic" w:hAnsi="MS PGothic"/>
          <w:sz w:val="18"/>
          <w:szCs w:val="18"/>
          <w:color w:val="auto"/>
        </w:rPr>
        <w:t>‑</w:t>
      </w:r>
      <w:r>
        <w:rPr>
          <w:rFonts w:ascii="Arial" w:cs="Arial" w:eastAsia="Arial" w:hAnsi="Arial"/>
          <w:sz w:val="18"/>
          <w:szCs w:val="18"/>
          <w:color w:val="auto"/>
        </w:rPr>
        <w:t>laws may be deemed to have an anti</w:t>
      </w:r>
      <w:r>
        <w:rPr>
          <w:rFonts w:ascii="MS PGothic" w:cs="MS PGothic" w:eastAsia="MS PGothic" w:hAnsi="MS PGothic"/>
          <w:sz w:val="18"/>
          <w:szCs w:val="18"/>
          <w:color w:val="auto"/>
        </w:rPr>
        <w:t>‑</w:t>
      </w:r>
      <w:r>
        <w:rPr>
          <w:rFonts w:ascii="Arial" w:cs="Arial" w:eastAsia="Arial" w:hAnsi="Arial"/>
          <w:sz w:val="18"/>
          <w:szCs w:val="18"/>
          <w:color w:val="auto"/>
        </w:rPr>
        <w:t>takeover effect and may delay, deter or prevent a tender offer or takeover attempt that a shareholder might consider to be in its best interests, including attempts that might result in a premium being paid over the market price for our Class A common shares. These provisions are also designed, in part, to encourage persons seeking to acquire control of us to first negotiate with our board of directors.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98" w:lineRule="exact"/>
        <w:rPr>
          <w:sz w:val="20"/>
          <w:szCs w:val="20"/>
          <w:color w:val="auto"/>
        </w:rPr>
      </w:pPr>
    </w:p>
    <w:p>
      <w:pPr>
        <w:jc w:val="both"/>
        <w:ind w:left="160" w:right="139" w:firstLine="648"/>
        <w:spacing w:after="0" w:line="224" w:lineRule="exact"/>
        <w:rPr>
          <w:sz w:val="20"/>
          <w:szCs w:val="20"/>
          <w:color w:val="auto"/>
        </w:rPr>
      </w:pPr>
      <w:r>
        <w:rPr>
          <w:rFonts w:ascii="Arial" w:cs="Arial" w:eastAsia="Arial" w:hAnsi="Arial"/>
          <w:sz w:val="16"/>
          <w:szCs w:val="16"/>
          <w:color w:val="auto"/>
        </w:rPr>
        <w:t>Pursuant to our amended and restated bye</w:t>
      </w:r>
      <w:r>
        <w:rPr>
          <w:rFonts w:ascii="MS PGothic" w:cs="MS PGothic" w:eastAsia="MS PGothic" w:hAnsi="MS PGothic"/>
          <w:sz w:val="16"/>
          <w:szCs w:val="16"/>
          <w:color w:val="auto"/>
        </w:rPr>
        <w:t>‑</w:t>
      </w:r>
      <w:r>
        <w:rPr>
          <w:rFonts w:ascii="Arial" w:cs="Arial" w:eastAsia="Arial" w:hAnsi="Arial"/>
          <w:sz w:val="16"/>
          <w:szCs w:val="16"/>
          <w:color w:val="auto"/>
        </w:rPr>
        <w:t>laws, preferred shares may be issued from time to time, and the board of directors is authorized to determine the rights, preferences, powers, qualifications, limitations and restrictions.</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Multi-Class Common Share Structure</w:t>
      </w:r>
    </w:p>
    <w:p>
      <w:pPr>
        <w:spacing w:after="0" w:line="225" w:lineRule="exact"/>
        <w:rPr>
          <w:sz w:val="20"/>
          <w:szCs w:val="20"/>
          <w:color w:val="auto"/>
        </w:rPr>
      </w:pPr>
    </w:p>
    <w:p>
      <w:pPr>
        <w:jc w:val="both"/>
        <w:ind w:left="160" w:right="139" w:firstLine="648"/>
        <w:spacing w:after="0" w:line="271" w:lineRule="auto"/>
        <w:rPr>
          <w:sz w:val="20"/>
          <w:szCs w:val="20"/>
          <w:color w:val="auto"/>
        </w:rPr>
      </w:pPr>
      <w:r>
        <w:rPr>
          <w:rFonts w:ascii="Arial" w:cs="Arial" w:eastAsia="Arial" w:hAnsi="Arial"/>
          <w:sz w:val="17"/>
          <w:szCs w:val="17"/>
          <w:color w:val="auto"/>
        </w:rPr>
        <w:t>Since our Class B common shares have 10 times the voting power of our Class A common shares, holders of our Class B common shares may be able to significantly influence the outcome of matters requiring shareholder approval. In addition, our non-voting Class A1 common shares are convertible into our voting Class B or Class A common shares and our Class B1 common shares are convertible into our voting Class A common shares. Conversion of these non-voting common shares could result in the holders of our Class A1 and Class B1 common shares being able to significantly influence the outcome of matters requiring shareholder approval. Our Class B, Class B1 and Class A1 common shares are primarily held by our executive officers and other members of our senior management and by shareholders affiliated with members of our board of directors.</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212" w:lineRule="exact"/>
        <w:rPr>
          <w:sz w:val="20"/>
          <w:szCs w:val="20"/>
          <w:color w:val="auto"/>
        </w:rPr>
      </w:pPr>
    </w:p>
    <w:p>
      <w:pPr>
        <w:jc w:val="both"/>
        <w:ind w:left="160" w:right="139" w:firstLine="648"/>
        <w:spacing w:after="0" w:line="218" w:lineRule="exact"/>
        <w:rPr>
          <w:sz w:val="20"/>
          <w:szCs w:val="20"/>
          <w:color w:val="auto"/>
        </w:rPr>
      </w:pPr>
      <w:r>
        <w:rPr>
          <w:rFonts w:ascii="Arial" w:cs="Arial" w:eastAsia="Arial" w:hAnsi="Arial"/>
          <w:sz w:val="16"/>
          <w:szCs w:val="16"/>
          <w:color w:val="auto"/>
        </w:rPr>
        <w:t>In accordance with the terms of our amended and restated bye</w:t>
      </w:r>
      <w:r>
        <w:rPr>
          <w:rFonts w:ascii="MS PGothic" w:cs="MS PGothic" w:eastAsia="MS PGothic" w:hAnsi="MS PGothic"/>
          <w:sz w:val="16"/>
          <w:szCs w:val="16"/>
          <w:color w:val="auto"/>
        </w:rPr>
        <w:t>‑</w:t>
      </w:r>
      <w:r>
        <w:rPr>
          <w:rFonts w:ascii="Arial" w:cs="Arial" w:eastAsia="Arial" w:hAnsi="Arial"/>
          <w:sz w:val="16"/>
          <w:szCs w:val="16"/>
          <w:color w:val="auto"/>
        </w:rPr>
        <w:t>laws, our board of directors is divided into three classes, Class I, Class II and Class III, with members of each class serving staggered three</w:t>
      </w:r>
      <w:r>
        <w:rPr>
          <w:rFonts w:ascii="MS PGothic" w:cs="MS PGothic" w:eastAsia="MS PGothic" w:hAnsi="MS PGothic"/>
          <w:sz w:val="16"/>
          <w:szCs w:val="16"/>
          <w:color w:val="auto"/>
        </w:rPr>
        <w:t>‑</w:t>
      </w:r>
      <w:r>
        <w:rPr>
          <w:rFonts w:ascii="Arial" w:cs="Arial" w:eastAsia="Arial" w:hAnsi="Arial"/>
          <w:sz w:val="16"/>
          <w:szCs w:val="16"/>
          <w:color w:val="auto"/>
        </w:rPr>
        <w:t>year terms. Our amended and restated bye</w:t>
      </w:r>
      <w:r>
        <w:rPr>
          <w:rFonts w:ascii="MS PGothic" w:cs="MS PGothic" w:eastAsia="MS PGothic" w:hAnsi="MS PGothic"/>
          <w:sz w:val="16"/>
          <w:szCs w:val="16"/>
          <w:color w:val="auto"/>
        </w:rPr>
        <w:t>‑</w:t>
      </w:r>
      <w:r>
        <w:rPr>
          <w:rFonts w:ascii="Arial" w:cs="Arial" w:eastAsia="Arial" w:hAnsi="Arial"/>
          <w:sz w:val="16"/>
          <w:szCs w:val="16"/>
          <w:color w:val="auto"/>
        </w:rPr>
        <w:t>laws further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w:t>
      </w:r>
      <w:r>
        <w:rPr>
          <w:rFonts w:ascii="MS PGothic" w:cs="MS PGothic" w:eastAsia="MS PGothic" w:hAnsi="MS PGothic"/>
          <w:sz w:val="16"/>
          <w:szCs w:val="16"/>
          <w:color w:val="auto"/>
        </w:rPr>
        <w:t>‑</w:t>
      </w:r>
      <w:r>
        <w:rPr>
          <w:rFonts w:ascii="Arial" w:cs="Arial" w:eastAsia="Arial" w:hAnsi="Arial"/>
          <w:sz w:val="16"/>
          <w:szCs w:val="16"/>
          <w:color w:val="auto"/>
        </w:rPr>
        <w:t>third of the directors. Our classified board of directors could have the effect of delaying or discouraging an acquisition of us or a change in our management.</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85" w:lineRule="exact"/>
        <w:rPr>
          <w:sz w:val="20"/>
          <w:szCs w:val="20"/>
          <w:color w:val="auto"/>
        </w:rPr>
      </w:pPr>
    </w:p>
    <w:p>
      <w:pPr>
        <w:jc w:val="both"/>
        <w:ind w:left="160" w:right="139" w:firstLine="648"/>
        <w:spacing w:after="0" w:line="219" w:lineRule="exact"/>
        <w:rPr>
          <w:sz w:val="20"/>
          <w:szCs w:val="20"/>
          <w:color w:val="auto"/>
        </w:rPr>
      </w:pPr>
      <w:r>
        <w:rPr>
          <w:rFonts w:ascii="Arial" w:cs="Arial" w:eastAsia="Arial" w:hAnsi="Arial"/>
          <w:sz w:val="18"/>
          <w:szCs w:val="18"/>
          <w:color w:val="auto"/>
        </w:rPr>
        <w:t>In accordance with the terms of our amended and restated bye</w:t>
      </w:r>
      <w:r>
        <w:rPr>
          <w:rFonts w:ascii="MS PGothic" w:cs="MS PGothic" w:eastAsia="MS PGothic" w:hAnsi="MS PGothic"/>
          <w:sz w:val="18"/>
          <w:szCs w:val="18"/>
          <w:color w:val="auto"/>
        </w:rPr>
        <w:t>‑</w:t>
      </w:r>
      <w:r>
        <w:rPr>
          <w:rFonts w:ascii="Arial" w:cs="Arial" w:eastAsia="Arial" w:hAnsi="Arial"/>
          <w:sz w:val="18"/>
          <w:szCs w:val="18"/>
          <w:color w:val="auto"/>
        </w:rPr>
        <w:t>laws, our directors may be removed only for cause by the affirmative vote of a majority of the votes entitled to be cast by our shareholders entitled to vote at an annual general election of directors. Any vacancy on our board, including a vacancy resulting from an enlargement of our board or from removal for cause not filled by the shareholders at the time, may be filled only by vote of a majority of our directors then in office.</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Advance Notice Requirements for Shareholder Proposals and Director Nominations</w:t>
      </w:r>
    </w:p>
    <w:p>
      <w:pPr>
        <w:spacing w:after="0" w:line="198" w:lineRule="exact"/>
        <w:rPr>
          <w:sz w:val="20"/>
          <w:szCs w:val="20"/>
          <w:color w:val="auto"/>
        </w:rPr>
      </w:pPr>
    </w:p>
    <w:p>
      <w:pPr>
        <w:jc w:val="both"/>
        <w:ind w:left="160" w:right="139" w:firstLine="648"/>
        <w:spacing w:after="0" w:line="218" w:lineRule="exact"/>
        <w:rPr>
          <w:sz w:val="20"/>
          <w:szCs w:val="20"/>
          <w:color w:val="auto"/>
        </w:rPr>
      </w:pPr>
      <w:r>
        <w:rPr>
          <w:rFonts w:ascii="Arial" w:cs="Arial" w:eastAsia="Arial" w:hAnsi="Arial"/>
          <w:sz w:val="18"/>
          <w:szCs w:val="18"/>
          <w:color w:val="auto"/>
        </w:rPr>
        <w:t>Our amended and restated bye</w:t>
      </w:r>
      <w:r>
        <w:rPr>
          <w:rFonts w:ascii="MS PGothic" w:cs="MS PGothic" w:eastAsia="MS PGothic" w:hAnsi="MS PGothic"/>
          <w:sz w:val="18"/>
          <w:szCs w:val="18"/>
          <w:color w:val="auto"/>
        </w:rPr>
        <w:t>‑</w:t>
      </w:r>
      <w:r>
        <w:rPr>
          <w:rFonts w:ascii="Arial" w:cs="Arial" w:eastAsia="Arial" w:hAnsi="Arial"/>
          <w:sz w:val="18"/>
          <w:szCs w:val="18"/>
          <w:color w:val="auto"/>
        </w:rPr>
        <w:t>laws provide that shareholders seeking to nominate candidates for election as directors or to bring business before an annual meeting of shareholders must provide timely notice of their proposal. Generally, to be timely, a shareholder’s notice must be received at our principal executive offices not less than 90 days or more than 120 days prior to the first anniversary date of the last annual general meeting. Our amended and restated bye</w:t>
      </w:r>
      <w:r>
        <w:rPr>
          <w:rFonts w:ascii="MS PGothic" w:cs="MS PGothic" w:eastAsia="MS PGothic" w:hAnsi="MS PGothic"/>
          <w:sz w:val="18"/>
          <w:szCs w:val="18"/>
          <w:color w:val="auto"/>
        </w:rPr>
        <w:t>‑</w:t>
      </w:r>
      <w:r>
        <w:rPr>
          <w:rFonts w:ascii="Arial" w:cs="Arial" w:eastAsia="Arial" w:hAnsi="Arial"/>
          <w:sz w:val="18"/>
          <w:szCs w:val="18"/>
          <w:color w:val="auto"/>
        </w:rPr>
        <w:t>laws also specify requirements as to the form and content of a shareholder’s notice. These provisions may impede shareholders’ ability to bring matters before an annual meeting of shareholders or make nominations for directors at an annual meeting of shareholders.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Choice of Jurisdiction</w:t>
      </w:r>
    </w:p>
    <w:p>
      <w:pPr>
        <w:spacing w:after="0" w:line="185" w:lineRule="exact"/>
        <w:rPr>
          <w:sz w:val="20"/>
          <w:szCs w:val="20"/>
          <w:color w:val="auto"/>
        </w:rPr>
      </w:pPr>
    </w:p>
    <w:p>
      <w:pPr>
        <w:jc w:val="both"/>
        <w:ind w:left="160" w:right="139" w:firstLine="648"/>
        <w:spacing w:after="0" w:line="224" w:lineRule="exact"/>
        <w:rPr>
          <w:sz w:val="20"/>
          <w:szCs w:val="20"/>
          <w:color w:val="auto"/>
        </w:rPr>
      </w:pPr>
      <w:r>
        <w:rPr>
          <w:rFonts w:ascii="Arial" w:cs="Arial" w:eastAsia="Arial" w:hAnsi="Arial"/>
          <w:sz w:val="16"/>
          <w:szCs w:val="16"/>
          <w:color w:val="auto"/>
        </w:rPr>
        <w:t>Our amended and restated by</w:t>
      </w:r>
      <w:r>
        <w:rPr>
          <w:rFonts w:ascii="MS PGothic" w:cs="MS PGothic" w:eastAsia="MS PGothic" w:hAnsi="MS PGothic"/>
          <w:sz w:val="16"/>
          <w:szCs w:val="16"/>
          <w:color w:val="auto"/>
        </w:rPr>
        <w:t>‑</w:t>
      </w:r>
      <w:r>
        <w:rPr>
          <w:rFonts w:ascii="Arial" w:cs="Arial" w:eastAsia="Arial" w:hAnsi="Arial"/>
          <w:sz w:val="16"/>
          <w:szCs w:val="16"/>
          <w:color w:val="auto"/>
        </w:rPr>
        <w:t>laws provide that, unless we consent in writing to the selection of an alternative jurisdiction, any dispute that arises concerning the Companies Act or out of or in connection with our bye</w:t>
      </w:r>
      <w:r>
        <w:rPr>
          <w:rFonts w:ascii="MS PGothic" w:cs="MS PGothic" w:eastAsia="MS PGothic" w:hAnsi="MS PGothic"/>
          <w:sz w:val="16"/>
          <w:szCs w:val="16"/>
          <w:color w:val="auto"/>
        </w:rPr>
        <w:t>‑</w:t>
      </w:r>
      <w:r>
        <w:rPr>
          <w:rFonts w:ascii="Arial" w:cs="Arial" w:eastAsia="Arial" w:hAnsi="Arial"/>
          <w:sz w:val="16"/>
          <w:szCs w:val="16"/>
          <w:color w:val="auto"/>
        </w:rPr>
        <w:t>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343535</wp:posOffset>
            </wp:positionV>
            <wp:extent cx="554863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3" w:name="page184"/>
    <w:bookmarkEnd w:id="183"/>
    <w:p>
      <w:pPr>
        <w:jc w:val="both"/>
        <w:ind w:left="160" w:right="159"/>
        <w:spacing w:after="0" w:line="221" w:lineRule="exact"/>
        <w:rPr>
          <w:sz w:val="20"/>
          <w:szCs w:val="20"/>
          <w:color w:val="auto"/>
        </w:rPr>
      </w:pPr>
      <w:r>
        <w:rPr>
          <w:rFonts w:ascii="Arial" w:cs="Arial" w:eastAsia="Arial" w:hAnsi="Arial"/>
          <w:sz w:val="16"/>
          <w:szCs w:val="16"/>
          <w:color w:val="auto"/>
        </w:rPr>
        <w:t>including any question regarding the existence and scope of any bye</w:t>
      </w:r>
      <w:r>
        <w:rPr>
          <w:rFonts w:ascii="MS PGothic" w:cs="MS PGothic" w:eastAsia="MS PGothic" w:hAnsi="MS PGothic"/>
          <w:sz w:val="16"/>
          <w:szCs w:val="16"/>
          <w:color w:val="auto"/>
        </w:rPr>
        <w:t>‑</w:t>
      </w:r>
      <w:r>
        <w:rPr>
          <w:rFonts w:ascii="Arial" w:cs="Arial" w:eastAsia="Arial" w:hAnsi="Arial"/>
          <w:sz w:val="16"/>
          <w:szCs w:val="16"/>
          <w:color w:val="auto"/>
        </w:rPr>
        <w:t>law and/or whether there has been a breach of the Companies Act or the bye</w:t>
      </w:r>
      <w:r>
        <w:rPr>
          <w:rFonts w:ascii="MS PGothic" w:cs="MS PGothic" w:eastAsia="MS PGothic" w:hAnsi="MS PGothic"/>
          <w:sz w:val="16"/>
          <w:szCs w:val="16"/>
          <w:color w:val="auto"/>
        </w:rPr>
        <w:t>‑</w:t>
      </w:r>
      <w:r>
        <w:rPr>
          <w:rFonts w:ascii="Arial" w:cs="Arial" w:eastAsia="Arial" w:hAnsi="Arial"/>
          <w:sz w:val="16"/>
          <w:szCs w:val="16"/>
          <w:color w:val="auto"/>
        </w:rPr>
        <w:t>laws by any of our officers or directors (whether or not such a claim is brought in the name of a shareholder or in the name of our company) shall be subject to the jurisdiction of the Supreme Court of Bermuda.</w:t>
      </w:r>
    </w:p>
    <w:p>
      <w:pPr>
        <w:spacing w:after="0" w:line="202" w:lineRule="exact"/>
        <w:rPr>
          <w:sz w:val="20"/>
          <w:szCs w:val="20"/>
          <w:color w:val="auto"/>
        </w:rPr>
      </w:pPr>
    </w:p>
    <w:p>
      <w:pPr>
        <w:ind w:left="160"/>
        <w:spacing w:after="0" w:line="207" w:lineRule="exact"/>
        <w:rPr>
          <w:sz w:val="20"/>
          <w:szCs w:val="20"/>
          <w:color w:val="auto"/>
        </w:rPr>
      </w:pPr>
      <w:r>
        <w:rPr>
          <w:rFonts w:ascii="Arial" w:cs="Arial" w:eastAsia="Arial" w:hAnsi="Arial"/>
          <w:sz w:val="18"/>
          <w:szCs w:val="18"/>
          <w:b w:val="1"/>
          <w:bCs w:val="1"/>
          <w:i w:val="1"/>
          <w:iCs w:val="1"/>
          <w:color w:val="auto"/>
        </w:rPr>
        <w:t>Amendment of Certain Bye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laws</w:t>
      </w:r>
    </w:p>
    <w:p>
      <w:pPr>
        <w:spacing w:after="0" w:line="185" w:lineRule="exact"/>
        <w:rPr>
          <w:sz w:val="20"/>
          <w:szCs w:val="20"/>
          <w:color w:val="auto"/>
        </w:rPr>
      </w:pPr>
    </w:p>
    <w:p>
      <w:pPr>
        <w:jc w:val="both"/>
        <w:ind w:left="160" w:right="159" w:firstLine="648"/>
        <w:spacing w:after="0" w:line="221" w:lineRule="exact"/>
        <w:rPr>
          <w:sz w:val="20"/>
          <w:szCs w:val="20"/>
          <w:color w:val="auto"/>
        </w:rPr>
      </w:pPr>
      <w:r>
        <w:rPr>
          <w:rFonts w:ascii="Arial" w:cs="Arial" w:eastAsia="Arial" w:hAnsi="Arial"/>
          <w:sz w:val="18"/>
          <w:szCs w:val="18"/>
          <w:color w:val="auto"/>
        </w:rPr>
        <w:t>Amendments to certain sections of our amended and restated bye</w:t>
      </w:r>
      <w:r>
        <w:rPr>
          <w:rFonts w:ascii="MS PGothic" w:cs="MS PGothic" w:eastAsia="MS PGothic" w:hAnsi="MS PGothic"/>
          <w:sz w:val="18"/>
          <w:szCs w:val="18"/>
          <w:color w:val="auto"/>
        </w:rPr>
        <w:t>‑</w:t>
      </w:r>
      <w:r>
        <w:rPr>
          <w:rFonts w:ascii="Arial" w:cs="Arial" w:eastAsia="Arial" w:hAnsi="Arial"/>
          <w:sz w:val="18"/>
          <w:szCs w:val="18"/>
          <w:color w:val="auto"/>
        </w:rPr>
        <w:t>laws containing anti</w:t>
      </w:r>
      <w:r>
        <w:rPr>
          <w:rFonts w:ascii="MS PGothic" w:cs="MS PGothic" w:eastAsia="MS PGothic" w:hAnsi="MS PGothic"/>
          <w:sz w:val="18"/>
          <w:szCs w:val="18"/>
          <w:color w:val="auto"/>
        </w:rPr>
        <w:t>‑</w:t>
      </w:r>
      <w:r>
        <w:rPr>
          <w:rFonts w:ascii="Arial" w:cs="Arial" w:eastAsia="Arial" w:hAnsi="Arial"/>
          <w:sz w:val="18"/>
          <w:szCs w:val="18"/>
          <w:color w:val="auto"/>
        </w:rPr>
        <w:t>takeover provisions will require an affirmative vote of at least 66% of the directors and at least 66% of the voting power of the issued and outstanding shares.</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Business Combinations with Interested Shareholders</w:t>
      </w:r>
    </w:p>
    <w:p>
      <w:pPr>
        <w:spacing w:after="0" w:line="225" w:lineRule="exact"/>
        <w:rPr>
          <w:sz w:val="20"/>
          <w:szCs w:val="20"/>
          <w:color w:val="auto"/>
        </w:rPr>
      </w:pPr>
    </w:p>
    <w:p>
      <w:pPr>
        <w:jc w:val="both"/>
        <w:ind w:left="160" w:right="139" w:firstLine="648"/>
        <w:spacing w:after="0" w:line="219" w:lineRule="exact"/>
        <w:rPr>
          <w:sz w:val="20"/>
          <w:szCs w:val="20"/>
          <w:color w:val="auto"/>
        </w:rPr>
      </w:pPr>
      <w:r>
        <w:rPr>
          <w:rFonts w:ascii="Arial" w:cs="Arial" w:eastAsia="Arial" w:hAnsi="Arial"/>
          <w:sz w:val="18"/>
          <w:szCs w:val="18"/>
          <w:color w:val="auto"/>
        </w:rPr>
        <w:t>Although the Companies Act does not contain specific provisions regarding “business combinations” between companies organized under the laws of Bermuda and “interested shareholders,” we have included these provisions in our amended and restated bye</w:t>
      </w:r>
      <w:r>
        <w:rPr>
          <w:rFonts w:ascii="MS PGothic" w:cs="MS PGothic" w:eastAsia="MS PGothic" w:hAnsi="MS PGothic"/>
          <w:sz w:val="18"/>
          <w:szCs w:val="18"/>
          <w:color w:val="auto"/>
        </w:rPr>
        <w:t>‑</w:t>
      </w:r>
      <w:r>
        <w:rPr>
          <w:rFonts w:ascii="Arial" w:cs="Arial" w:eastAsia="Arial" w:hAnsi="Arial"/>
          <w:sz w:val="18"/>
          <w:szCs w:val="18"/>
          <w:color w:val="auto"/>
        </w:rPr>
        <w:t>laws. Specifically, our amended and restated bye</w:t>
      </w:r>
      <w:r>
        <w:rPr>
          <w:rFonts w:ascii="MS PGothic" w:cs="MS PGothic" w:eastAsia="MS PGothic" w:hAnsi="MS PGothic"/>
          <w:sz w:val="18"/>
          <w:szCs w:val="18"/>
          <w:color w:val="auto"/>
        </w:rPr>
        <w:t>‑</w:t>
      </w:r>
      <w:r>
        <w:rPr>
          <w:rFonts w:ascii="Arial" w:cs="Arial" w:eastAsia="Arial" w:hAnsi="Arial"/>
          <w:sz w:val="18"/>
          <w:szCs w:val="18"/>
          <w:color w:val="auto"/>
        </w:rPr>
        <w:t>laws contain provisions which prohibit us from engaging in a business combination with an interested shareholder for a period of three years after the date of the transaction in which the person became an interested shareholder, unless, in addition to any other approval that may be required by applicable law:</w:t>
      </w:r>
    </w:p>
    <w:p>
      <w:pPr>
        <w:spacing w:after="0" w:line="203" w:lineRule="exact"/>
        <w:rPr>
          <w:sz w:val="20"/>
          <w:szCs w:val="20"/>
          <w:color w:val="auto"/>
        </w:rPr>
      </w:pPr>
    </w:p>
    <w:p>
      <w:pPr>
        <w:jc w:val="both"/>
        <w:ind w:left="1120" w:right="159" w:hanging="321"/>
        <w:spacing w:after="0" w:line="264" w:lineRule="auto"/>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prior to the date of the transaction that resulted in the shareholder becoming an interested shareholder, our board of directors approved either the business combination or the transaction that resulted in the shareholder becoming an interested shareholder;</w:t>
      </w:r>
    </w:p>
    <w:p>
      <w:pPr>
        <w:spacing w:after="0" w:line="181" w:lineRule="exact"/>
        <w:rPr>
          <w:rFonts w:ascii="Arial" w:cs="Arial" w:eastAsia="Arial" w:hAnsi="Arial"/>
          <w:sz w:val="18"/>
          <w:szCs w:val="18"/>
          <w:color w:val="auto"/>
        </w:rPr>
      </w:pPr>
    </w:p>
    <w:p>
      <w:pPr>
        <w:jc w:val="both"/>
        <w:ind w:left="1120" w:right="159" w:hanging="321"/>
        <w:spacing w:after="0" w:line="264" w:lineRule="auto"/>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shareholder becoming an interested shareholder, the interested shareholder owned at least 85% of the voting power of our issued and outstanding voting shares at the time the transaction commenced; or</w:t>
      </w:r>
    </w:p>
    <w:p>
      <w:pPr>
        <w:spacing w:after="0" w:line="181" w:lineRule="exact"/>
        <w:rPr>
          <w:rFonts w:ascii="Arial" w:cs="Arial" w:eastAsia="Arial" w:hAnsi="Arial"/>
          <w:sz w:val="18"/>
          <w:szCs w:val="18"/>
          <w:color w:val="auto"/>
        </w:rPr>
      </w:pPr>
    </w:p>
    <w:p>
      <w:pPr>
        <w:jc w:val="both"/>
        <w:ind w:left="1120" w:right="139" w:hanging="321"/>
        <w:spacing w:after="0" w:line="232" w:lineRule="auto"/>
        <w:tabs>
          <w:tab w:leader="none" w:pos="11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after the date of the transaction that resulted in the shareholder becoming an interested shareholder, the business combination is approved by our board of directors and authorized at an annual or special general meeting of shareholders by the affirmative vote of at least 66</w:t>
      </w:r>
      <w:r>
        <w:rPr>
          <w:rFonts w:ascii="Arial" w:cs="Arial" w:eastAsia="Arial" w:hAnsi="Arial"/>
          <w:sz w:val="8"/>
          <w:szCs w:val="8"/>
          <w:color w:val="auto"/>
        </w:rPr>
        <w:t>2</w:t>
      </w:r>
      <w:r>
        <w:rPr>
          <w:rFonts w:ascii="Arial" w:cs="Arial" w:eastAsia="Arial" w:hAnsi="Arial"/>
          <w:sz w:val="17"/>
          <w:szCs w:val="17"/>
          <w:color w:val="auto"/>
        </w:rPr>
        <w:t>/</w:t>
      </w:r>
      <w:r>
        <w:rPr>
          <w:rFonts w:ascii="Arial" w:cs="Arial" w:eastAsia="Arial" w:hAnsi="Arial"/>
          <w:sz w:val="29"/>
          <w:szCs w:val="29"/>
          <w:color w:val="auto"/>
          <w:vertAlign w:val="subscript"/>
        </w:rPr>
        <w:t>3</w:t>
      </w:r>
      <w:r>
        <w:rPr>
          <w:rFonts w:ascii="Arial" w:cs="Arial" w:eastAsia="Arial" w:hAnsi="Arial"/>
          <w:sz w:val="17"/>
          <w:szCs w:val="17"/>
          <w:color w:val="auto"/>
        </w:rPr>
        <w:t>% of the voting power of our issued and outstanding voting shares that are not owned by the interested shareholder.</w:t>
      </w:r>
    </w:p>
    <w:p>
      <w:pPr>
        <w:spacing w:after="0" w:line="205" w:lineRule="exact"/>
        <w:rPr>
          <w:sz w:val="20"/>
          <w:szCs w:val="20"/>
          <w:color w:val="auto"/>
        </w:rPr>
      </w:pPr>
    </w:p>
    <w:p>
      <w:pPr>
        <w:jc w:val="both"/>
        <w:ind w:left="160" w:right="139" w:firstLine="648"/>
        <w:spacing w:after="0" w:line="257" w:lineRule="auto"/>
        <w:rPr>
          <w:sz w:val="20"/>
          <w:szCs w:val="20"/>
          <w:color w:val="auto"/>
        </w:rPr>
      </w:pPr>
      <w:r>
        <w:rPr>
          <w:rFonts w:ascii="Arial" w:cs="Arial" w:eastAsia="Arial" w:hAnsi="Arial"/>
          <w:sz w:val="18"/>
          <w:szCs w:val="18"/>
          <w:color w:val="auto"/>
        </w:rPr>
        <w:t>For purposes of these provisions, a “business combination” includes recapitalizations, mergers, amalgamations, consolidations, exchanges, asset sales, leases, certain issues or transfers of shares or other securities and other transactions resulting in a financial benefit to the interested shareholder. An “interested shareholder” is any person or entity that beneficially owns 15% or more of our issued and outstanding voting shares and any person or entity affiliated with or controlling or controlled by that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334645</wp:posOffset>
            </wp:positionV>
            <wp:extent cx="554863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4" w:name="page185"/>
    <w:bookmarkEnd w:id="184"/>
    <w:p>
      <w:pPr>
        <w:jc w:val="right"/>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3287395</wp:posOffset>
            </wp:positionH>
            <wp:positionV relativeFrom="page">
              <wp:posOffset>88900</wp:posOffset>
            </wp:positionV>
            <wp:extent cx="986155" cy="7118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986155" cy="711835"/>
                    </a:xfrm>
                    <a:prstGeom prst="rect">
                      <a:avLst/>
                    </a:prstGeom>
                    <a:noFill/>
                  </pic:spPr>
                </pic:pic>
              </a:graphicData>
            </a:graphic>
          </wp:anchor>
        </w:drawing>
        <w:t>Exhibit 10.24</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November 13, 2019</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auto"/>
        </w:rPr>
        <w:t>By Hand</w:t>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Stephen F. Mahoney</w:t>
      </w:r>
    </w:p>
    <w:p>
      <w:pPr>
        <w:ind w:left="160"/>
        <w:spacing w:after="0" w:line="203" w:lineRule="auto"/>
        <w:rPr>
          <w:sz w:val="20"/>
          <w:szCs w:val="20"/>
          <w:color w:val="auto"/>
        </w:rPr>
      </w:pPr>
      <w:r>
        <w:rPr>
          <w:rFonts w:ascii="Arial" w:cs="Arial" w:eastAsia="Arial" w:hAnsi="Arial"/>
          <w:sz w:val="18"/>
          <w:szCs w:val="18"/>
          <w:color w:val="auto"/>
        </w:rPr>
        <w:t>89 Woodland Street</w:t>
      </w:r>
    </w:p>
    <w:p>
      <w:pPr>
        <w:ind w:left="160"/>
        <w:spacing w:after="0"/>
        <w:rPr>
          <w:sz w:val="20"/>
          <w:szCs w:val="20"/>
          <w:color w:val="auto"/>
        </w:rPr>
      </w:pPr>
      <w:r>
        <w:rPr>
          <w:rFonts w:ascii="Arial" w:cs="Arial" w:eastAsia="Arial" w:hAnsi="Arial"/>
          <w:sz w:val="18"/>
          <w:szCs w:val="18"/>
          <w:color w:val="auto"/>
        </w:rPr>
        <w:t>Sherborn, MA 01770</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Dear Steve:</w:t>
      </w:r>
    </w:p>
    <w:p>
      <w:pPr>
        <w:spacing w:after="0" w:line="144" w:lineRule="exact"/>
        <w:rPr>
          <w:sz w:val="20"/>
          <w:szCs w:val="20"/>
          <w:color w:val="auto"/>
        </w:rPr>
      </w:pPr>
    </w:p>
    <w:p>
      <w:pPr>
        <w:ind w:left="160" w:right="359" w:firstLine="648"/>
        <w:spacing w:after="0" w:line="219" w:lineRule="auto"/>
        <w:rPr>
          <w:sz w:val="20"/>
          <w:szCs w:val="20"/>
          <w:color w:val="auto"/>
        </w:rPr>
      </w:pPr>
      <w:r>
        <w:rPr>
          <w:rFonts w:ascii="Arial" w:cs="Arial" w:eastAsia="Arial" w:hAnsi="Arial"/>
          <w:sz w:val="18"/>
          <w:szCs w:val="18"/>
          <w:color w:val="auto"/>
        </w:rPr>
        <w:t>The purpose of this letter agreement (“</w:t>
      </w:r>
      <w:r>
        <w:rPr>
          <w:rFonts w:ascii="Arial" w:cs="Arial" w:eastAsia="Arial" w:hAnsi="Arial"/>
          <w:sz w:val="18"/>
          <w:szCs w:val="18"/>
          <w:i w:val="1"/>
          <w:iCs w:val="1"/>
          <w:color w:val="auto"/>
        </w:rPr>
        <w:t>Agreement</w:t>
      </w:r>
      <w:r>
        <w:rPr>
          <w:rFonts w:ascii="Arial" w:cs="Arial" w:eastAsia="Arial" w:hAnsi="Arial"/>
          <w:sz w:val="18"/>
          <w:szCs w:val="18"/>
          <w:color w:val="auto"/>
        </w:rPr>
        <w:t>”) is to confirm the terms of your separation from Kiniksa Pharmaceuticals Corp. (“</w:t>
      </w:r>
      <w:r>
        <w:rPr>
          <w:rFonts w:ascii="Arial" w:cs="Arial" w:eastAsia="Arial" w:hAnsi="Arial"/>
          <w:sz w:val="18"/>
          <w:szCs w:val="18"/>
          <w:i w:val="1"/>
          <w:iCs w:val="1"/>
          <w:color w:val="auto"/>
        </w:rPr>
        <w:t>Kiniksa</w:t>
      </w:r>
      <w:r>
        <w:rPr>
          <w:rFonts w:ascii="Arial" w:cs="Arial" w:eastAsia="Arial" w:hAnsi="Arial"/>
          <w:sz w:val="18"/>
          <w:szCs w:val="18"/>
          <w:color w:val="auto"/>
        </w:rPr>
        <w:t>” or the “</w:t>
      </w:r>
      <w:r>
        <w:rPr>
          <w:rFonts w:ascii="Arial" w:cs="Arial" w:eastAsia="Arial" w:hAnsi="Arial"/>
          <w:sz w:val="18"/>
          <w:szCs w:val="18"/>
          <w:i w:val="1"/>
          <w:iCs w:val="1"/>
          <w:color w:val="auto"/>
        </w:rPr>
        <w:t>Company</w:t>
      </w:r>
      <w:r>
        <w:rPr>
          <w:rFonts w:ascii="Arial" w:cs="Arial" w:eastAsia="Arial" w:hAnsi="Arial"/>
          <w:sz w:val="18"/>
          <w:szCs w:val="18"/>
          <w:color w:val="auto"/>
        </w:rPr>
        <w:t>”).</w:t>
      </w:r>
      <w:r>
        <w:rPr>
          <w:rFonts w:ascii="Arial" w:cs="Arial" w:eastAsia="Arial" w:hAnsi="Arial"/>
          <w:sz w:val="8"/>
          <w:szCs w:val="8"/>
          <w:color w:val="auto"/>
        </w:rPr>
        <w:t>1</w:t>
      </w:r>
      <w:r>
        <w:rPr>
          <w:rFonts w:ascii="Arial" w:cs="Arial" w:eastAsia="Arial" w:hAnsi="Arial"/>
          <w:sz w:val="18"/>
          <w:szCs w:val="18"/>
          <w:color w:val="auto"/>
        </w:rPr>
        <w:t xml:space="preserve"> Unless you rescind your assent as set forth in Section 6(iii) below, this Agreement shall be effective on the eighth (8</w:t>
      </w:r>
      <w:r>
        <w:rPr>
          <w:rFonts w:ascii="Arial" w:cs="Arial" w:eastAsia="Arial" w:hAnsi="Arial"/>
          <w:sz w:val="8"/>
          <w:szCs w:val="8"/>
          <w:color w:val="auto"/>
        </w:rPr>
        <w:t>th</w:t>
      </w:r>
      <w:r>
        <w:rPr>
          <w:rFonts w:ascii="Arial" w:cs="Arial" w:eastAsia="Arial" w:hAnsi="Arial"/>
          <w:sz w:val="18"/>
          <w:szCs w:val="18"/>
          <w:color w:val="auto"/>
        </w:rPr>
        <w:t>) day after you sign it (the “</w:t>
      </w:r>
      <w:r>
        <w:rPr>
          <w:rFonts w:ascii="Arial" w:cs="Arial" w:eastAsia="Arial" w:hAnsi="Arial"/>
          <w:sz w:val="18"/>
          <w:szCs w:val="18"/>
          <w:i w:val="1"/>
          <w:iCs w:val="1"/>
          <w:color w:val="auto"/>
        </w:rPr>
        <w:t>Effective Date</w:t>
      </w:r>
      <w:r>
        <w:rPr>
          <w:rFonts w:ascii="Arial" w:cs="Arial" w:eastAsia="Arial" w:hAnsi="Arial"/>
          <w:sz w:val="18"/>
          <w:szCs w:val="18"/>
          <w:color w:val="auto"/>
        </w:rPr>
        <w:t>”), at which time it shall become final and binding on all parties.</w:t>
      </w:r>
    </w:p>
    <w:p>
      <w:pPr>
        <w:spacing w:after="0" w:line="122" w:lineRule="exact"/>
        <w:rPr>
          <w:sz w:val="20"/>
          <w:szCs w:val="20"/>
          <w:color w:val="auto"/>
        </w:rPr>
      </w:pPr>
    </w:p>
    <w:p>
      <w:pPr>
        <w:ind w:left="1480" w:hanging="681"/>
        <w:spacing w:after="0"/>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Transitional Employment/Separation Date/Board Resignations</w:t>
      </w:r>
      <w:r>
        <w:rPr>
          <w:rFonts w:ascii="Arial" w:cs="Arial" w:eastAsia="Arial" w:hAnsi="Arial"/>
          <w:sz w:val="18"/>
          <w:szCs w:val="18"/>
          <w:color w:val="auto"/>
        </w:rPr>
        <w:t>.</w:t>
      </w:r>
    </w:p>
    <w:p>
      <w:pPr>
        <w:spacing w:after="0" w:line="144" w:lineRule="exact"/>
        <w:rPr>
          <w:sz w:val="20"/>
          <w:szCs w:val="20"/>
          <w:color w:val="auto"/>
        </w:rPr>
      </w:pPr>
    </w:p>
    <w:p>
      <w:pPr>
        <w:ind w:left="1440" w:right="499" w:hanging="641"/>
        <w:spacing w:after="0" w:line="235" w:lineRule="auto"/>
        <w:tabs>
          <w:tab w:leader="none" w:pos="145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Your employment with the Company shall separate effective December 31, 2019 (the “</w:t>
      </w:r>
      <w:r>
        <w:rPr>
          <w:rFonts w:ascii="Arial" w:cs="Arial" w:eastAsia="Arial" w:hAnsi="Arial"/>
          <w:sz w:val="18"/>
          <w:szCs w:val="18"/>
          <w:i w:val="1"/>
          <w:iCs w:val="1"/>
          <w:color w:val="auto"/>
        </w:rPr>
        <w:t>Separation</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40" w:right="239" w:hanging="641"/>
        <w:spacing w:after="0" w:line="211" w:lineRule="auto"/>
        <w:tabs>
          <w:tab w:leader="none" w:pos="145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 of November 15, 2019 (the “</w:t>
      </w:r>
      <w:r>
        <w:rPr>
          <w:rFonts w:ascii="Arial" w:cs="Arial" w:eastAsia="Arial" w:hAnsi="Arial"/>
          <w:sz w:val="18"/>
          <w:szCs w:val="18"/>
          <w:i w:val="1"/>
          <w:iCs w:val="1"/>
          <w:color w:val="auto"/>
        </w:rPr>
        <w:t>Transition Date</w:t>
      </w:r>
      <w:r>
        <w:rPr>
          <w:rFonts w:ascii="Arial" w:cs="Arial" w:eastAsia="Arial" w:hAnsi="Arial"/>
          <w:sz w:val="18"/>
          <w:szCs w:val="18"/>
          <w:color w:val="auto"/>
        </w:rPr>
        <w:t>”), you will cease to hold your position as President and Chief Operating Officer of the Company; the period between the Transition Date and your Separation Date is hereinafter referred to as the “</w:t>
      </w:r>
      <w:r>
        <w:rPr>
          <w:rFonts w:ascii="Arial" w:cs="Arial" w:eastAsia="Arial" w:hAnsi="Arial"/>
          <w:sz w:val="18"/>
          <w:szCs w:val="18"/>
          <w:i w:val="1"/>
          <w:iCs w:val="1"/>
          <w:color w:val="auto"/>
        </w:rPr>
        <w:t>Transition Period”).</w:t>
      </w:r>
      <w:r>
        <w:rPr>
          <w:rFonts w:ascii="Arial" w:cs="Arial" w:eastAsia="Arial" w:hAnsi="Arial"/>
          <w:sz w:val="18"/>
          <w:szCs w:val="18"/>
          <w:color w:val="auto"/>
        </w:rPr>
        <w:t xml:space="preserve"> During the Transition Period you will continue to receive your compensation and continue to participate in the Company’s benefits and programs for which you are eligible and enrolled, although you will not be expected to come into the office or otherwise provide services unless specifically and reasonably requested by the Company. All employment related benefits shall end on December 31, 2019, except as set forth in Paragraph 1(iii) below.</w:t>
      </w:r>
    </w:p>
    <w:p>
      <w:pPr>
        <w:spacing w:after="0" w:line="137" w:lineRule="exact"/>
        <w:rPr>
          <w:rFonts w:ascii="Arial" w:cs="Arial" w:eastAsia="Arial" w:hAnsi="Arial"/>
          <w:sz w:val="18"/>
          <w:szCs w:val="18"/>
          <w:color w:val="auto"/>
        </w:rPr>
      </w:pPr>
    </w:p>
    <w:p>
      <w:pPr>
        <w:ind w:left="1440" w:right="159" w:hanging="641"/>
        <w:spacing w:after="0" w:line="225" w:lineRule="auto"/>
        <w:tabs>
          <w:tab w:leader="none" w:pos="146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On or about the Separation Date, the Company shall pay your final wages, accrued but unused vacation time and any unreimbursed business expenses in accordance with Company policy and/or applicable law. Provided you timely complete the required election forms (which will be provided to you separately), you also will be eligible to continue receiving group medical and/or dental insurance at your own cost pursuant to the Consolidated Omnibus Budget Reconciliation Act of 1985 (“</w:t>
      </w:r>
      <w:r>
        <w:rPr>
          <w:rFonts w:ascii="Arial" w:cs="Arial" w:eastAsia="Arial" w:hAnsi="Arial"/>
          <w:sz w:val="17"/>
          <w:szCs w:val="17"/>
          <w:i w:val="1"/>
          <w:iCs w:val="1"/>
          <w:color w:val="auto"/>
        </w:rPr>
        <w:t>COBRA</w:t>
      </w:r>
      <w:r>
        <w:rPr>
          <w:rFonts w:ascii="Arial" w:cs="Arial" w:eastAsia="Arial" w:hAnsi="Arial"/>
          <w:sz w:val="17"/>
          <w:szCs w:val="17"/>
          <w:color w:val="auto"/>
        </w:rPr>
        <w:t>”). You acknowledge that from and after the Separation Date, you shall have no authority to, and agree not to, represent yourself as an employee or agent of the Company.</w:t>
      </w:r>
    </w:p>
    <w:p>
      <w:pPr>
        <w:spacing w:after="0" w:line="135" w:lineRule="exact"/>
        <w:rPr>
          <w:rFonts w:ascii="Arial" w:cs="Arial" w:eastAsia="Arial" w:hAnsi="Arial"/>
          <w:sz w:val="17"/>
          <w:szCs w:val="17"/>
          <w:color w:val="auto"/>
        </w:rPr>
      </w:pPr>
    </w:p>
    <w:p>
      <w:pPr>
        <w:ind w:left="1440" w:right="139" w:hanging="641"/>
        <w:spacing w:after="0" w:line="229" w:lineRule="auto"/>
        <w:tabs>
          <w:tab w:leader="none" w:pos="145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Immediately upon the [Transition Date] you will be deemed to have resigned from any and all positions held by you, whether as an officer or director of the Company or Kiniksa Pharmaceuticals, Ltd., and/or any of their respective affiliates. At the request and cost of the Company, you hereby agree to sign, execute, make and do all such deeds, documents, acts and things as the Company may reasonably require you to do to effectuate such resignation(s).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163195</wp:posOffset>
            </wp:positionV>
            <wp:extent cx="138938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1">
                      <a:extLst>
                        <a:ext uri="{28A0092B-C50C-407E-A947-70E740481C1C}"/>
                      </a:extLst>
                    </a:blip>
                    <a:srcRect/>
                    <a:stretch>
                      <a:fillRect/>
                    </a:stretch>
                  </pic:blipFill>
                  <pic:spPr bwMode="auto">
                    <a:xfrm>
                      <a:off x="0" y="0"/>
                      <a:ext cx="1389380" cy="17145"/>
                    </a:xfrm>
                    <a:prstGeom prst="rect">
                      <a:avLst/>
                    </a:prstGeom>
                    <a:noFill/>
                  </pic:spPr>
                </pic:pic>
              </a:graphicData>
            </a:graphic>
          </wp:anchor>
        </w:drawing>
      </w:r>
    </w:p>
    <w:p>
      <w:pPr>
        <w:spacing w:after="0" w:line="344" w:lineRule="exact"/>
        <w:rPr>
          <w:sz w:val="20"/>
          <w:szCs w:val="20"/>
          <w:color w:val="auto"/>
        </w:rPr>
      </w:pPr>
    </w:p>
    <w:p>
      <w:pPr>
        <w:ind w:left="160" w:right="359" w:hanging="9"/>
        <w:spacing w:after="0" w:line="226" w:lineRule="auto"/>
        <w:tabs>
          <w:tab w:leader="none" w:pos="295" w:val="left"/>
        </w:tabs>
        <w:numPr>
          <w:ilvl w:val="0"/>
          <w:numId w:val="103"/>
        </w:numPr>
        <w:rPr>
          <w:rFonts w:ascii="Arial" w:cs="Arial" w:eastAsia="Arial" w:hAnsi="Arial"/>
          <w:sz w:val="17"/>
          <w:szCs w:val="17"/>
          <w:color w:val="auto"/>
          <w:vertAlign w:val="superscript"/>
        </w:rPr>
      </w:pPr>
      <w:r>
        <w:rPr>
          <w:rFonts w:ascii="Arial" w:cs="Arial" w:eastAsia="Arial" w:hAnsi="Arial"/>
          <w:sz w:val="17"/>
          <w:szCs w:val="17"/>
          <w:color w:val="auto"/>
        </w:rPr>
        <w:t>Except for the obligations set forth in Section 2(i)-(iii), which shall be solely the obligations of Kiniksa Pharmaceuticals Corp. and Section 2(iv), which shall be solely the obligation of Kiniksa Pharmaceuticals, Ltd., whenever the terms “Kiniksa Pharmaceuticals Corp.,” “Kiniksa” or the “Company” are used in this Agreement (including, without limitation, Section 6), they shall be deemed to include Kiniksa Pharmaceuticals Corp. and any and all of its divisions, affiliates and subsidiaries and all related entities (including, without limitation, Kiniksa Pharmaceuticals, Ltd.) and its and their directors, officers, employees, agents,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328295</wp:posOffset>
            </wp:positionV>
            <wp:extent cx="554863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229" w:right="1440" w:bottom="1440" w:gutter="0" w:footer="0" w:header="0"/>
        </w:sectPr>
      </w:pPr>
    </w:p>
    <w:bookmarkStart w:id="185" w:name="page186"/>
    <w:bookmarkEnd w:id="185"/>
    <w:p>
      <w:pPr>
        <w:ind w:left="160" w:right="159" w:firstLine="639"/>
        <w:spacing w:after="0" w:line="216" w:lineRule="auto"/>
        <w:tabs>
          <w:tab w:leader="none" w:pos="1483"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3287395</wp:posOffset>
            </wp:positionH>
            <wp:positionV relativeFrom="page">
              <wp:posOffset>88900</wp:posOffset>
            </wp:positionV>
            <wp:extent cx="986155" cy="7118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986155" cy="711835"/>
                    </a:xfrm>
                    <a:prstGeom prst="rect">
                      <a:avLst/>
                    </a:prstGeom>
                    <a:noFill/>
                  </pic:spPr>
                </pic:pic>
              </a:graphicData>
            </a:graphic>
          </wp:anchor>
        </w:drawing>
        <w:t>Consideration</w:t>
      </w:r>
      <w:r>
        <w:rPr>
          <w:rFonts w:ascii="Arial" w:cs="Arial" w:eastAsia="Arial" w:hAnsi="Arial"/>
          <w:sz w:val="18"/>
          <w:szCs w:val="18"/>
          <w:color w:val="auto"/>
        </w:rPr>
        <w:t xml:space="preserve">. If you remain employed by the Company until December 31, 2019, do not rescind this Agreement as set forth in Section 6(iii) below, and execute the Affirmation described in Section 9 of this Agreement and attached as </w:t>
      </w:r>
      <w:r>
        <w:rPr>
          <w:rFonts w:ascii="Arial" w:cs="Arial" w:eastAsia="Arial" w:hAnsi="Arial"/>
          <w:sz w:val="18"/>
          <w:szCs w:val="18"/>
          <w:b w:val="1"/>
          <w:bCs w:val="1"/>
          <w:i w:val="1"/>
          <w:iCs w:val="1"/>
          <w:color w:val="auto"/>
        </w:rPr>
        <w:t>Exhibit B</w:t>
      </w:r>
      <w:r>
        <w:rPr>
          <w:rFonts w:ascii="Arial" w:cs="Arial" w:eastAsia="Arial" w:hAnsi="Arial"/>
          <w:sz w:val="18"/>
          <w:szCs w:val="18"/>
          <w:color w:val="auto"/>
        </w:rPr>
        <w:t xml:space="preserve">, then the Company will provide you with the following in accordance your Amended and Restated Employment Agreement dated May 29, 2018 (the </w:t>
      </w:r>
      <w:r>
        <w:rPr>
          <w:rFonts w:ascii="Arial" w:cs="Arial" w:eastAsia="Arial" w:hAnsi="Arial"/>
          <w:sz w:val="18"/>
          <w:szCs w:val="18"/>
          <w:i w:val="1"/>
          <w:iCs w:val="1"/>
          <w:color w:val="auto"/>
        </w:rPr>
        <w:t>“Employment Agreement”</w:t>
      </w:r>
      <w:r>
        <w:rPr>
          <w:rFonts w:ascii="Arial" w:cs="Arial" w:eastAsia="Arial" w:hAnsi="Arial"/>
          <w:sz w:val="18"/>
          <w:szCs w:val="18"/>
          <w:color w:val="auto"/>
        </w:rPr>
        <w:t xml:space="preserve"> and such payments and benefits collectively, the </w:t>
      </w:r>
      <w:r>
        <w:rPr>
          <w:rFonts w:ascii="Arial" w:cs="Arial" w:eastAsia="Arial" w:hAnsi="Arial"/>
          <w:sz w:val="18"/>
          <w:szCs w:val="18"/>
          <w:i w:val="1"/>
          <w:iCs w:val="1"/>
          <w:color w:val="auto"/>
        </w:rPr>
        <w:t>“Consideration”):</w:t>
      </w:r>
    </w:p>
    <w:p>
      <w:pPr>
        <w:spacing w:after="0" w:line="122" w:lineRule="exact"/>
        <w:rPr>
          <w:sz w:val="20"/>
          <w:szCs w:val="20"/>
          <w:color w:val="auto"/>
        </w:rPr>
      </w:pPr>
    </w:p>
    <w:p>
      <w:pPr>
        <w:ind w:left="1440" w:right="159" w:hanging="641"/>
        <w:spacing w:after="0" w:line="219" w:lineRule="auto"/>
        <w:tabs>
          <w:tab w:leader="none" w:pos="145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lump sum severance payment in the amount of $477,641.06, which is equivalent to your annual base salary, less all applicable income and payroll taxes, deductions and withholdings, and less any amounts you may owe to the Company (the “</w:t>
      </w:r>
      <w:r>
        <w:rPr>
          <w:rFonts w:ascii="Arial" w:cs="Arial" w:eastAsia="Arial" w:hAnsi="Arial"/>
          <w:sz w:val="18"/>
          <w:szCs w:val="18"/>
          <w:i w:val="1"/>
          <w:iCs w:val="1"/>
          <w:color w:val="auto"/>
        </w:rPr>
        <w:t>Severance Payment</w:t>
      </w:r>
      <w:r>
        <w:rPr>
          <w:rFonts w:ascii="Arial" w:cs="Arial" w:eastAsia="Arial" w:hAnsi="Arial"/>
          <w:sz w:val="18"/>
          <w:szCs w:val="18"/>
          <w:color w:val="auto"/>
        </w:rPr>
        <w:t>”), which shall be paid within sixty (60) days of the Separation Date;</w:t>
      </w:r>
    </w:p>
    <w:p>
      <w:pPr>
        <w:spacing w:after="0" w:line="122" w:lineRule="exact"/>
        <w:rPr>
          <w:rFonts w:ascii="Arial" w:cs="Arial" w:eastAsia="Arial" w:hAnsi="Arial"/>
          <w:sz w:val="18"/>
          <w:szCs w:val="18"/>
          <w:color w:val="auto"/>
        </w:rPr>
      </w:pPr>
    </w:p>
    <w:p>
      <w:pPr>
        <w:jc w:val="both"/>
        <w:ind w:left="1440" w:right="479" w:hanging="641"/>
        <w:spacing w:after="0" w:line="238" w:lineRule="auto"/>
        <w:tabs>
          <w:tab w:leader="none" w:pos="146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 one-time, lump-sum bonus payment of $16,500.00, less all applicable income and payroll taxes, deductions and withholdings, and less any amounts you may owe to the Company, (the “</w:t>
      </w:r>
      <w:r>
        <w:rPr>
          <w:rFonts w:ascii="Arial" w:cs="Arial" w:eastAsia="Arial" w:hAnsi="Arial"/>
          <w:sz w:val="17"/>
          <w:szCs w:val="17"/>
          <w:i w:val="1"/>
          <w:iCs w:val="1"/>
          <w:color w:val="auto"/>
        </w:rPr>
        <w:t>One-Time</w:t>
      </w:r>
      <w:r>
        <w:rPr>
          <w:rFonts w:ascii="Arial" w:cs="Arial" w:eastAsia="Arial" w:hAnsi="Arial"/>
          <w:sz w:val="17"/>
          <w:szCs w:val="17"/>
          <w:color w:val="auto"/>
        </w:rPr>
        <w:t xml:space="preserve"> </w:t>
      </w:r>
      <w:r>
        <w:rPr>
          <w:rFonts w:ascii="Arial" w:cs="Arial" w:eastAsia="Arial" w:hAnsi="Arial"/>
          <w:sz w:val="17"/>
          <w:szCs w:val="17"/>
          <w:i w:val="1"/>
          <w:iCs w:val="1"/>
          <w:color w:val="auto"/>
        </w:rPr>
        <w:t>Bonus</w:t>
      </w:r>
      <w:r>
        <w:rPr>
          <w:rFonts w:ascii="Arial" w:cs="Arial" w:eastAsia="Arial" w:hAnsi="Arial"/>
          <w:sz w:val="17"/>
          <w:szCs w:val="17"/>
          <w:color w:val="auto"/>
        </w:rPr>
        <w:t>”), which shall be paid within sixty (60) days of the Separation Date;</w:t>
      </w:r>
    </w:p>
    <w:p>
      <w:pPr>
        <w:spacing w:after="0" w:line="188" w:lineRule="exact"/>
        <w:rPr>
          <w:rFonts w:ascii="Arial" w:cs="Arial" w:eastAsia="Arial" w:hAnsi="Arial"/>
          <w:sz w:val="17"/>
          <w:szCs w:val="17"/>
          <w:color w:val="auto"/>
        </w:rPr>
      </w:pPr>
    </w:p>
    <w:p>
      <w:pPr>
        <w:ind w:left="1440" w:right="379" w:hanging="641"/>
        <w:spacing w:after="0" w:line="229" w:lineRule="auto"/>
        <w:tabs>
          <w:tab w:leader="none" w:pos="1467"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 one-time, lump sum post-termination bonus of $214,938.48, which is equivalent to the pro-rata share of your 2019 Target Bonus, less all applicable income and payroll taxes, deductions and withholdings, and less any amounts you may owe to the Company, (the “</w:t>
      </w:r>
      <w:r>
        <w:rPr>
          <w:rFonts w:ascii="Arial" w:cs="Arial" w:eastAsia="Arial" w:hAnsi="Arial"/>
          <w:sz w:val="17"/>
          <w:szCs w:val="17"/>
          <w:i w:val="1"/>
          <w:iCs w:val="1"/>
          <w:color w:val="auto"/>
        </w:rPr>
        <w:t>Post-Termination Bonus</w:t>
      </w:r>
      <w:r>
        <w:rPr>
          <w:rFonts w:ascii="Arial" w:cs="Arial" w:eastAsia="Arial" w:hAnsi="Arial"/>
          <w:sz w:val="17"/>
          <w:szCs w:val="17"/>
          <w:color w:val="auto"/>
        </w:rPr>
        <w:t>”), which will be paid at or around the time that annual bonuses are paid to other executive-level employees of the Company on or before March 15, 2020; and</w:t>
      </w:r>
    </w:p>
    <w:p>
      <w:pPr>
        <w:spacing w:after="0" w:line="188" w:lineRule="exact"/>
        <w:rPr>
          <w:rFonts w:ascii="Arial" w:cs="Arial" w:eastAsia="Arial" w:hAnsi="Arial"/>
          <w:sz w:val="17"/>
          <w:szCs w:val="17"/>
          <w:color w:val="auto"/>
        </w:rPr>
      </w:pPr>
    </w:p>
    <w:p>
      <w:pPr>
        <w:ind w:left="1440" w:right="599" w:hanging="641"/>
        <w:spacing w:after="0" w:line="249" w:lineRule="auto"/>
        <w:tabs>
          <w:tab w:leader="none" w:pos="145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twelve (12) months of accelerated vesting on any time-based unvested equity award(s) as of the Separation Date; for the avoidance of doubt, vesting will not be accelerated on any performance-based or partially performance-based equity awards and the exercisability of any vested equity awards shall continue to be governed by the applicable equity award agreements and plan(s).</w:t>
      </w:r>
    </w:p>
    <w:p>
      <w:pPr>
        <w:spacing w:after="0" w:line="114" w:lineRule="exact"/>
        <w:rPr>
          <w:sz w:val="20"/>
          <w:szCs w:val="20"/>
          <w:color w:val="auto"/>
        </w:rPr>
      </w:pPr>
    </w:p>
    <w:p>
      <w:pPr>
        <w:ind w:left="1480" w:hanging="681"/>
        <w:spacing w:after="0"/>
        <w:tabs>
          <w:tab w:leader="none" w:pos="14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Acknowledgments.</w:t>
      </w:r>
      <w:r>
        <w:rPr>
          <w:rFonts w:ascii="Arial" w:cs="Arial" w:eastAsia="Arial" w:hAnsi="Arial"/>
          <w:sz w:val="18"/>
          <w:szCs w:val="18"/>
          <w:color w:val="auto"/>
        </w:rPr>
        <w:t xml:space="preserve"> You acknowledge and agree that:</w:t>
      </w:r>
    </w:p>
    <w:p>
      <w:pPr>
        <w:spacing w:after="0" w:line="144" w:lineRule="exact"/>
        <w:rPr>
          <w:sz w:val="20"/>
          <w:szCs w:val="20"/>
          <w:color w:val="auto"/>
        </w:rPr>
      </w:pPr>
    </w:p>
    <w:p>
      <w:pPr>
        <w:ind w:left="1440" w:right="219" w:hanging="641"/>
        <w:spacing w:after="0" w:line="235" w:lineRule="auto"/>
        <w:tabs>
          <w:tab w:leader="none" w:pos="145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this Agreement and the Consideration are neither intended to nor shall constitute a severance plan and shall confer no benefit on anyone other than Kiniksa and you;</w:t>
      </w:r>
    </w:p>
    <w:p>
      <w:pPr>
        <w:spacing w:after="0" w:line="121" w:lineRule="exact"/>
        <w:rPr>
          <w:rFonts w:ascii="Arial" w:cs="Arial" w:eastAsia="Arial" w:hAnsi="Arial"/>
          <w:sz w:val="18"/>
          <w:szCs w:val="18"/>
          <w:color w:val="auto"/>
        </w:rPr>
      </w:pPr>
    </w:p>
    <w:p>
      <w:pPr>
        <w:ind w:left="1440" w:right="459" w:hanging="641"/>
        <w:spacing w:after="0" w:line="235" w:lineRule="auto"/>
        <w:tabs>
          <w:tab w:leader="none" w:pos="146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Consideration provided for herein is not otherwise due or owing to you under any employment agreement (oral or written); and</w:t>
      </w:r>
    </w:p>
    <w:p>
      <w:pPr>
        <w:spacing w:after="0" w:line="121" w:lineRule="exact"/>
        <w:rPr>
          <w:rFonts w:ascii="Arial" w:cs="Arial" w:eastAsia="Arial" w:hAnsi="Arial"/>
          <w:sz w:val="18"/>
          <w:szCs w:val="18"/>
          <w:color w:val="auto"/>
        </w:rPr>
      </w:pPr>
    </w:p>
    <w:p>
      <w:pPr>
        <w:ind w:left="1440" w:right="259" w:hanging="641"/>
        <w:spacing w:after="0" w:line="225" w:lineRule="auto"/>
        <w:tabs>
          <w:tab w:leader="none" w:pos="146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except for (a) any unpaid regular wages (including accrued but unused vacation time) earned through (and including) the Separation Date, which shall be paid by the Company as set forth in this Agreement and (b) any vested monies due to you pursuant to any retirement programs in which you participate, you have been paid and provided all wages, vacation pay, holiday pay, earned paid sick time, bonuses, commissions and any other form of compensation or benefit that may be due to you now or which would have become due in the future in connection with your employment with or separation of employment from Kiniksa.</w:t>
      </w:r>
    </w:p>
    <w:p>
      <w:pPr>
        <w:spacing w:after="0" w:line="106" w:lineRule="exact"/>
        <w:rPr>
          <w:sz w:val="20"/>
          <w:szCs w:val="20"/>
          <w:color w:val="auto"/>
        </w:rPr>
      </w:pPr>
    </w:p>
    <w:p>
      <w:pPr>
        <w:ind w:left="1480" w:hanging="681"/>
        <w:spacing w:after="0"/>
        <w:tabs>
          <w:tab w:leader="none" w:pos="148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Unemployment Insurance</w:t>
      </w:r>
      <w:r>
        <w:rPr>
          <w:rFonts w:ascii="Arial" w:cs="Arial" w:eastAsia="Arial" w:hAnsi="Arial"/>
          <w:sz w:val="18"/>
          <w:szCs w:val="18"/>
          <w:color w:val="auto"/>
        </w:rPr>
        <w:t>. After the Separation Date, you may seek unemployment</w:t>
      </w:r>
    </w:p>
    <w:p>
      <w:pPr>
        <w:ind w:left="160" w:right="639"/>
        <w:spacing w:after="0" w:line="226" w:lineRule="auto"/>
        <w:rPr>
          <w:sz w:val="20"/>
          <w:szCs w:val="20"/>
          <w:color w:val="auto"/>
        </w:rPr>
      </w:pPr>
      <w:r>
        <w:rPr>
          <w:rFonts w:ascii="Arial" w:cs="Arial" w:eastAsia="Arial" w:hAnsi="Arial"/>
          <w:sz w:val="18"/>
          <w:szCs w:val="18"/>
          <w:color w:val="auto"/>
        </w:rPr>
        <w:t>benefits. Decisions regarding eligibility for and amounts of unemployment benefits are made by the relevant state agency, not by Kiniksa.</w:t>
      </w:r>
    </w:p>
    <w:p>
      <w:pPr>
        <w:spacing w:after="0" w:line="121" w:lineRule="exact"/>
        <w:rPr>
          <w:sz w:val="20"/>
          <w:szCs w:val="20"/>
          <w:color w:val="auto"/>
        </w:rPr>
      </w:pPr>
    </w:p>
    <w:p>
      <w:pPr>
        <w:ind w:left="1480" w:hanging="681"/>
        <w:spacing w:after="0"/>
        <w:tabs>
          <w:tab w:leader="none" w:pos="148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Return of Company Property; Confidentiality; Trade Secrets; Non-Disparagement</w:t>
      </w:r>
      <w:r>
        <w:rPr>
          <w:rFonts w:ascii="Arial" w:cs="Arial" w:eastAsia="Arial" w:hAnsi="Arial"/>
          <w:sz w:val="16"/>
          <w:szCs w:val="16"/>
          <w:color w:val="auto"/>
        </w:rPr>
        <w:t>. You hereby agree</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w:t>
      </w:r>
    </w:p>
    <w:p>
      <w:pPr>
        <w:spacing w:after="0" w:line="128" w:lineRule="exact"/>
        <w:rPr>
          <w:sz w:val="20"/>
          <w:szCs w:val="20"/>
          <w:color w:val="auto"/>
        </w:rPr>
      </w:pPr>
    </w:p>
    <w:p>
      <w:pPr>
        <w:ind w:left="1440" w:right="399" w:hanging="641"/>
        <w:spacing w:after="0" w:line="235" w:lineRule="auto"/>
        <w:tabs>
          <w:tab w:leader="none" w:pos="145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promptly return to Kiniksa all property and documents (whether in hard copy or electronic form) of Kiniksa in your custody and possession on or before the Separation Date;</w:t>
      </w:r>
    </w:p>
    <w:p>
      <w:pPr>
        <w:spacing w:after="0" w:line="121" w:lineRule="exact"/>
        <w:rPr>
          <w:rFonts w:ascii="Arial" w:cs="Arial" w:eastAsia="Arial" w:hAnsi="Arial"/>
          <w:sz w:val="18"/>
          <w:szCs w:val="18"/>
          <w:color w:val="auto"/>
        </w:rPr>
      </w:pPr>
    </w:p>
    <w:p>
      <w:pPr>
        <w:ind w:left="1440" w:right="199" w:hanging="641"/>
        <w:spacing w:after="0" w:line="258" w:lineRule="auto"/>
        <w:tabs>
          <w:tab w:leader="none" w:pos="1462"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abide by the terms of your </w:t>
      </w:r>
      <w:r>
        <w:rPr>
          <w:rFonts w:ascii="Arial" w:cs="Arial" w:eastAsia="Arial" w:hAnsi="Arial"/>
          <w:sz w:val="17"/>
          <w:szCs w:val="17"/>
          <w:i w:val="1"/>
          <w:iCs w:val="1"/>
          <w:color w:val="auto"/>
        </w:rPr>
        <w:t>Founder Invention and Non-Disclosure Agreement</w:t>
      </w:r>
      <w:r>
        <w:rPr>
          <w:rFonts w:ascii="Arial" w:cs="Arial" w:eastAsia="Arial" w:hAnsi="Arial"/>
          <w:sz w:val="17"/>
          <w:szCs w:val="17"/>
          <w:color w:val="auto"/>
        </w:rPr>
        <w:t xml:space="preserve"> and your </w:t>
      </w:r>
      <w:r>
        <w:rPr>
          <w:rFonts w:ascii="Arial" w:cs="Arial" w:eastAsia="Arial" w:hAnsi="Arial"/>
          <w:sz w:val="17"/>
          <w:szCs w:val="17"/>
          <w:i w:val="1"/>
          <w:iCs w:val="1"/>
          <w:color w:val="auto"/>
        </w:rPr>
        <w:t xml:space="preserve">Founder Non-Competition and Non-Solicitation Agreement </w:t>
      </w:r>
      <w:r>
        <w:rPr>
          <w:rFonts w:ascii="Arial" w:cs="Arial" w:eastAsia="Arial" w:hAnsi="Arial"/>
          <w:sz w:val="17"/>
          <w:szCs w:val="17"/>
          <w:color w:val="auto"/>
        </w:rPr>
        <w:t>with the Company, both of which are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316865</wp:posOffset>
            </wp:positionV>
            <wp:extent cx="554863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381" w:right="1440" w:bottom="1440" w:gutter="0" w:footer="0" w:header="0"/>
        </w:sectPr>
      </w:pPr>
    </w:p>
    <w:bookmarkStart w:id="186" w:name="page187"/>
    <w:bookmarkEnd w:id="186"/>
    <w:p>
      <w:pPr>
        <w:ind w:left="1440" w:right="199"/>
        <w:spacing w:after="0" w:line="22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3287395</wp:posOffset>
            </wp:positionH>
            <wp:positionV relativeFrom="page">
              <wp:posOffset>88900</wp:posOffset>
            </wp:positionV>
            <wp:extent cx="986155" cy="7118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986155" cy="711835"/>
                    </a:xfrm>
                    <a:prstGeom prst="rect">
                      <a:avLst/>
                    </a:prstGeom>
                    <a:noFill/>
                  </pic:spPr>
                </pic:pic>
              </a:graphicData>
            </a:graphic>
          </wp:anchor>
        </w:drawing>
        <w:t>September 18, 2015 (the “</w:t>
      </w:r>
      <w:r>
        <w:rPr>
          <w:rFonts w:ascii="Arial" w:cs="Arial" w:eastAsia="Arial" w:hAnsi="Arial"/>
          <w:sz w:val="17"/>
          <w:szCs w:val="17"/>
          <w:i w:val="1"/>
          <w:iCs w:val="1"/>
          <w:color w:val="auto"/>
        </w:rPr>
        <w:t>Restrictive Covenant Agreements</w:t>
      </w:r>
      <w:r>
        <w:rPr>
          <w:rFonts w:ascii="Arial" w:cs="Arial" w:eastAsia="Arial" w:hAnsi="Arial"/>
          <w:sz w:val="17"/>
          <w:szCs w:val="17"/>
          <w:color w:val="auto"/>
        </w:rPr>
        <w:t xml:space="preserve">”), copies of which are attached hereto as </w:t>
      </w:r>
      <w:r>
        <w:rPr>
          <w:rFonts w:ascii="Arial" w:cs="Arial" w:eastAsia="Arial" w:hAnsi="Arial"/>
          <w:sz w:val="17"/>
          <w:szCs w:val="17"/>
          <w:b w:val="1"/>
          <w:bCs w:val="1"/>
          <w:i w:val="1"/>
          <w:iCs w:val="1"/>
          <w:color w:val="auto"/>
        </w:rPr>
        <w:t xml:space="preserve">Exhibit A </w:t>
      </w:r>
      <w:r>
        <w:rPr>
          <w:rFonts w:ascii="Arial" w:cs="Arial" w:eastAsia="Arial" w:hAnsi="Arial"/>
          <w:sz w:val="17"/>
          <w:szCs w:val="17"/>
          <w:color w:val="auto"/>
        </w:rPr>
        <w:t>(and the terms of which are hereby incorporated into this Agreement by reference). You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understand that nothing in this Agreement prohibits you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You understand that you do not need the prior authorization of the Company to make any such reports or disclosures and that you are not required to notify the Company that you have made such reports or disclosures;</w:t>
      </w:r>
    </w:p>
    <w:p>
      <w:pPr>
        <w:spacing w:after="0" w:line="121" w:lineRule="exact"/>
        <w:rPr>
          <w:sz w:val="20"/>
          <w:szCs w:val="20"/>
          <w:color w:val="auto"/>
        </w:rPr>
      </w:pPr>
    </w:p>
    <w:p>
      <w:pPr>
        <w:ind w:left="1440" w:right="159" w:hanging="641"/>
        <w:spacing w:after="0" w:line="233" w:lineRule="auto"/>
        <w:tabs>
          <w:tab w:leader="none" w:pos="146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abide by any applicable common law and/or statutory obligations relating to the protection and non-disclosure of Kiniksa’s trade secrets and/or confidential and proprietary documents and information, and you specifically agree that you will not disclose any confidential or proprietary information that you acquired as an employee of Kiniksa to any other person or entity, or use such information in any manner that is detrimental to the interests of Kiniksa; Further, notwithstanding your confidentiality and nondisclosure obligations, you are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29" w:lineRule="exact"/>
        <w:rPr>
          <w:rFonts w:ascii="Arial" w:cs="Arial" w:eastAsia="Arial" w:hAnsi="Arial"/>
          <w:sz w:val="16"/>
          <w:szCs w:val="16"/>
          <w:color w:val="auto"/>
        </w:rPr>
      </w:pPr>
    </w:p>
    <w:p>
      <w:pPr>
        <w:ind w:left="1440" w:right="239" w:hanging="641"/>
        <w:spacing w:after="0" w:line="216" w:lineRule="auto"/>
        <w:tabs>
          <w:tab w:leader="none" w:pos="145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keep confidential and not publicize or disclose the existence and terms of this Agreement, other than to (a) an immediate family member, legal counsel, accountant or financial advisor, provided that any such individual to whom disclosure is made shall be bound by these confidentiality obligations; or (b) a state or federal tax authority or government agency to which disclosure is mandated by applicable state or federal law; and</w:t>
      </w:r>
    </w:p>
    <w:p>
      <w:pPr>
        <w:spacing w:after="0" w:line="121" w:lineRule="exact"/>
        <w:rPr>
          <w:rFonts w:ascii="Arial" w:cs="Arial" w:eastAsia="Arial" w:hAnsi="Arial"/>
          <w:sz w:val="18"/>
          <w:szCs w:val="18"/>
          <w:color w:val="auto"/>
        </w:rPr>
      </w:pPr>
    </w:p>
    <w:p>
      <w:pPr>
        <w:ind w:left="1440" w:right="179" w:hanging="641"/>
        <w:spacing w:after="0" w:line="225" w:lineRule="auto"/>
        <w:tabs>
          <w:tab w:leader="none" w:pos="145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not make any statements that are disparaging about or adverse to the business interests of Kiniksa or which are intended to harm the reputation of Kiniksa, including, but not limited to, any statements that disparage any product, service, finances, employees, officers, capability or any other aspect of the business of Kiniksa. Kiniksa hereby agrees to instruct anyone in the role of Chief Executive Officer, Executive Vice President, or Senior Vice President as of the Effective Date not to make any statements that are disparaging about or adverse to you, including, but not limited to, any statements that disparage your capability or performance with the Company.</w:t>
      </w:r>
    </w:p>
    <w:p>
      <w:pPr>
        <w:spacing w:after="0" w:line="122" w:lineRule="exact"/>
        <w:rPr>
          <w:sz w:val="20"/>
          <w:szCs w:val="20"/>
          <w:color w:val="auto"/>
        </w:rPr>
      </w:pPr>
    </w:p>
    <w:p>
      <w:pPr>
        <w:ind w:left="1480" w:hanging="681"/>
        <w:spacing w:after="0"/>
        <w:tabs>
          <w:tab w:leader="none" w:pos="14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w:t>
      </w:r>
    </w:p>
    <w:p>
      <w:pPr>
        <w:spacing w:after="0" w:line="144" w:lineRule="exact"/>
        <w:rPr>
          <w:sz w:val="20"/>
          <w:szCs w:val="20"/>
          <w:color w:val="auto"/>
        </w:rPr>
      </w:pPr>
    </w:p>
    <w:p>
      <w:pPr>
        <w:ind w:left="1440" w:right="139" w:hanging="641"/>
        <w:spacing w:after="0" w:line="221" w:lineRule="auto"/>
        <w:tabs>
          <w:tab w:leader="none" w:pos="145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You hereby acknowledge and agree that by signing this Agreement and accepting the Consideration, you are waiving your right to assert any form of legal claim against Kiniksa (as defined in footnote number 1 to this Agreement) of any kind whatsoever from the beginning of time through and including the date on which you sign this Agreement, except for claims related to the Company’s failure to perform its obligations under this Agreement. Your waiver and release is intended to bar any form of legal claim, charge, complaint or any other form of action (jointly referred to as “</w:t>
      </w:r>
      <w:r>
        <w:rPr>
          <w:rFonts w:ascii="Arial" w:cs="Arial" w:eastAsia="Arial" w:hAnsi="Arial"/>
          <w:sz w:val="17"/>
          <w:szCs w:val="17"/>
          <w:i w:val="1"/>
          <w:iCs w:val="1"/>
          <w:color w:val="auto"/>
        </w:rPr>
        <w:t>Claims</w:t>
      </w:r>
      <w:r>
        <w:rPr>
          <w:rFonts w:ascii="Arial" w:cs="Arial" w:eastAsia="Arial" w:hAnsi="Arial"/>
          <w:sz w:val="17"/>
          <w:szCs w:val="17"/>
          <w:color w:val="auto"/>
        </w:rPr>
        <w:t>”) against Kiniksa seeking any form of relief including, without limitation, equitable relief (whether declaratory, injunctive or otherwise), the recovery of any damages or any other form of monetary recovery whatsoever (including, without limitation, back pay, front pay, compensatory damages, emotional distress damages, punitive damages, attorneys’ fees and any other costs) against Kiniksa up through and including the date on which you sign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329565</wp:posOffset>
            </wp:positionV>
            <wp:extent cx="554863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381" w:right="1440" w:bottom="1440" w:gutter="0" w:footer="0" w:header="0"/>
        </w:sectPr>
      </w:pPr>
    </w:p>
    <w:bookmarkStart w:id="187" w:name="page188"/>
    <w:bookmarkEnd w:id="187"/>
    <w:p>
      <w:pPr>
        <w:ind w:left="1440" w:right="219"/>
        <w:spacing w:after="0" w:line="22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3287395</wp:posOffset>
            </wp:positionH>
            <wp:positionV relativeFrom="page">
              <wp:posOffset>88900</wp:posOffset>
            </wp:positionV>
            <wp:extent cx="986155" cy="7118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986155" cy="711835"/>
                    </a:xfrm>
                    <a:prstGeom prst="rect">
                      <a:avLst/>
                    </a:prstGeom>
                    <a:noFill/>
                  </pic:spPr>
                </pic:pic>
              </a:graphicData>
            </a:graphic>
          </wp:anchor>
        </w:drawing>
        <w:t>Agreement. You understand that there could be unknown or unanticipated Claims resulting from your employment with Kiniksa and the termination thereof and agree that such Claims are intended to be, and are, included in this waiver and release.</w:t>
      </w:r>
    </w:p>
    <w:p>
      <w:pPr>
        <w:spacing w:after="0" w:line="123" w:lineRule="exact"/>
        <w:rPr>
          <w:sz w:val="20"/>
          <w:szCs w:val="20"/>
          <w:color w:val="auto"/>
        </w:rPr>
      </w:pPr>
    </w:p>
    <w:p>
      <w:pPr>
        <w:ind w:left="1440" w:right="179" w:hanging="641"/>
        <w:spacing w:after="0" w:line="224" w:lineRule="auto"/>
        <w:tabs>
          <w:tab w:leader="none" w:pos="145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Without limiting the foregoing general waiver and release, you specifically waive and release the Company from any Claims arising from or related to your employment relationship with the Company or the termination thereof, including without limitation:</w:t>
      </w:r>
    </w:p>
    <w:p>
      <w:pPr>
        <w:spacing w:after="0" w:line="122" w:lineRule="exact"/>
        <w:rPr>
          <w:rFonts w:ascii="Arial" w:cs="Arial" w:eastAsia="Arial" w:hAnsi="Arial"/>
          <w:sz w:val="18"/>
          <w:szCs w:val="18"/>
          <w:color w:val="auto"/>
        </w:rPr>
      </w:pPr>
    </w:p>
    <w:p>
      <w:pPr>
        <w:ind w:left="1440" w:right="139" w:firstLine="7"/>
        <w:spacing w:after="0" w:line="216" w:lineRule="auto"/>
        <w:tabs>
          <w:tab w:leader="none" w:pos="209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Claims under any local, state or federal discrimination, harassment, fair employment practices or other employment related statute, regulation or executive order, including, without limitation, the Massachusetts Fair Employment Practices Act (also known as Chapter 151B), the Age Discrimination in Employment Act (“ADEA”) and Title VII of the Civil Rights Act of 1964, each as they may have been amended through the Effective Date;</w:t>
      </w:r>
    </w:p>
    <w:p>
      <w:pPr>
        <w:spacing w:after="0" w:line="121" w:lineRule="exact"/>
        <w:rPr>
          <w:rFonts w:ascii="Arial" w:cs="Arial" w:eastAsia="Arial" w:hAnsi="Arial"/>
          <w:sz w:val="18"/>
          <w:szCs w:val="18"/>
          <w:color w:val="auto"/>
        </w:rPr>
      </w:pPr>
    </w:p>
    <w:p>
      <w:pPr>
        <w:ind w:left="1440" w:right="179" w:firstLine="7"/>
        <w:spacing w:after="0" w:line="236" w:lineRule="auto"/>
        <w:tabs>
          <w:tab w:leader="none" w:pos="21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Claims under any local, state or federal employment related statute, regulation or executive order relating to wages, hours, whistleblowing, leaves of absence or any other terms and conditions of employment, including, without limitation, the Family and Medical Leave Act of 1993, the Worker Adjustment and Retraining Notification (WARN) Act, the Massachusetts Payment of Wages Law (Massachusetts General Laws Chapter 149, §§ 148, 150), Massachusetts General Laws Chapter 149 in its entirety and Massachusetts General Laws Chapter 151 in its entirety (including, without limitation, the sections concerning payment of wages, minimum wage and overtime), each as they may have been amended through the Effective Date. You specifically acknowledge that you are waiving any Claims for unpaid wages under these and other statutes, regulations and executive orders;</w:t>
      </w:r>
    </w:p>
    <w:p>
      <w:pPr>
        <w:spacing w:after="0" w:line="127" w:lineRule="exact"/>
        <w:rPr>
          <w:rFonts w:ascii="Arial" w:cs="Arial" w:eastAsia="Arial" w:hAnsi="Arial"/>
          <w:sz w:val="16"/>
          <w:szCs w:val="16"/>
          <w:color w:val="auto"/>
        </w:rPr>
      </w:pPr>
    </w:p>
    <w:p>
      <w:pPr>
        <w:ind w:left="2100" w:hanging="653"/>
        <w:spacing w:after="0"/>
        <w:tabs>
          <w:tab w:leader="none" w:pos="21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Claims under any local, state or federal common law theory; and</w:t>
      </w:r>
    </w:p>
    <w:p>
      <w:pPr>
        <w:spacing w:after="0" w:line="144" w:lineRule="exact"/>
        <w:rPr>
          <w:rFonts w:ascii="Arial" w:cs="Arial" w:eastAsia="Arial" w:hAnsi="Arial"/>
          <w:sz w:val="18"/>
          <w:szCs w:val="18"/>
          <w:color w:val="auto"/>
        </w:rPr>
      </w:pPr>
    </w:p>
    <w:p>
      <w:pPr>
        <w:ind w:left="2100" w:hanging="653"/>
        <w:spacing w:after="0"/>
        <w:tabs>
          <w:tab w:leader="none" w:pos="21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other Claim arising under other local, state or federal law.</w:t>
      </w:r>
    </w:p>
    <w:p>
      <w:pPr>
        <w:spacing w:after="0" w:line="144" w:lineRule="exact"/>
        <w:rPr>
          <w:sz w:val="20"/>
          <w:szCs w:val="20"/>
          <w:color w:val="auto"/>
        </w:rPr>
      </w:pPr>
    </w:p>
    <w:p>
      <w:pPr>
        <w:ind w:left="1440" w:right="159" w:hanging="641"/>
        <w:spacing w:after="0" w:line="222" w:lineRule="auto"/>
        <w:tabs>
          <w:tab w:leader="none" w:pos="146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Because you are over 40 years of age, you are granted specific rights under the Older Workers Benefit Protection Act (“</w:t>
      </w:r>
      <w:r>
        <w:rPr>
          <w:rFonts w:ascii="Arial" w:cs="Arial" w:eastAsia="Arial" w:hAnsi="Arial"/>
          <w:sz w:val="17"/>
          <w:szCs w:val="17"/>
          <w:i w:val="1"/>
          <w:iCs w:val="1"/>
          <w:color w:val="auto"/>
        </w:rPr>
        <w:t>OWBPA</w:t>
      </w:r>
      <w:r>
        <w:rPr>
          <w:rFonts w:ascii="Arial" w:cs="Arial" w:eastAsia="Arial" w:hAnsi="Arial"/>
          <w:sz w:val="17"/>
          <w:szCs w:val="17"/>
          <w:color w:val="auto"/>
        </w:rPr>
        <w:t>”), which prohibits discrimination on the basis of age. The release set forth in this Section 6 is intended to release any rights you may have against Kiniksa alleging discrimination on the basis of age. You have twenty-one (21) days to consider and accept the provisions of this Agreement, and you agree that any changes to this Agreement, whether material or immaterial, will not restart the running of this period. In addition, you may rescind your assent to this Agreement if, within seven (7) days after the date you sign this Agreement, you deliver a written notice of rescission. To be effective, such notice of rescission must be postmarked, and sent by certified mail, return receipt requested, or delivered within the seven-day period to Kiniksa Pharmaceuticals Corp., 100 Hayden Avenue, Lexington, MA 02421, Attn: Chief Legal Officer.</w:t>
      </w:r>
    </w:p>
    <w:p>
      <w:pPr>
        <w:spacing w:after="0" w:line="123" w:lineRule="exact"/>
        <w:rPr>
          <w:rFonts w:ascii="Arial" w:cs="Arial" w:eastAsia="Arial" w:hAnsi="Arial"/>
          <w:sz w:val="17"/>
          <w:szCs w:val="17"/>
          <w:color w:val="auto"/>
        </w:rPr>
      </w:pPr>
    </w:p>
    <w:p>
      <w:pPr>
        <w:ind w:left="1440" w:right="239" w:hanging="641"/>
        <w:spacing w:after="0" w:line="235" w:lineRule="auto"/>
        <w:tabs>
          <w:tab w:leader="none" w:pos="145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Consistent with federal and state discrimination laws, nothing in this release shall be deemed to prohibit you from challenging the validity of this release under federal or state discrimination laws or from filing a charge or complaint of age or other employment related discrimination with the Equal Employment Opportunity Commission (“</w:t>
      </w:r>
      <w:r>
        <w:rPr>
          <w:rFonts w:ascii="Arial" w:cs="Arial" w:eastAsia="Arial" w:hAnsi="Arial"/>
          <w:sz w:val="16"/>
          <w:szCs w:val="16"/>
          <w:i w:val="1"/>
          <w:iCs w:val="1"/>
          <w:color w:val="auto"/>
        </w:rPr>
        <w:t>EEOC</w:t>
      </w:r>
      <w:r>
        <w:rPr>
          <w:rFonts w:ascii="Arial" w:cs="Arial" w:eastAsia="Arial" w:hAnsi="Arial"/>
          <w:sz w:val="16"/>
          <w:szCs w:val="16"/>
          <w:color w:val="auto"/>
        </w:rPr>
        <w:t>”) or similar state agency, or from participating in any investigation or proceeding conducted by the EEOC or similar state agency. Further, nothing in this release or Agreement shall be deemed to limit the Company’s right to seek immediate dismissal of such charge or complaint on the basis that your signing of this Agreement constitutes a full release of any individual rights under federal or state discrimination laws, or the Company’s right to seek restitution or other legal remedies to the extent permitted by law of the economic benefits provided to you under this Agreement in the event that you successfully challenge the validity of this release and prevail in any claim under federal or state discrimination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328930</wp:posOffset>
            </wp:positionV>
            <wp:extent cx="554863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381" w:right="1440" w:bottom="1440" w:gutter="0" w:footer="0" w:header="0"/>
        </w:sectPr>
      </w:pPr>
    </w:p>
    <w:bookmarkStart w:id="188" w:name="page189"/>
    <w:bookmarkEnd w:id="188"/>
    <w:p>
      <w:pPr>
        <w:ind w:left="1440" w:right="219" w:hanging="641"/>
        <w:spacing w:after="0" w:line="289" w:lineRule="auto"/>
        <w:tabs>
          <w:tab w:leader="none" w:pos="1448" w:val="left"/>
        </w:tabs>
        <w:numPr>
          <w:ilvl w:val="0"/>
          <w:numId w:val="1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3287395</wp:posOffset>
            </wp:positionH>
            <wp:positionV relativeFrom="page">
              <wp:posOffset>88900</wp:posOffset>
            </wp:positionV>
            <wp:extent cx="986155" cy="7118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986155" cy="711835"/>
                    </a:xfrm>
                    <a:prstGeom prst="rect">
                      <a:avLst/>
                    </a:prstGeom>
                    <a:noFill/>
                  </pic:spPr>
                </pic:pic>
              </a:graphicData>
            </a:graphic>
          </wp:anchor>
        </w:drawing>
        <w:t>The general release in this Paragraph 6 shall not limit any right you may have to receive a whistleblower award or bounty for information provided to the Securities and Exchange Commission.</w:t>
      </w:r>
    </w:p>
    <w:p>
      <w:pPr>
        <w:spacing w:after="0" w:line="83" w:lineRule="exact"/>
        <w:rPr>
          <w:rFonts w:ascii="Arial" w:cs="Arial" w:eastAsia="Arial" w:hAnsi="Arial"/>
          <w:sz w:val="16"/>
          <w:szCs w:val="16"/>
          <w:color w:val="auto"/>
        </w:rPr>
      </w:pPr>
    </w:p>
    <w:p>
      <w:pPr>
        <w:ind w:left="1440" w:right="679" w:hanging="641"/>
        <w:spacing w:after="0" w:line="235" w:lineRule="auto"/>
        <w:tabs>
          <w:tab w:leader="none" w:pos="145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general release in this Paragraph 6 is not affected or limited by the recitation of the specific releases in this Paragraph 6.</w:t>
      </w:r>
    </w:p>
    <w:p>
      <w:pPr>
        <w:spacing w:after="0" w:line="121" w:lineRule="exact"/>
        <w:rPr>
          <w:sz w:val="20"/>
          <w:szCs w:val="20"/>
          <w:color w:val="auto"/>
        </w:rPr>
      </w:pPr>
    </w:p>
    <w:p>
      <w:pPr>
        <w:ind w:left="1480" w:hanging="681"/>
        <w:spacing w:after="0"/>
        <w:tabs>
          <w:tab w:leader="none" w:pos="14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w:t>
      </w:r>
    </w:p>
    <w:p>
      <w:pPr>
        <w:spacing w:after="0" w:line="144" w:lineRule="exact"/>
        <w:rPr>
          <w:sz w:val="20"/>
          <w:szCs w:val="20"/>
          <w:color w:val="auto"/>
        </w:rPr>
      </w:pPr>
    </w:p>
    <w:p>
      <w:pPr>
        <w:ind w:left="1440" w:right="179" w:hanging="641"/>
        <w:spacing w:after="0" w:line="225" w:lineRule="auto"/>
        <w:tabs>
          <w:tab w:leader="none" w:pos="145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For a period of twelve (12) months after the Separation Date (the “</w:t>
      </w:r>
      <w:r>
        <w:rPr>
          <w:rFonts w:ascii="Arial" w:cs="Arial" w:eastAsia="Arial" w:hAnsi="Arial"/>
          <w:sz w:val="17"/>
          <w:szCs w:val="17"/>
          <w:i w:val="1"/>
          <w:iCs w:val="1"/>
          <w:color w:val="auto"/>
        </w:rPr>
        <w:t>Cooperation Period</w:t>
      </w:r>
      <w:r>
        <w:rPr>
          <w:rFonts w:ascii="Arial" w:cs="Arial" w:eastAsia="Arial" w:hAnsi="Arial"/>
          <w:sz w:val="17"/>
          <w:szCs w:val="17"/>
          <w:color w:val="auto"/>
        </w:rPr>
        <w:t>”), you agree to make yourself available to the Company, upon reasonable notice (either by telephone or, if the Company believes necessary, in person) to assist the Company in any matter relating to the services performed by you during your employment with the Company including, but not limited to, transitioning your duties to others. The Company will reimburse you for any reasonable, out-of-pocket expenses that you may incur in providing such assistance, so long as you first obtain written pre-approval from the Company’s Chief Legal Officer.</w:t>
      </w:r>
    </w:p>
    <w:p>
      <w:pPr>
        <w:spacing w:after="0" w:line="121" w:lineRule="exact"/>
        <w:rPr>
          <w:rFonts w:ascii="Arial" w:cs="Arial" w:eastAsia="Arial" w:hAnsi="Arial"/>
          <w:sz w:val="17"/>
          <w:szCs w:val="17"/>
          <w:color w:val="auto"/>
        </w:rPr>
      </w:pPr>
    </w:p>
    <w:p>
      <w:pPr>
        <w:ind w:left="1440" w:right="139" w:hanging="641"/>
        <w:spacing w:after="0" w:line="220" w:lineRule="auto"/>
        <w:tabs>
          <w:tab w:leader="none" w:pos="1462" w:val="left"/>
        </w:tabs>
        <w:numPr>
          <w:ilvl w:val="0"/>
          <w:numId w:val="118"/>
        </w:numPr>
        <w:rPr>
          <w:rFonts w:ascii="Arial" w:cs="Arial" w:eastAsia="Arial" w:hAnsi="Arial"/>
          <w:sz w:val="17"/>
          <w:szCs w:val="17"/>
          <w:color w:val="auto"/>
        </w:rPr>
      </w:pPr>
      <w:r>
        <w:rPr>
          <w:rFonts w:ascii="Arial" w:cs="Arial" w:eastAsia="Arial" w:hAnsi="Arial"/>
          <w:sz w:val="17"/>
          <w:szCs w:val="17"/>
          <w:color w:val="auto"/>
        </w:rPr>
        <w:t>During the Cooperation Period and thereafter, you shall reasonably cooperate with the Company in the defense or prosecution of any claims or actions now in existence or which may be brought in the future against or on behalf of the Company which relate to events or occurrences that transpired while the Company employed you, provided, that you will not have an obligation under this paragraph with respect to any claim that you have filed directly against the Company or related persons or entities. Your reasonable cooperation in connection with such claims or actions shall include, but not be limited to, being available to meet with counsel to prepare for discovery or trial and to act as a witness on behalf of the Company at mutually convenient times. During the Cooperation Period and thereafter, you also shall reasonably cooperate with the Company in connection with any investigation or review of any federal, state or local regulatory authority as any such investigation or review relates to events or occurrences that transpired while you were employed by the Company, provided you will not have any obligation under this paragraph with respect to any claim that you have filed directly against the Company or related persons or entities. The Company shall reimburse you for any reasonable out-of-pocket expenses incurred in connection with your performance of obligations pursuant to this Section 7(ii).</w:t>
      </w:r>
    </w:p>
    <w:p>
      <w:pPr>
        <w:spacing w:after="0" w:line="121" w:lineRule="exact"/>
        <w:rPr>
          <w:sz w:val="20"/>
          <w:szCs w:val="20"/>
          <w:color w:val="auto"/>
        </w:rPr>
      </w:pPr>
    </w:p>
    <w:p>
      <w:pPr>
        <w:jc w:val="both"/>
        <w:ind w:left="160" w:right="219" w:firstLine="639"/>
        <w:spacing w:after="0" w:line="224" w:lineRule="auto"/>
        <w:tabs>
          <w:tab w:leader="none" w:pos="1483"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No Prior Actions</w:t>
      </w:r>
      <w:r>
        <w:rPr>
          <w:rFonts w:ascii="Arial" w:cs="Arial" w:eastAsia="Arial" w:hAnsi="Arial"/>
          <w:sz w:val="18"/>
          <w:szCs w:val="18"/>
          <w:color w:val="auto"/>
        </w:rPr>
        <w:t>. You represent that you have not filed or asserted any cause of action, claim, charge or other action or proceeding against Kiniksa, and to the best of your knowledge, no other person, organization or entity has done so on your behalf.</w:t>
      </w:r>
    </w:p>
    <w:p>
      <w:pPr>
        <w:spacing w:after="0" w:line="122" w:lineRule="exact"/>
        <w:rPr>
          <w:rFonts w:ascii="Arial" w:cs="Arial" w:eastAsia="Arial" w:hAnsi="Arial"/>
          <w:sz w:val="18"/>
          <w:szCs w:val="18"/>
          <w:color w:val="auto"/>
        </w:rPr>
      </w:pPr>
    </w:p>
    <w:p>
      <w:pPr>
        <w:ind w:left="160" w:right="199" w:firstLine="639"/>
        <w:spacing w:after="0" w:line="219" w:lineRule="auto"/>
        <w:tabs>
          <w:tab w:leader="none" w:pos="1483"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Affirmation of Release of Claims</w:t>
      </w:r>
      <w:r>
        <w:rPr>
          <w:rFonts w:ascii="Arial" w:cs="Arial" w:eastAsia="Arial" w:hAnsi="Arial"/>
          <w:sz w:val="18"/>
          <w:szCs w:val="18"/>
          <w:color w:val="auto"/>
        </w:rPr>
        <w:t xml:space="preserve">. On or after the Separation Date, you agree to execute the Affirmation attached as </w:t>
      </w:r>
      <w:r>
        <w:rPr>
          <w:rFonts w:ascii="Arial" w:cs="Arial" w:eastAsia="Arial" w:hAnsi="Arial"/>
          <w:sz w:val="18"/>
          <w:szCs w:val="18"/>
          <w:b w:val="1"/>
          <w:bCs w:val="1"/>
          <w:i w:val="1"/>
          <w:iCs w:val="1"/>
          <w:color w:val="auto"/>
        </w:rPr>
        <w:t>Exhibit B</w:t>
      </w:r>
      <w:r>
        <w:rPr>
          <w:rFonts w:ascii="Arial" w:cs="Arial" w:eastAsia="Arial" w:hAnsi="Arial"/>
          <w:sz w:val="18"/>
          <w:szCs w:val="18"/>
          <w:color w:val="auto"/>
        </w:rPr>
        <w:t>. You also acknowledge and agree that the release of claims in Section 6 shall be fully effective in the event that you fail or refuse to execute the Affirmation, but that the Company shall have no obligation to provide you with the Consideration until you execute the Affirmation.</w:t>
      </w:r>
    </w:p>
    <w:p>
      <w:pPr>
        <w:spacing w:after="0" w:line="122" w:lineRule="exact"/>
        <w:rPr>
          <w:rFonts w:ascii="Arial" w:cs="Arial" w:eastAsia="Arial" w:hAnsi="Arial"/>
          <w:sz w:val="18"/>
          <w:szCs w:val="18"/>
          <w:color w:val="auto"/>
        </w:rPr>
      </w:pPr>
    </w:p>
    <w:p>
      <w:pPr>
        <w:ind w:left="1480" w:hanging="681"/>
        <w:spacing w:after="0"/>
        <w:tabs>
          <w:tab w:leader="none" w:pos="14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44" w:lineRule="exact"/>
        <w:rPr>
          <w:sz w:val="20"/>
          <w:szCs w:val="20"/>
          <w:color w:val="auto"/>
        </w:rPr>
      </w:pPr>
    </w:p>
    <w:p>
      <w:pPr>
        <w:ind w:left="1440" w:right="259" w:hanging="641"/>
        <w:spacing w:after="0" w:line="214" w:lineRule="auto"/>
        <w:tabs>
          <w:tab w:leader="none" w:pos="145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Except for (a) any equity awards or grants, as may be amended herein; (b) the Restrictive Covenants Agreements; and (c) the Indemnification Agreement between you and Kiniksa Pharmaceuticals, Ltd. dated December 6, 2015, all of which shall remain in full force and effect, this Agreement supersedes any and all prior oral and/or written agreements, and sets forth the entire agreement between Kiniksa and you in respect to your separation from Kiniksa including, without limitation, the Employment Agreement.</w:t>
      </w:r>
    </w:p>
    <w:p>
      <w:pPr>
        <w:spacing w:after="0" w:line="121" w:lineRule="exact"/>
        <w:rPr>
          <w:rFonts w:ascii="Arial" w:cs="Arial" w:eastAsia="Arial" w:hAnsi="Arial"/>
          <w:sz w:val="18"/>
          <w:szCs w:val="18"/>
          <w:color w:val="auto"/>
        </w:rPr>
      </w:pPr>
    </w:p>
    <w:p>
      <w:pPr>
        <w:ind w:left="1440" w:right="219" w:hanging="641"/>
        <w:spacing w:after="0" w:line="235" w:lineRule="auto"/>
        <w:tabs>
          <w:tab w:leader="none" w:pos="146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variations or modifications of this Agreement shall be deemed valid unless reduced to writing and signed by Kiniksa and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326390</wp:posOffset>
            </wp:positionV>
            <wp:extent cx="554863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381" w:right="1440" w:bottom="1440" w:gutter="0" w:footer="0" w:header="0"/>
        </w:sectPr>
      </w:pPr>
    </w:p>
    <w:bookmarkStart w:id="189" w:name="page190"/>
    <w:bookmarkEnd w:id="189"/>
    <w:p>
      <w:pPr>
        <w:ind w:left="1440" w:right="179" w:hanging="641"/>
        <w:spacing w:after="0" w:line="235" w:lineRule="auto"/>
        <w:tabs>
          <w:tab w:leader="none" w:pos="1463"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3287395</wp:posOffset>
            </wp:positionH>
            <wp:positionV relativeFrom="page">
              <wp:posOffset>88900</wp:posOffset>
            </wp:positionV>
            <wp:extent cx="986155" cy="7118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986155" cy="711835"/>
                    </a:xfrm>
                    <a:prstGeom prst="rect">
                      <a:avLst/>
                    </a:prstGeom>
                    <a:noFill/>
                  </pic:spPr>
                </pic:pic>
              </a:graphicData>
            </a:graphic>
          </wp:anchor>
        </w:drawing>
        <w:t>The provisions of this Agreement are severable, and if for any reason any part hereof shall be found to be unenforceable, the remaining provisions shall be enforced in full.</w:t>
      </w:r>
    </w:p>
    <w:p>
      <w:pPr>
        <w:spacing w:after="0" w:line="121" w:lineRule="exact"/>
        <w:rPr>
          <w:rFonts w:ascii="Arial" w:cs="Arial" w:eastAsia="Arial" w:hAnsi="Arial"/>
          <w:sz w:val="18"/>
          <w:szCs w:val="18"/>
          <w:color w:val="auto"/>
        </w:rPr>
      </w:pPr>
    </w:p>
    <w:p>
      <w:pPr>
        <w:ind w:left="1440" w:right="239" w:hanging="641"/>
        <w:spacing w:after="0" w:line="225" w:lineRule="auto"/>
        <w:tabs>
          <w:tab w:leader="none" w:pos="145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validity, interpretation and performance of this Agreement, and any and all other matters relating to your employment and separation of employment from Kiniksa, shall be governed by and construed in accordance with the internal laws of the Commonwealth of Massachusetts, without giving effect to conflict of law principles. Both parties agree that any action, demand, claim or counterclaim relating to (a) your employment and separation of your employment, and (b) the terms and provisions of this Agreement or to its breach, shall be commenced only and exclusively in the Commonwealth of Massachusetts in a court of competent jurisdiction.</w:t>
      </w:r>
    </w:p>
    <w:p>
      <w:pPr>
        <w:spacing w:after="0" w:line="121" w:lineRule="exact"/>
        <w:rPr>
          <w:rFonts w:ascii="Arial" w:cs="Arial" w:eastAsia="Arial" w:hAnsi="Arial"/>
          <w:sz w:val="17"/>
          <w:szCs w:val="17"/>
          <w:color w:val="auto"/>
        </w:rPr>
      </w:pPr>
    </w:p>
    <w:p>
      <w:pPr>
        <w:ind w:left="1440" w:right="179" w:hanging="641"/>
        <w:spacing w:after="0" w:line="258" w:lineRule="auto"/>
        <w:tabs>
          <w:tab w:leader="none" w:pos="145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Both parties further agree that any such dispute shall be tried by a judge alone, and both parties hereby waive and forever renounce the right to a trial before a civil jury in any such dispute.</w:t>
      </w:r>
    </w:p>
    <w:p>
      <w:pPr>
        <w:spacing w:after="0" w:line="102" w:lineRule="exact"/>
        <w:rPr>
          <w:sz w:val="20"/>
          <w:szCs w:val="20"/>
          <w:color w:val="auto"/>
        </w:rPr>
      </w:pPr>
    </w:p>
    <w:p>
      <w:pPr>
        <w:ind w:left="160" w:right="319" w:firstLine="648"/>
        <w:spacing w:after="0" w:line="213" w:lineRule="auto"/>
        <w:rPr>
          <w:sz w:val="20"/>
          <w:szCs w:val="20"/>
          <w:color w:val="auto"/>
        </w:rPr>
      </w:pPr>
      <w:r>
        <w:rPr>
          <w:rFonts w:ascii="Arial" w:cs="Arial" w:eastAsia="Arial" w:hAnsi="Arial"/>
          <w:sz w:val="18"/>
          <w:szCs w:val="18"/>
          <w:b w:val="1"/>
          <w:bCs w:val="1"/>
          <w:color w:val="auto"/>
        </w:rPr>
        <w:t>It is Kiniksa’s desire and intent to make certain that you fully understand the provisions and effects of this Agreement. To that end, you have been encouraged and given an opportunity to consult with legal counsel. By executing this Agreement, you are acknowledging that (a) you have been afforded sufficient time to understand the provisions and effects of this Agreement and to consult with legal counsel; (b) your agreements and obligations under this Agreement are made voluntarily, knowingly and without duress; and (c) neither Kiniksa nor its agents or representatives have made any representations inconsistent with the provisions of this Agreement.</w:t>
      </w:r>
    </w:p>
    <w:p>
      <w:pPr>
        <w:spacing w:after="0" w:line="123" w:lineRule="exact"/>
        <w:rPr>
          <w:sz w:val="20"/>
          <w:szCs w:val="20"/>
          <w:color w:val="auto"/>
        </w:rPr>
      </w:pPr>
    </w:p>
    <w:p>
      <w:pPr>
        <w:ind w:left="160" w:right="579" w:firstLine="648"/>
        <w:spacing w:after="0" w:line="235" w:lineRule="auto"/>
        <w:rPr>
          <w:sz w:val="20"/>
          <w:szCs w:val="20"/>
          <w:color w:val="auto"/>
        </w:rPr>
      </w:pPr>
      <w:r>
        <w:rPr>
          <w:rFonts w:ascii="Arial" w:cs="Arial" w:eastAsia="Arial" w:hAnsi="Arial"/>
          <w:sz w:val="18"/>
          <w:szCs w:val="18"/>
          <w:color w:val="auto"/>
        </w:rPr>
        <w:t>If the foregoing correctly sets forth our arrangement, please sign, date and return the enclosed copy of this Agreement to me within the time frame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381" w:right="1440" w:bottom="1440" w:gutter="0" w:footer="0" w:header="0"/>
        </w:sectPr>
      </w:pPr>
    </w:p>
    <w:bookmarkStart w:id="190" w:name="page191"/>
    <w:bookmarkEnd w:id="190"/>
    <w:p>
      <w:pPr>
        <w:ind w:left="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3287395</wp:posOffset>
            </wp:positionH>
            <wp:positionV relativeFrom="page">
              <wp:posOffset>88900</wp:posOffset>
            </wp:positionV>
            <wp:extent cx="986155" cy="7118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986155" cy="711835"/>
                    </a:xfrm>
                    <a:prstGeom prst="rect">
                      <a:avLst/>
                    </a:prstGeom>
                    <a:noFill/>
                  </pic:spPr>
                </pic:pic>
              </a:graphicData>
            </a:graphic>
          </wp:anchor>
        </w:drawing>
        <w:t>November 13, 2019</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KINIKSA PHARMACEUTICALS CORP.</w:t>
      </w:r>
    </w:p>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/s/ Thomas Beetham</w:t>
      </w:r>
    </w:p>
    <w:p>
      <w:pPr>
        <w:ind w:left="160"/>
        <w:spacing w:after="0" w:line="203" w:lineRule="auto"/>
        <w:rPr>
          <w:sz w:val="20"/>
          <w:szCs w:val="20"/>
          <w:color w:val="auto"/>
        </w:rPr>
      </w:pPr>
      <w:r>
        <w:rPr>
          <w:rFonts w:ascii="Arial" w:cs="Arial" w:eastAsia="Arial" w:hAnsi="Arial"/>
          <w:sz w:val="18"/>
          <w:szCs w:val="18"/>
          <w:color w:val="auto"/>
        </w:rPr>
        <w:t>Thomas W. Beetham</w:t>
      </w:r>
    </w:p>
    <w:p>
      <w:pPr>
        <w:ind w:left="160"/>
        <w:spacing w:after="0"/>
        <w:rPr>
          <w:sz w:val="20"/>
          <w:szCs w:val="20"/>
          <w:color w:val="auto"/>
        </w:rPr>
      </w:pPr>
      <w:r>
        <w:rPr>
          <w:rFonts w:ascii="Arial" w:cs="Arial" w:eastAsia="Arial" w:hAnsi="Arial"/>
          <w:sz w:val="18"/>
          <w:szCs w:val="18"/>
          <w:color w:val="auto"/>
        </w:rPr>
        <w:t>Executive Vice President</w:t>
      </w:r>
    </w:p>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Accepted and Agreed to Under Seal:</w:t>
      </w:r>
    </w:p>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/s/ Stephen F. Mahoney</w:t>
      </w:r>
    </w:p>
    <w:p>
      <w:pPr>
        <w:ind w:left="160"/>
        <w:spacing w:after="0"/>
        <w:rPr>
          <w:sz w:val="20"/>
          <w:szCs w:val="20"/>
          <w:color w:val="auto"/>
        </w:rPr>
      </w:pPr>
      <w:r>
        <w:rPr>
          <w:rFonts w:ascii="Arial" w:cs="Arial" w:eastAsia="Arial" w:hAnsi="Arial"/>
          <w:sz w:val="18"/>
          <w:szCs w:val="18"/>
          <w:color w:val="auto"/>
        </w:rPr>
        <w:t>Stephen F. Mahoney</w:t>
      </w:r>
    </w:p>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Dated: November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381" w:right="1440" w:bottom="1440" w:gutter="0" w:footer="0" w:header="0"/>
        </w:sectPr>
      </w:pPr>
    </w:p>
    <w:bookmarkStart w:id="191" w:name="page192"/>
    <w:bookmarkEnd w:id="191"/>
    <w:p>
      <w:pPr>
        <w:ind w:left="40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3287395</wp:posOffset>
            </wp:positionH>
            <wp:positionV relativeFrom="page">
              <wp:posOffset>88900</wp:posOffset>
            </wp:positionV>
            <wp:extent cx="986155" cy="7118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986155" cy="711835"/>
                    </a:xfrm>
                    <a:prstGeom prst="rect">
                      <a:avLst/>
                    </a:prstGeom>
                    <a:noFill/>
                  </pic:spPr>
                </pic:pic>
              </a:graphicData>
            </a:graphic>
          </wp:anchor>
        </w:drawing>
        <w:t>EXHIBIT A</w:t>
      </w:r>
    </w:p>
    <w:p>
      <w:pPr>
        <w:spacing w:after="0" w:line="144" w:lineRule="exact"/>
        <w:rPr>
          <w:sz w:val="20"/>
          <w:szCs w:val="20"/>
          <w:color w:val="auto"/>
        </w:rPr>
      </w:pPr>
    </w:p>
    <w:p>
      <w:pPr>
        <w:ind w:left="2680"/>
        <w:spacing w:after="0"/>
        <w:rPr>
          <w:sz w:val="20"/>
          <w:szCs w:val="20"/>
          <w:color w:val="auto"/>
        </w:rPr>
      </w:pPr>
      <w:r>
        <w:rPr>
          <w:rFonts w:ascii="Arial" w:cs="Arial" w:eastAsia="Arial" w:hAnsi="Arial"/>
          <w:sz w:val="17"/>
          <w:szCs w:val="17"/>
          <w:i w:val="1"/>
          <w:iCs w:val="1"/>
          <w:color w:val="auto"/>
        </w:rPr>
        <w:t>Founder Invention and Non-Disclosure Agreement</w:t>
      </w:r>
    </w:p>
    <w:p>
      <w:pPr>
        <w:jc w:val="center"/>
        <w:ind w:right="-20"/>
        <w:spacing w:after="0" w:line="203" w:lineRule="auto"/>
        <w:rPr>
          <w:sz w:val="20"/>
          <w:szCs w:val="20"/>
          <w:color w:val="auto"/>
        </w:rPr>
      </w:pPr>
      <w:r>
        <w:rPr>
          <w:rFonts w:ascii="Arial" w:cs="Arial" w:eastAsia="Arial" w:hAnsi="Arial"/>
          <w:sz w:val="18"/>
          <w:szCs w:val="18"/>
          <w:i w:val="1"/>
          <w:iCs w:val="1"/>
          <w:color w:val="auto"/>
        </w:rPr>
        <w:t>and</w:t>
      </w:r>
    </w:p>
    <w:p>
      <w:pPr>
        <w:jc w:val="center"/>
        <w:ind w:right="-20"/>
        <w:spacing w:after="0"/>
        <w:rPr>
          <w:sz w:val="20"/>
          <w:szCs w:val="20"/>
          <w:color w:val="auto"/>
        </w:rPr>
      </w:pPr>
      <w:r>
        <w:rPr>
          <w:rFonts w:ascii="Arial" w:cs="Arial" w:eastAsia="Arial" w:hAnsi="Arial"/>
          <w:sz w:val="16"/>
          <w:szCs w:val="16"/>
          <w:i w:val="1"/>
          <w:iCs w:val="1"/>
          <w:color w:val="auto"/>
        </w:rPr>
        <w:t>Founder Non-Competition and Non-Solicitation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568325</wp:posOffset>
            </wp:positionV>
            <wp:extent cx="554863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377" w:right="1440" w:bottom="1440" w:gutter="0" w:footer="0" w:header="0"/>
        </w:sectPr>
      </w:pPr>
    </w:p>
    <w:bookmarkStart w:id="192" w:name="page193"/>
    <w:bookmarkEnd w:id="192"/>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3287395</wp:posOffset>
            </wp:positionH>
            <wp:positionV relativeFrom="page">
              <wp:posOffset>88900</wp:posOffset>
            </wp:positionV>
            <wp:extent cx="986155" cy="7118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986155" cy="711835"/>
                    </a:xfrm>
                    <a:prstGeom prst="rect">
                      <a:avLst/>
                    </a:prstGeom>
                    <a:noFill/>
                  </pic:spPr>
                </pic:pic>
              </a:graphicData>
            </a:graphic>
          </wp:anchor>
        </w:drawing>
        <w:t>EXHIBIT B</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AFFIRMATION</w:t>
      </w:r>
    </w:p>
    <w:p>
      <w:pPr>
        <w:spacing w:after="0" w:line="162" w:lineRule="exact"/>
        <w:rPr>
          <w:sz w:val="20"/>
          <w:szCs w:val="20"/>
          <w:color w:val="auto"/>
        </w:rPr>
      </w:pPr>
    </w:p>
    <w:p>
      <w:pPr>
        <w:ind w:left="160" w:right="499"/>
        <w:spacing w:after="0" w:line="216" w:lineRule="auto"/>
        <w:rPr>
          <w:sz w:val="20"/>
          <w:szCs w:val="20"/>
          <w:color w:val="auto"/>
        </w:rPr>
      </w:pPr>
      <w:r>
        <w:rPr>
          <w:rFonts w:ascii="Arial" w:cs="Arial" w:eastAsia="Arial" w:hAnsi="Arial"/>
          <w:sz w:val="18"/>
          <w:szCs w:val="18"/>
          <w:color w:val="auto"/>
        </w:rPr>
        <w:t xml:space="preserve">IN ORDER TO RECEIVE THE CONSIDERATION, YOU MUST SIGN, DATE AND RETURN THIS FORM TO TOM BEETHAM, EVP, CHIEF LEGAL OFFICER AND CORPORATE DEVELOPMENT, KINIKSA PHARMACEUTICALS COPR., 100 HAYDEN AVENUE, LEXINGTON, MA 02421, </w:t>
      </w:r>
      <w:r>
        <w:rPr>
          <w:rFonts w:ascii="Arial" w:cs="Arial" w:eastAsia="Arial" w:hAnsi="Arial"/>
          <w:sz w:val="18"/>
          <w:szCs w:val="18"/>
          <w:u w:val="single" w:color="auto"/>
          <w:color w:val="auto"/>
        </w:rPr>
        <w:t>BUT ONLY AFTER</w:t>
      </w:r>
      <w:r>
        <w:rPr>
          <w:rFonts w:ascii="Arial" w:cs="Arial" w:eastAsia="Arial" w:hAnsi="Arial"/>
          <w:sz w:val="18"/>
          <w:szCs w:val="18"/>
          <w:color w:val="auto"/>
        </w:rPr>
        <w:t xml:space="preserve"> YOUR SEPARATION DATE, AS THAT TERM IS DEFINED IN YOUR AGREEMENT WITH KINIKSA PHARMACEUTICALS CORP. DATED NOVEMBER 13, 2019.</w:t>
      </w:r>
    </w:p>
    <w:p>
      <w:pPr>
        <w:spacing w:after="0" w:line="122" w:lineRule="exact"/>
        <w:rPr>
          <w:sz w:val="20"/>
          <w:szCs w:val="20"/>
          <w:color w:val="auto"/>
        </w:rPr>
      </w:pPr>
    </w:p>
    <w:p>
      <w:pPr>
        <w:jc w:val="both"/>
        <w:ind w:left="160" w:right="139"/>
        <w:spacing w:after="0" w:line="222" w:lineRule="auto"/>
        <w:rPr>
          <w:sz w:val="20"/>
          <w:szCs w:val="20"/>
          <w:color w:val="auto"/>
        </w:rPr>
      </w:pPr>
      <w:r>
        <w:rPr>
          <w:rFonts w:ascii="Arial" w:cs="Arial" w:eastAsia="Arial" w:hAnsi="Arial"/>
          <w:sz w:val="17"/>
          <w:szCs w:val="17"/>
          <w:color w:val="auto"/>
        </w:rPr>
        <w:t>I hereby affirm in its entirety the provisions of the Agreement with Kiniksa Pharmaceuticals Corp. signed by me on November 13, 2019, including, without limitation, the release of claims contained in Section 6 of that Agreement, as if it were executed on the date hereof. I understand this affirmation is intended to release any rights I may have against Kiniksa alleging discrimination on the basis of age. I further understand and acknowledge that: (i) I have been advised to consult with an attorney prior to executing this affirmation; (ii) I have been given twenty-one (21) days to consider and accept the provisions of this affirmation and I agree that any changes to this affirmation, whether material or immaterial, will not restart the running of this period; (iii) I may rescind my assent to this affirmation if, within seven (7) days after the date you sign this affirmation, I deliver a written notice of rescission, postmarked, and sent by certified mail, return receipt requested, or delivered within the seven-day period to Kiniksa Pharmaceuticals Corp., 100 Hayden Avenue, Lexington, MA 02421, Attn: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1493520</wp:posOffset>
            </wp:positionV>
            <wp:extent cx="5514340" cy="24955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551434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THIS AFFIRMATION IS INVALID IF SIGNED BEFORE YOUR SEPARATION DATE FROM KINIKSA.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_______________________________________</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Stephen F. Mahoney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DATE: January____,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777875</wp:posOffset>
            </wp:positionV>
            <wp:extent cx="554863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377" w:right="1440" w:bottom="1440" w:gutter="0" w:footer="0" w:header="0"/>
        </w:sectPr>
      </w:pPr>
    </w:p>
    <w:bookmarkStart w:id="193" w:name="page194"/>
    <w:bookmarkEnd w:id="193"/>
    <w:p>
      <w:pPr>
        <w:jc w:val="right"/>
        <w:ind w:right="139"/>
        <w:spacing w:after="0"/>
        <w:rPr>
          <w:sz w:val="20"/>
          <w:szCs w:val="20"/>
          <w:color w:val="auto"/>
        </w:rPr>
      </w:pPr>
      <w:r>
        <w:rPr>
          <w:rFonts w:ascii="Arial" w:cs="Arial" w:eastAsia="Arial" w:hAnsi="Arial"/>
          <w:sz w:val="18"/>
          <w:szCs w:val="18"/>
          <w:b w:val="1"/>
          <w:bCs w:val="1"/>
          <w:color w:val="auto"/>
        </w:rPr>
        <w:t>Exhibit 10.25</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EMPLOYMENT AGREEMENT</w:t>
      </w:r>
    </w:p>
    <w:p>
      <w:pPr>
        <w:spacing w:after="0" w:line="148" w:lineRule="exact"/>
        <w:rPr>
          <w:sz w:val="20"/>
          <w:szCs w:val="20"/>
          <w:color w:val="auto"/>
        </w:rPr>
      </w:pPr>
    </w:p>
    <w:p>
      <w:pPr>
        <w:jc w:val="both"/>
        <w:ind w:left="160" w:right="139" w:firstLine="648"/>
        <w:spacing w:after="0" w:line="224"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August 20,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Kiniksa Pharmaceuticals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Qasim Rizvi (the “</w:t>
      </w:r>
      <w:r>
        <w:rPr>
          <w:rFonts w:ascii="Arial" w:cs="Arial" w:eastAsia="Arial" w:hAnsi="Arial"/>
          <w:sz w:val="18"/>
          <w:szCs w:val="18"/>
          <w:u w:val="single" w:color="auto"/>
          <w:color w:val="auto"/>
        </w:rPr>
        <w:t>Employee</w:t>
      </w:r>
      <w:r>
        <w:rPr>
          <w:rFonts w:ascii="Arial" w:cs="Arial" w:eastAsia="Arial" w:hAnsi="Arial"/>
          <w:sz w:val="18"/>
          <w:szCs w:val="18"/>
          <w:color w:val="auto"/>
        </w:rPr>
        <w:t>”).</w:t>
      </w:r>
    </w:p>
    <w:p>
      <w:pPr>
        <w:spacing w:after="0" w:line="163" w:lineRule="exact"/>
        <w:rPr>
          <w:sz w:val="20"/>
          <w:szCs w:val="20"/>
          <w:color w:val="auto"/>
        </w:rPr>
      </w:pPr>
    </w:p>
    <w:p>
      <w:pPr>
        <w:jc w:val="both"/>
        <w:ind w:left="160" w:right="159" w:firstLine="648"/>
        <w:spacing w:after="0" w:line="235" w:lineRule="auto"/>
        <w:rPr>
          <w:sz w:val="20"/>
          <w:szCs w:val="20"/>
          <w:color w:val="auto"/>
        </w:rPr>
      </w:pPr>
      <w:r>
        <w:rPr>
          <w:rFonts w:ascii="Arial" w:cs="Arial" w:eastAsia="Arial" w:hAnsi="Arial"/>
          <w:sz w:val="18"/>
          <w:szCs w:val="18"/>
          <w:color w:val="auto"/>
        </w:rPr>
        <w:t>WHEREAS, the operations of the Company and its Affiliates (as defined below) are a complex matter requiring direction and leadership in a variety of arenas;</w:t>
      </w:r>
    </w:p>
    <w:p>
      <w:pPr>
        <w:spacing w:after="0" w:line="162" w:lineRule="exact"/>
        <w:rPr>
          <w:sz w:val="20"/>
          <w:szCs w:val="20"/>
          <w:color w:val="auto"/>
        </w:rPr>
      </w:pPr>
    </w:p>
    <w:p>
      <w:pPr>
        <w:jc w:val="both"/>
        <w:ind w:left="160" w:right="139" w:firstLine="648"/>
        <w:spacing w:after="0" w:line="235" w:lineRule="auto"/>
        <w:rPr>
          <w:sz w:val="20"/>
          <w:szCs w:val="20"/>
          <w:color w:val="auto"/>
        </w:rPr>
      </w:pPr>
      <w:r>
        <w:rPr>
          <w:rFonts w:ascii="Arial" w:cs="Arial" w:eastAsia="Arial" w:hAnsi="Arial"/>
          <w:sz w:val="18"/>
          <w:szCs w:val="18"/>
          <w:color w:val="auto"/>
        </w:rPr>
        <w:t>WHEREAS, the Employee possesses certain experience and expertise that qualify Employee to provide the direction and leadership required by the Company and its Affiliates; and</w:t>
      </w:r>
    </w:p>
    <w:p>
      <w:pPr>
        <w:spacing w:after="0" w:line="162" w:lineRule="exact"/>
        <w:rPr>
          <w:sz w:val="20"/>
          <w:szCs w:val="20"/>
          <w:color w:val="auto"/>
        </w:rPr>
      </w:pPr>
    </w:p>
    <w:p>
      <w:pPr>
        <w:jc w:val="both"/>
        <w:ind w:left="160" w:right="139" w:firstLine="648"/>
        <w:spacing w:after="0" w:line="235" w:lineRule="auto"/>
        <w:rPr>
          <w:sz w:val="20"/>
          <w:szCs w:val="20"/>
          <w:color w:val="auto"/>
        </w:rPr>
      </w:pPr>
      <w:r>
        <w:rPr>
          <w:rFonts w:ascii="Arial" w:cs="Arial" w:eastAsia="Arial" w:hAnsi="Arial"/>
          <w:sz w:val="18"/>
          <w:szCs w:val="18"/>
          <w:color w:val="auto"/>
        </w:rPr>
        <w:t>WHEREAS, wishes to employ the Employee on the terms and conditions set forth in this Agreement, and the Employee wishes to be employed under such terms and conditions.</w:t>
      </w:r>
    </w:p>
    <w:p>
      <w:pPr>
        <w:spacing w:after="0" w:line="162" w:lineRule="exact"/>
        <w:rPr>
          <w:sz w:val="20"/>
          <w:szCs w:val="20"/>
          <w:color w:val="auto"/>
        </w:rPr>
      </w:pPr>
    </w:p>
    <w:p>
      <w:pPr>
        <w:jc w:val="both"/>
        <w:ind w:left="160" w:right="139" w:firstLine="648"/>
        <w:spacing w:after="0" w:line="235" w:lineRule="auto"/>
        <w:rPr>
          <w:sz w:val="20"/>
          <w:szCs w:val="20"/>
          <w:color w:val="auto"/>
        </w:rPr>
      </w:pPr>
      <w:r>
        <w:rPr>
          <w:rFonts w:ascii="Arial" w:cs="Arial" w:eastAsia="Arial" w:hAnsi="Arial"/>
          <w:sz w:val="18"/>
          <w:szCs w:val="18"/>
          <w:color w:val="auto"/>
        </w:rPr>
        <w:t>NOW, THEREFORE, in consideration of the foregoing premises and the mutual promises, terms, provisions and conditions set forth in this Agreement, the Company and Employee hereby agree:</w:t>
      </w:r>
    </w:p>
    <w:p>
      <w:pPr>
        <w:spacing w:after="0" w:line="162" w:lineRule="exact"/>
        <w:rPr>
          <w:sz w:val="20"/>
          <w:szCs w:val="20"/>
          <w:color w:val="auto"/>
        </w:rPr>
      </w:pPr>
    </w:p>
    <w:p>
      <w:pPr>
        <w:jc w:val="both"/>
        <w:ind w:left="160" w:right="139" w:firstLine="639"/>
        <w:spacing w:after="0" w:line="224" w:lineRule="auto"/>
        <w:tabs>
          <w:tab w:leader="none" w:pos="1591"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Words or phrases that are initially capitalized or are within quotation marks shall have the meanings provided in this Section and as provided elsewhere herein. For purposes of this Agreement, the following definitions apply:</w:t>
      </w:r>
    </w:p>
    <w:p>
      <w:pPr>
        <w:spacing w:after="0" w:line="163" w:lineRule="exact"/>
        <w:rPr>
          <w:rFonts w:ascii="Arial" w:cs="Arial" w:eastAsia="Arial" w:hAnsi="Arial"/>
          <w:sz w:val="18"/>
          <w:szCs w:val="18"/>
          <w:color w:val="auto"/>
        </w:rPr>
      </w:pPr>
    </w:p>
    <w:p>
      <w:pPr>
        <w:jc w:val="both"/>
        <w:ind w:left="160" w:right="139" w:firstLine="1287"/>
        <w:spacing w:after="0" w:line="289" w:lineRule="auto"/>
        <w:tabs>
          <w:tab w:leader="none" w:pos="212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Affiliates</w:t>
      </w:r>
      <w:r>
        <w:rPr>
          <w:rFonts w:ascii="Arial" w:cs="Arial" w:eastAsia="Arial" w:hAnsi="Arial"/>
          <w:sz w:val="16"/>
          <w:szCs w:val="16"/>
          <w:color w:val="auto"/>
        </w:rPr>
        <w:t>” shall mean all persons and entities directly or indirectly controlling, controlled by or under common control with the Company, where control may be by management authority, contract or equity interest.</w:t>
      </w:r>
    </w:p>
    <w:p>
      <w:pPr>
        <w:spacing w:after="0" w:line="124" w:lineRule="exact"/>
        <w:rPr>
          <w:rFonts w:ascii="Arial" w:cs="Arial" w:eastAsia="Arial" w:hAnsi="Arial"/>
          <w:sz w:val="16"/>
          <w:szCs w:val="16"/>
          <w:color w:val="auto"/>
        </w:rPr>
      </w:pPr>
    </w:p>
    <w:p>
      <w:pPr>
        <w:ind w:left="2100" w:hanging="653"/>
        <w:spacing w:after="0"/>
        <w:tabs>
          <w:tab w:leader="none" w:pos="21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shall mean:</w:t>
      </w:r>
    </w:p>
    <w:p>
      <w:pPr>
        <w:spacing w:after="0" w:line="184" w:lineRule="exact"/>
        <w:rPr>
          <w:rFonts w:ascii="Arial" w:cs="Arial" w:eastAsia="Arial" w:hAnsi="Arial"/>
          <w:sz w:val="18"/>
          <w:szCs w:val="18"/>
          <w:color w:val="auto"/>
        </w:rPr>
      </w:pPr>
    </w:p>
    <w:p>
      <w:pPr>
        <w:jc w:val="both"/>
        <w:ind w:left="160" w:right="139" w:firstLine="1935"/>
        <w:spacing w:after="0" w:line="224" w:lineRule="auto"/>
        <w:tabs>
          <w:tab w:leader="none" w:pos="3182" w:val="left"/>
        </w:tabs>
        <w:numPr>
          <w:ilvl w:val="2"/>
          <w:numId w:val="122"/>
        </w:numPr>
        <w:rPr>
          <w:rFonts w:ascii="Arial" w:cs="Arial" w:eastAsia="Arial" w:hAnsi="Arial"/>
          <w:sz w:val="18"/>
          <w:szCs w:val="18"/>
          <w:color w:val="auto"/>
        </w:rPr>
      </w:pPr>
      <w:r>
        <w:rPr>
          <w:rFonts w:ascii="Arial" w:cs="Arial" w:eastAsia="Arial" w:hAnsi="Arial"/>
          <w:sz w:val="18"/>
          <w:szCs w:val="18"/>
          <w:color w:val="auto"/>
        </w:rPr>
        <w:t>The Employee’s gross negligence or willful misconduct in performance of Employee’s duties to the Company, where such gross negligence or willful misconduct has resulted in or reasonably could result in material damage to the Company or any of its Affiliates or successors; or</w:t>
      </w:r>
    </w:p>
    <w:p>
      <w:pPr>
        <w:spacing w:after="0" w:line="163" w:lineRule="exact"/>
        <w:rPr>
          <w:rFonts w:ascii="Arial" w:cs="Arial" w:eastAsia="Arial" w:hAnsi="Arial"/>
          <w:sz w:val="18"/>
          <w:szCs w:val="18"/>
          <w:color w:val="auto"/>
        </w:rPr>
      </w:pPr>
    </w:p>
    <w:p>
      <w:pPr>
        <w:ind w:left="160" w:right="159" w:firstLine="1935"/>
        <w:spacing w:after="0" w:line="235" w:lineRule="auto"/>
        <w:tabs>
          <w:tab w:leader="none" w:pos="2967" w:val="left"/>
        </w:tabs>
        <w:numPr>
          <w:ilvl w:val="2"/>
          <w:numId w:val="122"/>
        </w:numPr>
        <w:rPr>
          <w:rFonts w:ascii="Arial" w:cs="Arial" w:eastAsia="Arial" w:hAnsi="Arial"/>
          <w:sz w:val="18"/>
          <w:szCs w:val="18"/>
          <w:color w:val="auto"/>
        </w:rPr>
      </w:pPr>
      <w:r>
        <w:rPr>
          <w:rFonts w:ascii="Arial" w:cs="Arial" w:eastAsia="Arial" w:hAnsi="Arial"/>
          <w:sz w:val="18"/>
          <w:szCs w:val="18"/>
          <w:color w:val="auto"/>
        </w:rPr>
        <w:t>The Employee’s commission of any act of fraud, embezzlement or professional dishonesty with respect to the business of the Company or any of its Affiliates; or</w:t>
      </w:r>
    </w:p>
    <w:p>
      <w:pPr>
        <w:spacing w:after="0" w:line="161" w:lineRule="exact"/>
        <w:rPr>
          <w:rFonts w:ascii="Arial" w:cs="Arial" w:eastAsia="Arial" w:hAnsi="Arial"/>
          <w:sz w:val="18"/>
          <w:szCs w:val="18"/>
          <w:color w:val="auto"/>
        </w:rPr>
      </w:pPr>
    </w:p>
    <w:p>
      <w:pPr>
        <w:ind w:left="2760" w:hanging="665"/>
        <w:spacing w:after="0"/>
        <w:tabs>
          <w:tab w:leader="none" w:pos="2760" w:val="left"/>
        </w:tabs>
        <w:numPr>
          <w:ilvl w:val="2"/>
          <w:numId w:val="122"/>
        </w:numPr>
        <w:rPr>
          <w:rFonts w:ascii="Arial" w:cs="Arial" w:eastAsia="Arial" w:hAnsi="Arial"/>
          <w:sz w:val="17"/>
          <w:szCs w:val="17"/>
          <w:color w:val="auto"/>
        </w:rPr>
      </w:pPr>
      <w:r>
        <w:rPr>
          <w:rFonts w:ascii="Arial" w:cs="Arial" w:eastAsia="Arial" w:hAnsi="Arial"/>
          <w:sz w:val="17"/>
          <w:szCs w:val="17"/>
          <w:color w:val="auto"/>
        </w:rPr>
        <w:t>The Employee’s commission of a felony or crime involving moral turpitude; or</w:t>
      </w:r>
    </w:p>
    <w:p>
      <w:pPr>
        <w:spacing w:after="0" w:line="196" w:lineRule="exact"/>
        <w:rPr>
          <w:rFonts w:ascii="Arial" w:cs="Arial" w:eastAsia="Arial" w:hAnsi="Arial"/>
          <w:sz w:val="17"/>
          <w:szCs w:val="17"/>
          <w:color w:val="auto"/>
        </w:rPr>
      </w:pPr>
    </w:p>
    <w:p>
      <w:pPr>
        <w:ind w:left="160" w:right="139" w:firstLine="1935"/>
        <w:spacing w:after="0" w:line="235" w:lineRule="auto"/>
        <w:tabs>
          <w:tab w:leader="none" w:pos="2894" w:val="left"/>
        </w:tabs>
        <w:numPr>
          <w:ilvl w:val="2"/>
          <w:numId w:val="122"/>
        </w:numPr>
        <w:rPr>
          <w:rFonts w:ascii="Arial" w:cs="Arial" w:eastAsia="Arial" w:hAnsi="Arial"/>
          <w:sz w:val="18"/>
          <w:szCs w:val="18"/>
          <w:color w:val="auto"/>
        </w:rPr>
      </w:pPr>
      <w:r>
        <w:rPr>
          <w:rFonts w:ascii="Arial" w:cs="Arial" w:eastAsia="Arial" w:hAnsi="Arial"/>
          <w:sz w:val="18"/>
          <w:szCs w:val="18"/>
          <w:color w:val="auto"/>
        </w:rPr>
        <w:t>The Employee’s material breach of any provision of this Agreement or any other written agreement between Employee and the Company; or</w:t>
      </w:r>
    </w:p>
    <w:p>
      <w:pPr>
        <w:spacing w:after="0" w:line="161" w:lineRule="exact"/>
        <w:rPr>
          <w:rFonts w:ascii="Arial" w:cs="Arial" w:eastAsia="Arial" w:hAnsi="Arial"/>
          <w:sz w:val="18"/>
          <w:szCs w:val="18"/>
          <w:color w:val="auto"/>
        </w:rPr>
      </w:pPr>
    </w:p>
    <w:p>
      <w:pPr>
        <w:ind w:left="2780" w:hanging="685"/>
        <w:spacing w:after="0"/>
        <w:tabs>
          <w:tab w:leader="none" w:pos="2780" w:val="left"/>
        </w:tabs>
        <w:numPr>
          <w:ilvl w:val="2"/>
          <w:numId w:val="122"/>
        </w:numPr>
        <w:rPr>
          <w:rFonts w:ascii="Arial" w:cs="Arial" w:eastAsia="Arial" w:hAnsi="Arial"/>
          <w:sz w:val="16"/>
          <w:szCs w:val="16"/>
          <w:color w:val="auto"/>
        </w:rPr>
      </w:pPr>
      <w:r>
        <w:rPr>
          <w:rFonts w:ascii="Arial" w:cs="Arial" w:eastAsia="Arial" w:hAnsi="Arial"/>
          <w:sz w:val="16"/>
          <w:szCs w:val="16"/>
          <w:color w:val="auto"/>
        </w:rPr>
        <w:t>The Employee’s failure to comply with lawful directives of the Company, which has</w:t>
      </w:r>
    </w:p>
    <w:p>
      <w:pPr>
        <w:spacing w:after="0" w:line="7"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8"/>
          <w:szCs w:val="18"/>
          <w:color w:val="auto"/>
        </w:rPr>
        <w:t>caused or which reasonably could cause damage to the Company or any of its Affiliates or successors.</w:t>
      </w:r>
    </w:p>
    <w:p>
      <w:pPr>
        <w:spacing w:after="0" w:line="168" w:lineRule="exact"/>
        <w:rPr>
          <w:rFonts w:ascii="Arial" w:cs="Arial" w:eastAsia="Arial" w:hAnsi="Arial"/>
          <w:sz w:val="16"/>
          <w:szCs w:val="16"/>
          <w:color w:val="auto"/>
        </w:rPr>
      </w:pPr>
    </w:p>
    <w:p>
      <w:pPr>
        <w:ind w:left="2100" w:hanging="653"/>
        <w:spacing w:after="0"/>
        <w:tabs>
          <w:tab w:leader="none" w:pos="21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w:t>
      </w:r>
    </w:p>
    <w:p>
      <w:pPr>
        <w:spacing w:after="0" w:line="184" w:lineRule="exact"/>
        <w:rPr>
          <w:rFonts w:ascii="Arial" w:cs="Arial" w:eastAsia="Arial" w:hAnsi="Arial"/>
          <w:sz w:val="18"/>
          <w:szCs w:val="18"/>
          <w:color w:val="auto"/>
        </w:rPr>
      </w:pPr>
    </w:p>
    <w:p>
      <w:pPr>
        <w:ind w:left="2760" w:hanging="665"/>
        <w:spacing w:after="0"/>
        <w:tabs>
          <w:tab w:leader="none" w:pos="276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a sale of all or substantially all of the Parent’s assets; or</w:t>
      </w:r>
    </w:p>
    <w:p>
      <w:pPr>
        <w:spacing w:after="0" w:line="184" w:lineRule="exact"/>
        <w:rPr>
          <w:rFonts w:ascii="Arial" w:cs="Arial" w:eastAsia="Arial" w:hAnsi="Arial"/>
          <w:sz w:val="18"/>
          <w:szCs w:val="18"/>
          <w:color w:val="auto"/>
        </w:rPr>
      </w:pPr>
    </w:p>
    <w:p>
      <w:pPr>
        <w:jc w:val="both"/>
        <w:ind w:left="160" w:right="139" w:firstLine="1935"/>
        <w:spacing w:after="0" w:line="226" w:lineRule="auto"/>
        <w:tabs>
          <w:tab w:leader="none" w:pos="2889" w:val="left"/>
        </w:tabs>
        <w:numPr>
          <w:ilvl w:val="2"/>
          <w:numId w:val="122"/>
        </w:numPr>
        <w:rPr>
          <w:rFonts w:ascii="Arial" w:cs="Arial" w:eastAsia="Arial" w:hAnsi="Arial"/>
          <w:sz w:val="17"/>
          <w:szCs w:val="17"/>
          <w:color w:val="auto"/>
        </w:rPr>
      </w:pPr>
      <w:r>
        <w:rPr>
          <w:rFonts w:ascii="Arial" w:cs="Arial" w:eastAsia="Arial" w:hAnsi="Arial"/>
          <w:sz w:val="17"/>
          <w:szCs w:val="17"/>
          <w:color w:val="auto"/>
        </w:rPr>
        <w:t>any merger, consolidation or other business combination transaction of the Parent with or into another corporation, entity or person, other than a transaction in which the holders of at least a majority of the shares of voting capital shares of the Parent outstanding immediately prior to such transaction continue to hold (either by such shares remaining outstanding or by their being converted into shares of voting capital shares of the surviving entity) a majority of the total voting power represented by the shares of voting capital shares of the Parent (or the surviving entity) outstanding immediately after such transaction;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328295</wp:posOffset>
            </wp:positionV>
            <wp:extent cx="554863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4" w:name="page195"/>
    <w:bookmarkEnd w:id="194"/>
    <w:p>
      <w:pPr>
        <w:jc w:val="both"/>
        <w:ind w:left="160" w:right="139" w:firstLine="1935"/>
        <w:spacing w:after="0" w:line="239" w:lineRule="auto"/>
        <w:tabs>
          <w:tab w:leader="none" w:pos="279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direct or indirect acquisition (including by way of a tender or exchange offer) by any person, or persons acting as a group, of beneficial ownership or a right to acquire beneficial ownership of shares</w:t>
      </w:r>
    </w:p>
    <w:p>
      <w:pPr>
        <w:ind w:left="160"/>
        <w:spacing w:after="0"/>
        <w:tabs>
          <w:tab w:leader="none" w:pos="1180" w:val="left"/>
          <w:tab w:leader="none" w:pos="1400" w:val="left"/>
          <w:tab w:leader="none" w:pos="2160" w:val="left"/>
          <w:tab w:leader="none" w:pos="2480" w:val="left"/>
          <w:tab w:leader="none" w:pos="2840" w:val="left"/>
          <w:tab w:leader="none" w:pos="3460" w:val="left"/>
          <w:tab w:leader="none" w:pos="4060" w:val="left"/>
          <w:tab w:leader="none" w:pos="4360" w:val="left"/>
          <w:tab w:leader="none" w:pos="4740" w:val="left"/>
          <w:tab w:leader="none" w:pos="5200" w:val="left"/>
          <w:tab w:leader="none" w:pos="6200" w:val="left"/>
          <w:tab w:leader="none" w:pos="6800" w:val="left"/>
          <w:tab w:leader="none" w:pos="7100" w:val="left"/>
          <w:tab w:leader="none" w:pos="7740" w:val="left"/>
          <w:tab w:leader="none" w:pos="8340" w:val="left"/>
          <w:tab w:leader="none" w:pos="8640" w:val="left"/>
        </w:tabs>
        <w:rPr>
          <w:sz w:val="20"/>
          <w:szCs w:val="20"/>
          <w:color w:val="auto"/>
        </w:rPr>
      </w:pPr>
      <w:r>
        <w:rPr>
          <w:rFonts w:ascii="Arial" w:cs="Arial" w:eastAsia="Arial" w:hAnsi="Arial"/>
          <w:sz w:val="18"/>
          <w:szCs w:val="18"/>
          <w:color w:val="auto"/>
        </w:rPr>
        <w:t>representing</w:t>
        <w:tab/>
        <w:t>a</w:t>
        <w:tab/>
        <w:t>majority</w:t>
        <w:tab/>
        <w:t>of</w:t>
        <w:tab/>
        <w:t>the</w:t>
        <w:tab/>
        <w:t>voting</w:t>
        <w:tab/>
        <w:t>power</w:t>
        <w:tab/>
        <w:t>of</w:t>
        <w:tab/>
        <w:t>the</w:t>
        <w:tab/>
        <w:t>then</w:t>
        <w:tab/>
        <w:t>outstanding</w:t>
        <w:tab/>
        <w:t>shares</w:t>
        <w:tab/>
        <w:t>of</w:t>
        <w:tab/>
        <w:t>capital</w:t>
        <w:tab/>
        <w:t>shares</w:t>
        <w:tab/>
        <w:t>of</w:t>
      </w:r>
      <w:r>
        <w:rPr>
          <w:sz w:val="20"/>
          <w:szCs w:val="20"/>
          <w:color w:val="auto"/>
        </w:rPr>
        <w:tab/>
      </w:r>
      <w:r>
        <w:rPr>
          <w:rFonts w:ascii="Arial" w:cs="Arial" w:eastAsia="Arial" w:hAnsi="Arial"/>
          <w:sz w:val="15"/>
          <w:szCs w:val="15"/>
          <w:color w:val="auto"/>
        </w:rPr>
        <w:t>the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Parent. Notwithstanding the foregoing, a Change in Control shall not be deemed to occur:</w:t>
      </w:r>
    </w:p>
    <w:p>
      <w:pPr>
        <w:spacing w:after="0" w:line="169" w:lineRule="exact"/>
        <w:rPr>
          <w:sz w:val="20"/>
          <w:szCs w:val="20"/>
          <w:color w:val="auto"/>
        </w:rPr>
      </w:pPr>
    </w:p>
    <w:p>
      <w:pPr>
        <w:jc w:val="both"/>
        <w:ind w:left="160" w:right="139" w:firstLine="2584"/>
        <w:spacing w:after="0" w:line="219" w:lineRule="auto"/>
        <w:tabs>
          <w:tab w:leader="none" w:pos="3605" w:val="left"/>
        </w:tabs>
        <w:numPr>
          <w:ilvl w:val="2"/>
          <w:numId w:val="124"/>
        </w:numPr>
        <w:rPr>
          <w:rFonts w:ascii="Arial" w:cs="Arial" w:eastAsia="Arial" w:hAnsi="Arial"/>
          <w:sz w:val="18"/>
          <w:szCs w:val="18"/>
          <w:color w:val="auto"/>
        </w:rPr>
      </w:pPr>
      <w:r>
        <w:rPr>
          <w:rFonts w:ascii="Arial" w:cs="Arial" w:eastAsia="Arial" w:hAnsi="Arial"/>
          <w:sz w:val="18"/>
          <w:szCs w:val="18"/>
          <w:color w:val="auto"/>
        </w:rPr>
        <w:t>on account of the acquisition of shares of voting capital shares by any institutional investor or any affiliate thereof or any other person, or persons acting as a group, that acquires the Parent’s shares of voting capital shares in a transaction or series of related transactions that are primarily a private financing transaction for the Parent, or</w:t>
      </w:r>
    </w:p>
    <w:p>
      <w:pPr>
        <w:spacing w:after="0" w:line="162" w:lineRule="exact"/>
        <w:rPr>
          <w:rFonts w:ascii="Arial" w:cs="Arial" w:eastAsia="Arial" w:hAnsi="Arial"/>
          <w:sz w:val="18"/>
          <w:szCs w:val="18"/>
          <w:color w:val="auto"/>
        </w:rPr>
      </w:pPr>
    </w:p>
    <w:p>
      <w:pPr>
        <w:jc w:val="both"/>
        <w:ind w:left="160" w:right="139" w:firstLine="2584"/>
        <w:spacing w:after="0" w:line="223" w:lineRule="auto"/>
        <w:tabs>
          <w:tab w:leader="none" w:pos="3477" w:val="left"/>
        </w:tabs>
        <w:numPr>
          <w:ilvl w:val="2"/>
          <w:numId w:val="124"/>
        </w:numPr>
        <w:rPr>
          <w:rFonts w:ascii="Arial" w:cs="Arial" w:eastAsia="Arial" w:hAnsi="Arial"/>
          <w:sz w:val="17"/>
          <w:szCs w:val="17"/>
          <w:color w:val="auto"/>
        </w:rPr>
      </w:pPr>
      <w:r>
        <w:rPr>
          <w:rFonts w:ascii="Arial" w:cs="Arial" w:eastAsia="Arial" w:hAnsi="Arial"/>
          <w:sz w:val="17"/>
          <w:szCs w:val="17"/>
          <w:color w:val="auto"/>
        </w:rPr>
        <w:t>solely because the level of ownership held by any institutional investor or any affiliate thereof or any other person, or persons acting as a group (the “</w:t>
      </w:r>
      <w:r>
        <w:rPr>
          <w:rFonts w:ascii="Arial" w:cs="Arial" w:eastAsia="Arial" w:hAnsi="Arial"/>
          <w:sz w:val="17"/>
          <w:szCs w:val="17"/>
          <w:u w:val="single" w:color="auto"/>
          <w:color w:val="auto"/>
        </w:rPr>
        <w:t>Subject Person</w:t>
      </w:r>
      <w:r>
        <w:rPr>
          <w:rFonts w:ascii="Arial" w:cs="Arial" w:eastAsia="Arial" w:hAnsi="Arial"/>
          <w:sz w:val="17"/>
          <w:szCs w:val="17"/>
          <w:color w:val="auto"/>
        </w:rPr>
        <w:t>”), exceeds the designated percentage threshold of the outstanding voting capital shares as a result of a repurchase or other acquisition of voting capital shares by the Parent reducing the number of shares outstanding, provided that if a Change in Control would occur (but for the operation of this sentence) as a result of the acquisition voting capital shares by the Parent, and after such share acquisition, the Subject Person becomes the owner of any additional voting capital shares that, assuming the repurchase or other acquisition had not occurred, increases the percentage of the then outstanding voting capital shares owned by such Subject Person over the designated percentage threshold, then a Change in Control shall be deemed to occur.</w:t>
      </w:r>
    </w:p>
    <w:p>
      <w:pPr>
        <w:spacing w:after="0" w:line="161" w:lineRule="exact"/>
        <w:rPr>
          <w:rFonts w:ascii="Arial" w:cs="Arial" w:eastAsia="Arial" w:hAnsi="Arial"/>
          <w:sz w:val="17"/>
          <w:szCs w:val="17"/>
          <w:color w:val="auto"/>
        </w:rPr>
      </w:pPr>
    </w:p>
    <w:p>
      <w:pPr>
        <w:ind w:left="160" w:right="159" w:firstLine="1287"/>
        <w:spacing w:after="0" w:line="235" w:lineRule="auto"/>
        <w:tabs>
          <w:tab w:leader="none" w:pos="235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and the rules and regulations promulgated thereunder.</w:t>
      </w:r>
    </w:p>
    <w:p>
      <w:pPr>
        <w:spacing w:after="0" w:line="161" w:lineRule="exact"/>
        <w:rPr>
          <w:rFonts w:ascii="Arial" w:cs="Arial" w:eastAsia="Arial" w:hAnsi="Arial"/>
          <w:sz w:val="18"/>
          <w:szCs w:val="18"/>
          <w:color w:val="auto"/>
        </w:rPr>
      </w:pPr>
    </w:p>
    <w:p>
      <w:pPr>
        <w:ind w:left="160" w:right="139" w:firstLine="1287"/>
        <w:spacing w:after="0" w:line="235" w:lineRule="auto"/>
        <w:tabs>
          <w:tab w:leader="none" w:pos="213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shall have the meaning ascribed to such term in Section 3(3) of the Employee Retirement Income Security Act of 1974, as amended.</w:t>
      </w:r>
    </w:p>
    <w:p>
      <w:pPr>
        <w:spacing w:after="0" w:line="161" w:lineRule="exact"/>
        <w:rPr>
          <w:rFonts w:ascii="Arial" w:cs="Arial" w:eastAsia="Arial" w:hAnsi="Arial"/>
          <w:sz w:val="18"/>
          <w:szCs w:val="18"/>
          <w:color w:val="auto"/>
        </w:rPr>
      </w:pPr>
    </w:p>
    <w:p>
      <w:pPr>
        <w:ind w:left="160" w:right="599" w:firstLine="1287"/>
        <w:spacing w:after="0" w:line="224" w:lineRule="auto"/>
        <w:tabs>
          <w:tab w:leader="none" w:pos="213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 and Non-Competition Agreement</w:t>
      </w:r>
      <w:r>
        <w:rPr>
          <w:rFonts w:ascii="Arial" w:cs="Arial" w:eastAsia="Arial" w:hAnsi="Arial"/>
          <w:sz w:val="18"/>
          <w:szCs w:val="18"/>
          <w:color w:val="auto"/>
        </w:rPr>
        <w:t>” shall mean the Employee Proprietary Information, Inventions Assignment, Non-Competition and Non-Solicitation Agreement between the Employee and Company dated as of August 20, 2018.</w:t>
      </w:r>
    </w:p>
    <w:p>
      <w:pPr>
        <w:spacing w:after="0" w:line="163" w:lineRule="exact"/>
        <w:rPr>
          <w:rFonts w:ascii="Arial" w:cs="Arial" w:eastAsia="Arial" w:hAnsi="Arial"/>
          <w:sz w:val="18"/>
          <w:szCs w:val="18"/>
          <w:color w:val="auto"/>
        </w:rPr>
      </w:pPr>
    </w:p>
    <w:p>
      <w:pPr>
        <w:ind w:left="2160" w:hanging="713"/>
        <w:spacing w:after="0"/>
        <w:tabs>
          <w:tab w:leader="none" w:pos="216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shall mean the Company’s parent entity, Kiniksa Pharmaceuticals, Ltd., a Bermuda</w:t>
      </w:r>
    </w:p>
    <w:p>
      <w:pPr>
        <w:spacing w:after="0" w:line="7"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8"/>
          <w:szCs w:val="18"/>
          <w:color w:val="auto"/>
        </w:rPr>
        <w:t>exempted company.</w:t>
      </w:r>
    </w:p>
    <w:p>
      <w:pPr>
        <w:spacing w:after="0" w:line="168" w:lineRule="exact"/>
        <w:rPr>
          <w:rFonts w:ascii="Arial" w:cs="Arial" w:eastAsia="Arial" w:hAnsi="Arial"/>
          <w:sz w:val="16"/>
          <w:szCs w:val="16"/>
          <w:color w:val="auto"/>
        </w:rPr>
      </w:pPr>
    </w:p>
    <w:p>
      <w:pPr>
        <w:ind w:left="2100" w:hanging="653"/>
        <w:spacing w:after="0"/>
        <w:tabs>
          <w:tab w:leader="none" w:pos="21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w:t>
      </w:r>
      <w:r>
        <w:rPr>
          <w:rFonts w:ascii="Arial" w:cs="Arial" w:eastAsia="Arial" w:hAnsi="Arial"/>
          <w:sz w:val="18"/>
          <w:szCs w:val="18"/>
          <w:color w:val="auto"/>
        </w:rPr>
        <w:t>” shall mean the board of directors of the Parent.</w:t>
      </w:r>
    </w:p>
    <w:p>
      <w:pPr>
        <w:spacing w:after="0" w:line="184" w:lineRule="exact"/>
        <w:rPr>
          <w:rFonts w:ascii="Arial" w:cs="Arial" w:eastAsia="Arial" w:hAnsi="Arial"/>
          <w:sz w:val="18"/>
          <w:szCs w:val="18"/>
          <w:color w:val="auto"/>
        </w:rPr>
      </w:pPr>
    </w:p>
    <w:p>
      <w:pPr>
        <w:ind w:left="160" w:right="159" w:firstLine="1287"/>
        <w:spacing w:after="0" w:line="289" w:lineRule="auto"/>
        <w:tabs>
          <w:tab w:leader="none" w:pos="2162" w:val="left"/>
        </w:tabs>
        <w:numPr>
          <w:ilvl w:val="1"/>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mean an individual, a corporation, a limited liability company, an association, a partnership, an estate, a trust and any other entity or organization, other than the Company or any of its Affiliates.</w:t>
      </w:r>
    </w:p>
    <w:p>
      <w:pPr>
        <w:spacing w:after="0" w:line="124" w:lineRule="exact"/>
        <w:rPr>
          <w:rFonts w:ascii="Arial" w:cs="Arial" w:eastAsia="Arial" w:hAnsi="Arial"/>
          <w:sz w:val="16"/>
          <w:szCs w:val="16"/>
          <w:color w:val="auto"/>
        </w:rPr>
      </w:pPr>
    </w:p>
    <w:p>
      <w:pPr>
        <w:jc w:val="both"/>
        <w:ind w:left="160" w:right="139" w:firstLine="639"/>
        <w:spacing w:after="0" w:line="219" w:lineRule="auto"/>
        <w:tabs>
          <w:tab w:leader="none" w:pos="1537"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Acceptance and Term</w:t>
      </w:r>
      <w:r>
        <w:rPr>
          <w:rFonts w:ascii="Arial" w:cs="Arial" w:eastAsia="Arial" w:hAnsi="Arial"/>
          <w:sz w:val="18"/>
          <w:szCs w:val="18"/>
          <w:color w:val="auto"/>
        </w:rPr>
        <w:t>. Subject to the terms and conditions set forth in this Agreement, the Company hereby offers, and the Employee hereby accepts, employment and/or continuing employment on an at-will basis. Subject to earlier termination as hereinafter provided, the Employee’s employment shall continue until terminated pursuant to Section 5 hereof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62" w:lineRule="exact"/>
        <w:rPr>
          <w:rFonts w:ascii="Arial" w:cs="Arial" w:eastAsia="Arial" w:hAnsi="Arial"/>
          <w:sz w:val="18"/>
          <w:szCs w:val="18"/>
          <w:color w:val="auto"/>
        </w:rPr>
      </w:pPr>
    </w:p>
    <w:p>
      <w:pPr>
        <w:ind w:left="1480" w:hanging="681"/>
        <w:spacing w:after="0"/>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Position, Duties and Responsibilities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60" w:right="139" w:firstLine="1287"/>
        <w:spacing w:after="0" w:line="219" w:lineRule="auto"/>
        <w:tabs>
          <w:tab w:leader="none" w:pos="244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During the Term, the Employee shall initially serve the Company as its Senior Vice President,Operations, and shall initially report to Steve Mahoney, President &amp; Chief Operating Officer. During the Term, the Employee shall be employed by the Company on a full-time basis and shall perform the duties and responsibilities of Employee’s position.</w:t>
      </w:r>
    </w:p>
    <w:p>
      <w:pPr>
        <w:spacing w:after="0" w:line="162" w:lineRule="exact"/>
        <w:rPr>
          <w:rFonts w:ascii="Arial" w:cs="Arial" w:eastAsia="Arial" w:hAnsi="Arial"/>
          <w:sz w:val="18"/>
          <w:szCs w:val="18"/>
          <w:color w:val="auto"/>
        </w:rPr>
      </w:pPr>
    </w:p>
    <w:p>
      <w:pPr>
        <w:jc w:val="both"/>
        <w:ind w:left="160" w:right="139" w:firstLine="1287"/>
        <w:spacing w:after="0" w:line="249" w:lineRule="auto"/>
        <w:tabs>
          <w:tab w:leader="none" w:pos="219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During the Term, the Employee shall devote Employee’s full business time and Employee’s best efforts, business judgment, skill and knowledge exclusively to the advancement of the business and interests of the Company and its Affiliates and to the discharge of Employee’s duties and responsibilities hereunder. During the Term, the Employee shall not engage in any other business activity or serve in any industry,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321945</wp:posOffset>
            </wp:positionV>
            <wp:extent cx="554863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5" w:name="page196"/>
    <w:bookmarkEnd w:id="195"/>
    <w:p>
      <w:pPr>
        <w:ind w:left="160" w:right="139"/>
        <w:spacing w:after="0" w:line="234" w:lineRule="auto"/>
        <w:rPr>
          <w:sz w:val="20"/>
          <w:szCs w:val="20"/>
          <w:color w:val="auto"/>
        </w:rPr>
      </w:pPr>
      <w:r>
        <w:rPr>
          <w:rFonts w:ascii="Arial" w:cs="Arial" w:eastAsia="Arial" w:hAnsi="Arial"/>
          <w:sz w:val="18"/>
          <w:szCs w:val="18"/>
          <w:color w:val="auto"/>
        </w:rPr>
        <w:t>professional, governmental or academic position unless Employee first has obtained consent from the Chief Executive Officer of the Company.</w:t>
      </w:r>
    </w:p>
    <w:p>
      <w:pPr>
        <w:spacing w:after="0" w:line="162" w:lineRule="exact"/>
        <w:rPr>
          <w:sz w:val="20"/>
          <w:szCs w:val="20"/>
          <w:color w:val="auto"/>
        </w:rPr>
      </w:pPr>
    </w:p>
    <w:p>
      <w:pPr>
        <w:jc w:val="both"/>
        <w:ind w:left="160" w:right="139" w:firstLine="1287"/>
        <w:spacing w:after="0" w:line="238" w:lineRule="auto"/>
        <w:tabs>
          <w:tab w:leader="none" w:pos="2132" w:val="left"/>
        </w:tabs>
        <w:numPr>
          <w:ilvl w:val="2"/>
          <w:numId w:val="127"/>
        </w:numPr>
        <w:rPr>
          <w:rFonts w:ascii="Arial" w:cs="Arial" w:eastAsia="Arial" w:hAnsi="Arial"/>
          <w:sz w:val="17"/>
          <w:szCs w:val="17"/>
          <w:color w:val="auto"/>
        </w:rPr>
      </w:pPr>
      <w:r>
        <w:rPr>
          <w:rFonts w:ascii="Arial" w:cs="Arial" w:eastAsia="Arial" w:hAnsi="Arial"/>
          <w:sz w:val="17"/>
          <w:szCs w:val="17"/>
          <w:color w:val="auto"/>
        </w:rPr>
        <w:t>Immediately upon termination of Employee’s employment with the Company for any reason, Employee will be deemed to resign any and all positions held by Employee, whether as an officer or director of the Company, the Parent or any Affiliate of the Company, or as a member of any committees thereof.</w:t>
      </w:r>
    </w:p>
    <w:p>
      <w:pPr>
        <w:spacing w:after="0" w:line="161" w:lineRule="exact"/>
        <w:rPr>
          <w:rFonts w:ascii="Arial" w:cs="Arial" w:eastAsia="Arial" w:hAnsi="Arial"/>
          <w:sz w:val="17"/>
          <w:szCs w:val="17"/>
          <w:color w:val="auto"/>
        </w:rPr>
      </w:pPr>
    </w:p>
    <w:p>
      <w:pPr>
        <w:jc w:val="both"/>
        <w:ind w:left="160" w:right="139" w:firstLine="639"/>
        <w:spacing w:after="0" w:line="219" w:lineRule="auto"/>
        <w:tabs>
          <w:tab w:leader="none" w:pos="1524"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As compensation for all services performed by the Employee during the Term and subject to the Employee’s performance of Employee’s duties and obligations to the Company and its Affiliates, pursuant to this Agreement or otherwise, the Company shall provide the Employee with the following compensation and benefits:</w:t>
      </w:r>
    </w:p>
    <w:p>
      <w:pPr>
        <w:spacing w:after="0" w:line="162" w:lineRule="exact"/>
        <w:rPr>
          <w:rFonts w:ascii="Arial" w:cs="Arial" w:eastAsia="Arial" w:hAnsi="Arial"/>
          <w:sz w:val="18"/>
          <w:szCs w:val="18"/>
          <w:color w:val="auto"/>
        </w:rPr>
      </w:pPr>
    </w:p>
    <w:p>
      <w:pPr>
        <w:jc w:val="both"/>
        <w:ind w:left="160" w:right="139" w:firstLine="1287"/>
        <w:spacing w:after="0" w:line="259" w:lineRule="auto"/>
        <w:tabs>
          <w:tab w:leader="none" w:pos="2309" w:val="left"/>
        </w:tabs>
        <w:numPr>
          <w:ilvl w:val="2"/>
          <w:numId w:val="128"/>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The Company shall pay the Employee an annual base salary of $385,000, payable in accordance with the Company’s standard payroll practices and procedures and subject to change from time-to-time in the Company’s sole discretion (such base salary, as from time-to-time changed, the “</w:t>
      </w:r>
      <w:r>
        <w:rPr>
          <w:rFonts w:ascii="Arial" w:cs="Arial" w:eastAsia="Arial" w:hAnsi="Arial"/>
          <w:sz w:val="16"/>
          <w:szCs w:val="16"/>
          <w:u w:val="single" w:color="auto"/>
          <w:color w:val="auto"/>
        </w:rPr>
        <w:t>Base Salary</w:t>
      </w:r>
      <w:r>
        <w:rPr>
          <w:rFonts w:ascii="Arial" w:cs="Arial" w:eastAsia="Arial" w:hAnsi="Arial"/>
          <w:sz w:val="16"/>
          <w:szCs w:val="16"/>
          <w:color w:val="auto"/>
        </w:rPr>
        <w:t>”).</w:t>
      </w:r>
    </w:p>
    <w:p>
      <w:pPr>
        <w:spacing w:after="0" w:line="147" w:lineRule="exact"/>
        <w:rPr>
          <w:rFonts w:ascii="Arial" w:cs="Arial" w:eastAsia="Arial" w:hAnsi="Arial"/>
          <w:sz w:val="16"/>
          <w:szCs w:val="16"/>
          <w:color w:val="auto"/>
        </w:rPr>
      </w:pPr>
    </w:p>
    <w:p>
      <w:pPr>
        <w:jc w:val="both"/>
        <w:ind w:left="160" w:right="139" w:firstLine="1287"/>
        <w:spacing w:after="0" w:line="211" w:lineRule="auto"/>
        <w:tabs>
          <w:tab w:leader="none" w:pos="2292" w:val="left"/>
        </w:tabs>
        <w:numPr>
          <w:ilvl w:val="2"/>
          <w:numId w:val="128"/>
        </w:numPr>
        <w:rPr>
          <w:rFonts w:ascii="Arial" w:cs="Arial" w:eastAsia="Arial" w:hAnsi="Arial"/>
          <w:sz w:val="18"/>
          <w:szCs w:val="18"/>
          <w:color w:val="auto"/>
        </w:rPr>
      </w:pPr>
      <w:r>
        <w:rPr>
          <w:rFonts w:ascii="Arial" w:cs="Arial" w:eastAsia="Arial" w:hAnsi="Arial"/>
          <w:sz w:val="18"/>
          <w:szCs w:val="18"/>
          <w:u w:val="single" w:color="auto"/>
          <w:color w:val="auto"/>
        </w:rPr>
        <w:t>Discretionary Bonus Compensation</w:t>
      </w:r>
      <w:r>
        <w:rPr>
          <w:rFonts w:ascii="Arial" w:cs="Arial" w:eastAsia="Arial" w:hAnsi="Arial"/>
          <w:sz w:val="18"/>
          <w:szCs w:val="18"/>
          <w:color w:val="auto"/>
        </w:rPr>
        <w:t>. During the Term, the Employee shall be eligible to receive an annual cash bonus (“</w:t>
      </w:r>
      <w:r>
        <w:rPr>
          <w:rFonts w:ascii="Arial" w:cs="Arial" w:eastAsia="Arial" w:hAnsi="Arial"/>
          <w:sz w:val="18"/>
          <w:szCs w:val="18"/>
          <w:u w:val="single" w:color="auto"/>
          <w:color w:val="auto"/>
        </w:rPr>
        <w:t>Discretionary Annual Bonus</w:t>
      </w:r>
      <w:r>
        <w:rPr>
          <w:rFonts w:ascii="Arial" w:cs="Arial" w:eastAsia="Arial" w:hAnsi="Arial"/>
          <w:sz w:val="18"/>
          <w:szCs w:val="18"/>
          <w:color w:val="auto"/>
        </w:rPr>
        <w:t>”) with an initial target level of 35% of Employee’s Base Salary (the “</w:t>
      </w:r>
      <w:r>
        <w:rPr>
          <w:rFonts w:ascii="Arial" w:cs="Arial" w:eastAsia="Arial" w:hAnsi="Arial"/>
          <w:sz w:val="18"/>
          <w:szCs w:val="18"/>
          <w:u w:val="single" w:color="auto"/>
          <w:color w:val="auto"/>
        </w:rPr>
        <w:t>Target Bonus</w:t>
      </w:r>
      <w:r>
        <w:rPr>
          <w:rFonts w:ascii="Arial" w:cs="Arial" w:eastAsia="Arial" w:hAnsi="Arial"/>
          <w:sz w:val="18"/>
          <w:szCs w:val="18"/>
          <w:color w:val="auto"/>
        </w:rPr>
        <w:t>”). The applicable performance goals shall be determined by the Company as soon as practicable at the beginning of each calendar year. The actual Discretionary Annual Bonus for each calendar year, if any, shall be determined in the sole and absolute discretion of the Company and shall be paid to Employee no later than March 15</w:t>
      </w:r>
      <w:r>
        <w:rPr>
          <w:rFonts w:ascii="Arial" w:cs="Arial" w:eastAsia="Arial" w:hAnsi="Arial"/>
          <w:sz w:val="8"/>
          <w:szCs w:val="8"/>
          <w:color w:val="auto"/>
        </w:rPr>
        <w:t>th</w:t>
      </w:r>
      <w:r>
        <w:rPr>
          <w:rFonts w:ascii="Arial" w:cs="Arial" w:eastAsia="Arial" w:hAnsi="Arial"/>
          <w:sz w:val="18"/>
          <w:szCs w:val="18"/>
          <w:color w:val="auto"/>
        </w:rPr>
        <w:t xml:space="preserve"> of the calendar year immediately following the calendar year in which it was earned. For the avoidance of doubt, the Company reserves the right to not pay any Discretionary Annual Bonuses even if all performance goals are achieved or exceeded.</w:t>
      </w:r>
    </w:p>
    <w:p>
      <w:pPr>
        <w:spacing w:after="0" w:line="164" w:lineRule="exact"/>
        <w:rPr>
          <w:rFonts w:ascii="Arial" w:cs="Arial" w:eastAsia="Arial" w:hAnsi="Arial"/>
          <w:sz w:val="18"/>
          <w:szCs w:val="18"/>
          <w:color w:val="auto"/>
        </w:rPr>
      </w:pPr>
    </w:p>
    <w:p>
      <w:pPr>
        <w:ind w:left="2120" w:hanging="673"/>
        <w:spacing w:after="0"/>
        <w:tabs>
          <w:tab w:leader="none" w:pos="2120" w:val="left"/>
        </w:tabs>
        <w:numPr>
          <w:ilvl w:val="2"/>
          <w:numId w:val="128"/>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During the Term, the Employee shall be entitled to earn vacation at the rate of four</w:t>
      </w:r>
    </w:p>
    <w:p>
      <w:pPr>
        <w:spacing w:after="0" w:line="7" w:lineRule="exact"/>
        <w:rPr>
          <w:rFonts w:ascii="Arial" w:cs="Arial" w:eastAsia="Arial" w:hAnsi="Arial"/>
          <w:sz w:val="16"/>
          <w:szCs w:val="16"/>
          <w:color w:val="auto"/>
        </w:rPr>
      </w:pPr>
    </w:p>
    <w:p>
      <w:pPr>
        <w:jc w:val="both"/>
        <w:ind w:left="160" w:right="139" w:hanging="9"/>
        <w:spacing w:after="0" w:line="218" w:lineRule="auto"/>
        <w:tabs>
          <w:tab w:leader="none" w:pos="44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weeks per year, to be taken at such times and intervals as shall be determined by the Employee, subject to the reasonable business needs of the Company. Vacation shall otherwise be governed by the policies of the Company, as in effect from time-to-time.</w:t>
      </w:r>
    </w:p>
    <w:p>
      <w:pPr>
        <w:spacing w:after="0" w:line="122" w:lineRule="exact"/>
        <w:rPr>
          <w:rFonts w:ascii="Arial" w:cs="Arial" w:eastAsia="Arial" w:hAnsi="Arial"/>
          <w:sz w:val="18"/>
          <w:szCs w:val="18"/>
          <w:color w:val="auto"/>
        </w:rPr>
      </w:pPr>
    </w:p>
    <w:p>
      <w:pPr>
        <w:jc w:val="both"/>
        <w:ind w:left="160" w:right="139" w:firstLine="1287"/>
        <w:spacing w:after="0" w:line="212" w:lineRule="auto"/>
        <w:tabs>
          <w:tab w:leader="none" w:pos="2170" w:val="left"/>
        </w:tabs>
        <w:numPr>
          <w:ilvl w:val="2"/>
          <w:numId w:val="129"/>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Term, the Employee shall be entitled to participate, to the extent eligible, in any and all Employee Benefit Plans from time-to-time in effect for employees of the Company generally, except to the extent any such Employee Benefit Plan is in a category of benefit otherwise provided to the Employee under this Agreement (e.g., a severance pay plan). Such participation shall be subject to the terms of the applicable plan documents and generally applicable Company policies. The Company may alter, modify, add to or discontinue its Employee Benefit Plans at any time as it, in its sole judgment, determines to be appropriate, without recourse by the Employee.</w:t>
      </w:r>
    </w:p>
    <w:p>
      <w:pPr>
        <w:spacing w:after="0" w:line="165" w:lineRule="exact"/>
        <w:rPr>
          <w:rFonts w:ascii="Arial" w:cs="Arial" w:eastAsia="Arial" w:hAnsi="Arial"/>
          <w:sz w:val="18"/>
          <w:szCs w:val="18"/>
          <w:color w:val="auto"/>
        </w:rPr>
      </w:pPr>
    </w:p>
    <w:p>
      <w:pPr>
        <w:jc w:val="both"/>
        <w:ind w:left="160" w:right="139" w:firstLine="1287"/>
        <w:spacing w:after="0" w:line="219" w:lineRule="auto"/>
        <w:tabs>
          <w:tab w:leader="none" w:pos="2214" w:val="left"/>
        </w:tabs>
        <w:numPr>
          <w:ilvl w:val="2"/>
          <w:numId w:val="129"/>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The Company shall pay or reimburse the Employee for all reasonable business expenses incurred or paid by the Employee in the performance of Employee’s duties and responsibilities hereunder, subject to reasonable substantiation and documentation and the Company’s standard expense reimbursement policies and procedures.</w:t>
      </w:r>
    </w:p>
    <w:p>
      <w:pPr>
        <w:spacing w:after="0" w:line="162" w:lineRule="exact"/>
        <w:rPr>
          <w:rFonts w:ascii="Arial" w:cs="Arial" w:eastAsia="Arial" w:hAnsi="Arial"/>
          <w:sz w:val="18"/>
          <w:szCs w:val="18"/>
          <w:color w:val="auto"/>
        </w:rPr>
      </w:pPr>
    </w:p>
    <w:p>
      <w:pPr>
        <w:ind w:left="160" w:right="159" w:firstLine="639"/>
        <w:spacing w:after="0" w:line="235" w:lineRule="auto"/>
        <w:tabs>
          <w:tab w:leader="none" w:pos="1861"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and Severance Benefits</w:t>
      </w:r>
      <w:r>
        <w:rPr>
          <w:rFonts w:ascii="Arial" w:cs="Arial" w:eastAsia="Arial" w:hAnsi="Arial"/>
          <w:sz w:val="18"/>
          <w:szCs w:val="18"/>
          <w:color w:val="auto"/>
        </w:rPr>
        <w:t>. The Employee’s employment with the Company shall terminate under the following circumstances:</w:t>
      </w:r>
    </w:p>
    <w:p>
      <w:pPr>
        <w:spacing w:after="0" w:line="161" w:lineRule="exact"/>
        <w:rPr>
          <w:rFonts w:ascii="Arial" w:cs="Arial" w:eastAsia="Arial" w:hAnsi="Arial"/>
          <w:sz w:val="18"/>
          <w:szCs w:val="18"/>
          <w:color w:val="auto"/>
        </w:rPr>
      </w:pPr>
    </w:p>
    <w:p>
      <w:pPr>
        <w:ind w:left="160" w:right="159" w:firstLine="1287"/>
        <w:spacing w:after="0" w:line="235" w:lineRule="auto"/>
        <w:tabs>
          <w:tab w:leader="none" w:pos="2214" w:val="left"/>
        </w:tabs>
        <w:numPr>
          <w:ilvl w:val="2"/>
          <w:numId w:val="130"/>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In the event of the Employee’s death, the Employee’s employment hereunder shall immediately and automatically terminate.</w:t>
      </w:r>
    </w:p>
    <w:p>
      <w:pPr>
        <w:spacing w:after="0" w:line="161" w:lineRule="exact"/>
        <w:rPr>
          <w:rFonts w:ascii="Arial" w:cs="Arial" w:eastAsia="Arial" w:hAnsi="Arial"/>
          <w:sz w:val="18"/>
          <w:szCs w:val="18"/>
          <w:color w:val="auto"/>
        </w:rPr>
      </w:pPr>
    </w:p>
    <w:p>
      <w:pPr>
        <w:ind w:left="2100" w:hanging="653"/>
        <w:spacing w:after="0"/>
        <w:tabs>
          <w:tab w:leader="none" w:pos="2100" w:val="left"/>
        </w:tabs>
        <w:numPr>
          <w:ilvl w:val="2"/>
          <w:numId w:val="130"/>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60" w:right="139" w:firstLine="1935"/>
        <w:spacing w:after="0" w:line="259" w:lineRule="auto"/>
        <w:tabs>
          <w:tab w:leader="none" w:pos="2780" w:val="left"/>
        </w:tabs>
        <w:numPr>
          <w:ilvl w:val="3"/>
          <w:numId w:val="130"/>
        </w:numPr>
        <w:rPr>
          <w:rFonts w:ascii="Arial" w:cs="Arial" w:eastAsia="Arial" w:hAnsi="Arial"/>
          <w:sz w:val="16"/>
          <w:szCs w:val="16"/>
          <w:color w:val="auto"/>
        </w:rPr>
      </w:pPr>
      <w:r>
        <w:rPr>
          <w:rFonts w:ascii="Arial" w:cs="Arial" w:eastAsia="Arial" w:hAnsi="Arial"/>
          <w:sz w:val="16"/>
          <w:szCs w:val="16"/>
          <w:color w:val="auto"/>
        </w:rPr>
        <w:t>The Company may terminate the Employee’s employment hereunder, upon notice to the Employee, in the event that the Employee becomes disabled during Employee’s employment hereunder through any illness, injury, accident or condition of either a physical or psychological nature and, as a result, is unable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316865</wp:posOffset>
            </wp:positionV>
            <wp:extent cx="554863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6" w:name="page197"/>
    <w:bookmarkEnd w:id="196"/>
    <w:p>
      <w:pPr>
        <w:ind w:left="160" w:right="139"/>
        <w:spacing w:after="0" w:line="235" w:lineRule="auto"/>
        <w:rPr>
          <w:sz w:val="20"/>
          <w:szCs w:val="20"/>
          <w:color w:val="auto"/>
        </w:rPr>
      </w:pPr>
      <w:r>
        <w:rPr>
          <w:rFonts w:ascii="Arial" w:cs="Arial" w:eastAsia="Arial" w:hAnsi="Arial"/>
          <w:sz w:val="18"/>
          <w:szCs w:val="18"/>
          <w:color w:val="auto"/>
        </w:rPr>
        <w:t>perform substantially all of Employee’s duties and responsibilities hereunder, notwithstanding the provision of any reasonable accommodation, for ninety (90) consecutive days.</w:t>
      </w:r>
    </w:p>
    <w:p>
      <w:pPr>
        <w:spacing w:after="0" w:line="162" w:lineRule="exact"/>
        <w:rPr>
          <w:sz w:val="20"/>
          <w:szCs w:val="20"/>
          <w:color w:val="auto"/>
        </w:rPr>
      </w:pPr>
    </w:p>
    <w:p>
      <w:pPr>
        <w:jc w:val="both"/>
        <w:ind w:left="160" w:right="139" w:firstLine="1935"/>
        <w:spacing w:after="0" w:line="214" w:lineRule="auto"/>
        <w:tabs>
          <w:tab w:leader="none" w:pos="287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The Parent Board may designate another employee to act in the Employee’s place during any period of the Employee’s disability. Notwithstanding any such designation, the Employee shall continue to receive the Base Salary in accordance with Section 4(a) and benefits in accordance with Section 4(d), to the extent permitted by the then-current terms of the applicable benefit plans, until the Employee becomes eligible for disability income benefits under any disability income plan or until the termination of Employee’s employment, whichever shall first occur.</w:t>
      </w:r>
    </w:p>
    <w:p>
      <w:pPr>
        <w:spacing w:after="0" w:line="162" w:lineRule="exact"/>
        <w:rPr>
          <w:rFonts w:ascii="Arial" w:cs="Arial" w:eastAsia="Arial" w:hAnsi="Arial"/>
          <w:sz w:val="18"/>
          <w:szCs w:val="18"/>
          <w:color w:val="auto"/>
        </w:rPr>
      </w:pPr>
    </w:p>
    <w:p>
      <w:pPr>
        <w:jc w:val="both"/>
        <w:ind w:left="160" w:right="139" w:firstLine="1935"/>
        <w:spacing w:after="0" w:line="219" w:lineRule="auto"/>
        <w:tabs>
          <w:tab w:leader="none" w:pos="2879" w:val="left"/>
        </w:tabs>
        <w:numPr>
          <w:ilvl w:val="2"/>
          <w:numId w:val="131"/>
        </w:numPr>
        <w:rPr>
          <w:rFonts w:ascii="Arial" w:cs="Arial" w:eastAsia="Arial" w:hAnsi="Arial"/>
          <w:sz w:val="18"/>
          <w:szCs w:val="18"/>
          <w:color w:val="auto"/>
        </w:rPr>
      </w:pPr>
      <w:r>
        <w:rPr>
          <w:rFonts w:ascii="Arial" w:cs="Arial" w:eastAsia="Arial" w:hAnsi="Arial"/>
          <w:sz w:val="18"/>
          <w:szCs w:val="18"/>
          <w:color w:val="auto"/>
        </w:rPr>
        <w:t>While receiving disability income payments under any disability income plan, the Employee shall not be entitled to receive any Base Salary under Section 4(a) hereof, but shall continue to participate in Company benefit plans in accordance with Section 4(d) and the terms of such plans, until the termination of Employee’s employment.</w:t>
      </w:r>
    </w:p>
    <w:p>
      <w:pPr>
        <w:spacing w:after="0" w:line="162" w:lineRule="exact"/>
        <w:rPr>
          <w:rFonts w:ascii="Arial" w:cs="Arial" w:eastAsia="Arial" w:hAnsi="Arial"/>
          <w:sz w:val="18"/>
          <w:szCs w:val="18"/>
          <w:color w:val="auto"/>
        </w:rPr>
      </w:pPr>
    </w:p>
    <w:p>
      <w:pPr>
        <w:jc w:val="both"/>
        <w:ind w:left="160" w:right="139" w:firstLine="1287"/>
        <w:spacing w:after="0" w:line="224" w:lineRule="auto"/>
        <w:tabs>
          <w:tab w:leader="none" w:pos="2322"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By the Company for Cause</w:t>
      </w:r>
      <w:r>
        <w:rPr>
          <w:rFonts w:ascii="Arial" w:cs="Arial" w:eastAsia="Arial" w:hAnsi="Arial"/>
          <w:sz w:val="18"/>
          <w:szCs w:val="18"/>
          <w:color w:val="auto"/>
        </w:rPr>
        <w:t>. The Company may terminate the Employee’s employment hereunder for Cause at any time upon written notice to the Employee setting forth in reasonable detail the nature of such Cause.</w:t>
      </w:r>
    </w:p>
    <w:p>
      <w:pPr>
        <w:spacing w:after="0" w:line="163" w:lineRule="exact"/>
        <w:rPr>
          <w:rFonts w:ascii="Arial" w:cs="Arial" w:eastAsia="Arial" w:hAnsi="Arial"/>
          <w:sz w:val="18"/>
          <w:szCs w:val="18"/>
          <w:color w:val="auto"/>
        </w:rPr>
      </w:pPr>
    </w:p>
    <w:p>
      <w:pPr>
        <w:ind w:left="160" w:right="159" w:firstLine="1287"/>
        <w:spacing w:after="0" w:line="235" w:lineRule="auto"/>
        <w:tabs>
          <w:tab w:leader="none" w:pos="2373"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By the Company Other than for Cause</w:t>
      </w:r>
      <w:r>
        <w:rPr>
          <w:rFonts w:ascii="Arial" w:cs="Arial" w:eastAsia="Arial" w:hAnsi="Arial"/>
          <w:sz w:val="18"/>
          <w:szCs w:val="18"/>
          <w:color w:val="auto"/>
        </w:rPr>
        <w:t>. The Company may terminate the Employee’s employment hereunder other than for Cause at any time upon written notice to the Employee.</w:t>
      </w:r>
    </w:p>
    <w:p>
      <w:pPr>
        <w:spacing w:after="0" w:line="161" w:lineRule="exact"/>
        <w:rPr>
          <w:rFonts w:ascii="Arial" w:cs="Arial" w:eastAsia="Arial" w:hAnsi="Arial"/>
          <w:sz w:val="18"/>
          <w:szCs w:val="18"/>
          <w:color w:val="auto"/>
        </w:rPr>
      </w:pPr>
    </w:p>
    <w:p>
      <w:pPr>
        <w:jc w:val="both"/>
        <w:ind w:left="160" w:right="139" w:firstLine="1287"/>
        <w:spacing w:after="0" w:line="238" w:lineRule="auto"/>
        <w:tabs>
          <w:tab w:leader="none" w:pos="2187" w:val="left"/>
        </w:tabs>
        <w:numPr>
          <w:ilvl w:val="1"/>
          <w:numId w:val="132"/>
        </w:numPr>
        <w:rPr>
          <w:rFonts w:ascii="Arial" w:cs="Arial" w:eastAsia="Arial" w:hAnsi="Arial"/>
          <w:sz w:val="17"/>
          <w:szCs w:val="17"/>
          <w:color w:val="auto"/>
        </w:rPr>
      </w:pPr>
      <w:r>
        <w:rPr>
          <w:rFonts w:ascii="Arial" w:cs="Arial" w:eastAsia="Arial" w:hAnsi="Arial"/>
          <w:sz w:val="17"/>
          <w:szCs w:val="17"/>
          <w:u w:val="single" w:color="auto"/>
          <w:color w:val="auto"/>
        </w:rPr>
        <w:t>By the Employee</w:t>
      </w:r>
      <w:r>
        <w:rPr>
          <w:rFonts w:ascii="Arial" w:cs="Arial" w:eastAsia="Arial" w:hAnsi="Arial"/>
          <w:sz w:val="17"/>
          <w:szCs w:val="17"/>
          <w:color w:val="auto"/>
        </w:rPr>
        <w:t>. The Employee may terminate Employee’s employment hereunder at any time upon forty-five (45) days’ notice to the Company. In the event of termination of the Employee pursuant to this Section 5(e), the Company may elect to waive the period of notice, or any portion thereof.</w:t>
      </w:r>
    </w:p>
    <w:p>
      <w:pPr>
        <w:spacing w:after="0" w:line="161" w:lineRule="exact"/>
        <w:rPr>
          <w:rFonts w:ascii="Arial" w:cs="Arial" w:eastAsia="Arial" w:hAnsi="Arial"/>
          <w:sz w:val="17"/>
          <w:szCs w:val="17"/>
          <w:color w:val="auto"/>
        </w:rPr>
      </w:pPr>
    </w:p>
    <w:p>
      <w:pPr>
        <w:ind w:left="1480" w:hanging="681"/>
        <w:spacing w:after="0"/>
        <w:tabs>
          <w:tab w:leader="none" w:pos="14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Severance Payments and Other Matters Related to Separation from Service</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60" w:right="139" w:firstLine="1287"/>
        <w:spacing w:after="0" w:line="221" w:lineRule="auto"/>
        <w:tabs>
          <w:tab w:leader="none" w:pos="2309" w:val="left"/>
        </w:tabs>
        <w:numPr>
          <w:ilvl w:val="1"/>
          <w:numId w:val="133"/>
        </w:numPr>
        <w:rPr>
          <w:rFonts w:ascii="Arial" w:cs="Arial" w:eastAsia="Arial" w:hAnsi="Arial"/>
          <w:sz w:val="17"/>
          <w:szCs w:val="17"/>
          <w:color w:val="auto"/>
        </w:rPr>
      </w:pPr>
      <w:r>
        <w:rPr>
          <w:rFonts w:ascii="Arial" w:cs="Arial" w:eastAsia="Arial" w:hAnsi="Arial"/>
          <w:sz w:val="17"/>
          <w:szCs w:val="17"/>
          <w:u w:val="single" w:color="auto"/>
          <w:color w:val="auto"/>
        </w:rPr>
        <w:t>Final Compensation</w:t>
      </w:r>
      <w:r>
        <w:rPr>
          <w:rFonts w:ascii="Arial" w:cs="Arial" w:eastAsia="Arial" w:hAnsi="Arial"/>
          <w:sz w:val="17"/>
          <w:szCs w:val="17"/>
          <w:color w:val="auto"/>
        </w:rPr>
        <w:t>. Following the termination of the Employee’s employment for any reason, the Company shall pay to the Employee: (i) any Base Salary earned but not paid during the final payroll period of the Employee’s employment through the date of termination, (ii) pay for any vacation time earned but not used through the date of termination, (iii) any unpaid Discretionary Annual Bonus due to Employee for the calendar year prior to the year in which the termination occurs, and (iv) any business expenses incurred by the Employee but unreimbursed on the date of termination, provided that such expenses and required substantiation and documentation are submitted within thirty (30) days of termination and that such expenses are reimbursable under Company policy (all of the foregoing, “</w:t>
      </w:r>
      <w:r>
        <w:rPr>
          <w:rFonts w:ascii="Arial" w:cs="Arial" w:eastAsia="Arial" w:hAnsi="Arial"/>
          <w:sz w:val="17"/>
          <w:szCs w:val="17"/>
          <w:u w:val="single" w:color="auto"/>
          <w:color w:val="auto"/>
        </w:rPr>
        <w:t>Final Compensation</w:t>
      </w:r>
      <w:r>
        <w:rPr>
          <w:rFonts w:ascii="Arial" w:cs="Arial" w:eastAsia="Arial" w:hAnsi="Arial"/>
          <w:sz w:val="17"/>
          <w:szCs w:val="17"/>
          <w:color w:val="auto"/>
        </w:rPr>
        <w:t>”). Any Base Salary and any earned, unused vacation time shall be paid to the Employee at the time required by law, but not later than the Company’s next regular pay date following the date of termination. Any reimbursable business expenses shall be paid within sixty (60) days following the date that the Employee submits such expenses to the Company. Other than as expressly provided in Section 6(b), the Company shall have no further obligation to the Employee hereunder.</w:t>
      </w:r>
    </w:p>
    <w:p>
      <w:pPr>
        <w:spacing w:after="0" w:line="162" w:lineRule="exact"/>
        <w:rPr>
          <w:rFonts w:ascii="Arial" w:cs="Arial" w:eastAsia="Arial" w:hAnsi="Arial"/>
          <w:sz w:val="17"/>
          <w:szCs w:val="17"/>
          <w:color w:val="auto"/>
        </w:rPr>
      </w:pPr>
    </w:p>
    <w:p>
      <w:pPr>
        <w:jc w:val="both"/>
        <w:ind w:left="160" w:right="139" w:firstLine="1287"/>
        <w:spacing w:after="0" w:line="233" w:lineRule="auto"/>
        <w:tabs>
          <w:tab w:leader="none" w:pos="2265"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In the event the Employee’s employment terminates pursuant to Section 5(a), 5(b) or 5(d) of this Agreement, in addition to Final Compensation, (i) the vesting of all unvested equity awards of Parent or its Affiliates that vest solely based on the passage of time then held by Employee (including, without limitation, restricted stock, restricted stock units, stock options or other equity-based awards, whether granted to or held by Employee either before or after the date of this Agreement) shall accelerate by twelve (12) months (for the avoidance of doubt, with any equity awards that vest in whole or in part based on the attainment of performance-vesting conditions being governed by the terms of the applicable award agreement); and (ii) the Company shall pay the Employee (A) a lump sum equal to the Base Salary divided by twelve (12), then multiplied by the number of months of the Severance Period (as defined below) (such payment, the “</w:t>
      </w:r>
      <w:r>
        <w:rPr>
          <w:rFonts w:ascii="Arial" w:cs="Arial" w:eastAsia="Arial" w:hAnsi="Arial"/>
          <w:sz w:val="16"/>
          <w:szCs w:val="16"/>
          <w:u w:val="single" w:color="auto"/>
          <w:color w:val="auto"/>
        </w:rPr>
        <w:t>Severance Payment</w:t>
      </w:r>
      <w:r>
        <w:rPr>
          <w:rFonts w:ascii="Arial" w:cs="Arial" w:eastAsia="Arial" w:hAnsi="Arial"/>
          <w:sz w:val="16"/>
          <w:szCs w:val="16"/>
          <w:color w:val="auto"/>
        </w:rPr>
        <w:t>”), (B) the Post-Termination Bonus (as defined below), and (C) an additional one-time bonus of $16,500 (such payment, the “</w:t>
      </w:r>
      <w:r>
        <w:rPr>
          <w:rFonts w:ascii="Arial" w:cs="Arial" w:eastAsia="Arial" w:hAnsi="Arial"/>
          <w:sz w:val="16"/>
          <w:szCs w:val="16"/>
          <w:u w:val="single" w:color="auto"/>
          <w:color w:val="auto"/>
        </w:rPr>
        <w:t>One-Time Bonus</w:t>
      </w:r>
      <w:r>
        <w:rPr>
          <w:rFonts w:ascii="Arial" w:cs="Arial" w:eastAsia="Arial" w:hAnsi="Arial"/>
          <w:sz w:val="16"/>
          <w:szCs w:val="16"/>
          <w:color w:val="auto"/>
        </w:rPr>
        <w:t>”). Subject to Sections 6(d) and 7(a) of this Agreement (x) the Severance Payment and the One-Time Bonus shall be paid by the sixtieth (60th) day following the date of termination and (y) the Post-Termination Bonus shall be paid at or around the time that annual bonuses are paid to other similarly situated employees of the Company, but in no event later than March 15 of the year following the year in which the Separation from Service occurs; provided that if the termination occurs during the twelve (12) month period following a Change in Control, (i)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331470</wp:posOffset>
            </wp:positionV>
            <wp:extent cx="554863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7" w:name="page198"/>
    <w:bookmarkEnd w:id="197"/>
    <w:p>
      <w:pPr>
        <w:jc w:val="both"/>
        <w:ind w:left="160" w:right="139"/>
        <w:spacing w:after="0" w:line="236" w:lineRule="auto"/>
        <w:rPr>
          <w:sz w:val="20"/>
          <w:szCs w:val="20"/>
          <w:color w:val="auto"/>
        </w:rPr>
      </w:pPr>
      <w:r>
        <w:rPr>
          <w:rFonts w:ascii="Arial" w:cs="Arial" w:eastAsia="Arial" w:hAnsi="Arial"/>
          <w:sz w:val="16"/>
          <w:szCs w:val="16"/>
          <w:color w:val="auto"/>
        </w:rPr>
        <w:t>Post-Termination Bonus shall be paid by the sixtieth (60th) day following the date of termination and (ii) notwithstanding the provisions of the Parent’s 2018 Incentive Award Plan, the Parent’s 2015 Equity Incentive Plan or any other equity plan, the Employee shall be immediately 100% fully vested in all unvested equity awards of Parent or its Affiliates that vest solely based on the passage of time (including, without limitation, restricted stock, restricted stock units, stock options or other equity-based awards, whether granted to or held by Employee either before or after the date of this Agreement and for the avoidance of doubt, with any equity awards that vest in whole or in part based on the attainment of performance-vesting conditions being governed by the terms of the applicable award agreement). The “</w:t>
      </w:r>
      <w:r>
        <w:rPr>
          <w:rFonts w:ascii="Arial" w:cs="Arial" w:eastAsia="Arial" w:hAnsi="Arial"/>
          <w:sz w:val="16"/>
          <w:szCs w:val="16"/>
          <w:u w:val="single" w:color="auto"/>
          <w:color w:val="auto"/>
        </w:rPr>
        <w:t>Severance Period</w:t>
      </w:r>
      <w:r>
        <w:rPr>
          <w:rFonts w:ascii="Arial" w:cs="Arial" w:eastAsia="Arial" w:hAnsi="Arial"/>
          <w:sz w:val="16"/>
          <w:szCs w:val="16"/>
          <w:color w:val="auto"/>
        </w:rPr>
        <w:t>” shall be nine (9) months; provided, that if the Employee’s separation from service occurs during the twelve (12) months following a Change in Control, then the Severance Period shall be twelve (12) months.</w:t>
      </w:r>
    </w:p>
    <w:p>
      <w:pPr>
        <w:spacing w:after="0" w:line="168" w:lineRule="exact"/>
        <w:rPr>
          <w:sz w:val="20"/>
          <w:szCs w:val="20"/>
          <w:color w:val="auto"/>
        </w:rPr>
      </w:pPr>
    </w:p>
    <w:p>
      <w:pPr>
        <w:jc w:val="both"/>
        <w:ind w:left="160" w:right="139" w:firstLine="1287"/>
        <w:spacing w:after="0" w:line="232" w:lineRule="auto"/>
        <w:tabs>
          <w:tab w:leader="none" w:pos="2133" w:val="left"/>
        </w:tabs>
        <w:numPr>
          <w:ilvl w:val="1"/>
          <w:numId w:val="134"/>
        </w:numPr>
        <w:rPr>
          <w:rFonts w:ascii="Arial" w:cs="Arial" w:eastAsia="Arial" w:hAnsi="Arial"/>
          <w:sz w:val="17"/>
          <w:szCs w:val="17"/>
          <w:color w:val="auto"/>
        </w:rPr>
      </w:pPr>
      <w:r>
        <w:rPr>
          <w:rFonts w:ascii="Arial" w:cs="Arial" w:eastAsia="Arial" w:hAnsi="Arial"/>
          <w:sz w:val="17"/>
          <w:szCs w:val="17"/>
          <w:u w:val="single" w:color="auto"/>
          <w:color w:val="auto"/>
        </w:rPr>
        <w:t>Post-Termination Bonus</w:t>
      </w:r>
      <w:r>
        <w:rPr>
          <w:rFonts w:ascii="Arial" w:cs="Arial" w:eastAsia="Arial" w:hAnsi="Arial"/>
          <w:sz w:val="17"/>
          <w:szCs w:val="17"/>
          <w:color w:val="auto"/>
        </w:rPr>
        <w:t>. For the purposes of this Agreement, the “</w:t>
      </w:r>
      <w:r>
        <w:rPr>
          <w:rFonts w:ascii="Arial" w:cs="Arial" w:eastAsia="Arial" w:hAnsi="Arial"/>
          <w:sz w:val="17"/>
          <w:szCs w:val="17"/>
          <w:u w:val="single" w:color="auto"/>
          <w:color w:val="auto"/>
        </w:rPr>
        <w:t>Post-Termination Bonus</w:t>
      </w:r>
      <w:r>
        <w:rPr>
          <w:rFonts w:ascii="Arial" w:cs="Arial" w:eastAsia="Arial" w:hAnsi="Arial"/>
          <w:sz w:val="17"/>
          <w:szCs w:val="17"/>
          <w:color w:val="auto"/>
        </w:rPr>
        <w:t>” shall be a pro-rata share of the Target Bonus for the calendar year in which the termination occurs; provided that if the termination occurs in the twelve (12) month period following a Change in Control, the Post-Termination Bonus shall be equal to the Target Bonus for the calendar year in which such termination occurs.</w:t>
      </w:r>
    </w:p>
    <w:p>
      <w:pPr>
        <w:spacing w:after="0" w:line="162" w:lineRule="exact"/>
        <w:rPr>
          <w:rFonts w:ascii="Arial" w:cs="Arial" w:eastAsia="Arial" w:hAnsi="Arial"/>
          <w:sz w:val="17"/>
          <w:szCs w:val="17"/>
          <w:color w:val="auto"/>
        </w:rPr>
      </w:pPr>
    </w:p>
    <w:p>
      <w:pPr>
        <w:jc w:val="both"/>
        <w:ind w:left="160" w:right="139" w:firstLine="1287"/>
        <w:spacing w:after="0" w:line="226" w:lineRule="auto"/>
        <w:tabs>
          <w:tab w:leader="none" w:pos="2224" w:val="left"/>
        </w:tabs>
        <w:numPr>
          <w:ilvl w:val="1"/>
          <w:numId w:val="134"/>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The Employee’s right to receive the payments and benefits set forth in Section 6(b) is conditioned on the Employee’s signing and returning to the Company (and not revoking) a general release of claims in the form provided by the Company at the time the Employee’s employment is terminated (the “</w:t>
      </w:r>
      <w:r>
        <w:rPr>
          <w:rFonts w:ascii="Arial" w:cs="Arial" w:eastAsia="Arial" w:hAnsi="Arial"/>
          <w:sz w:val="17"/>
          <w:szCs w:val="17"/>
          <w:u w:val="single" w:color="auto"/>
          <w:color w:val="auto"/>
        </w:rPr>
        <w:t>Employee Release</w:t>
      </w:r>
      <w:r>
        <w:rPr>
          <w:rFonts w:ascii="Arial" w:cs="Arial" w:eastAsia="Arial" w:hAnsi="Arial"/>
          <w:sz w:val="17"/>
          <w:szCs w:val="17"/>
          <w:color w:val="auto"/>
        </w:rPr>
        <w:t>”). The Employee must sign and return the Employee Release, if at all, by the deadline specified therein, which deadline shall in no event be later than the sixtieth (60th) calendar day following the termination date. The Employee Release shall take effect on the expiration of any revocation period specified therein.</w:t>
      </w:r>
    </w:p>
    <w:p>
      <w:pPr>
        <w:spacing w:after="0" w:line="165" w:lineRule="exact"/>
        <w:rPr>
          <w:rFonts w:ascii="Arial" w:cs="Arial" w:eastAsia="Arial" w:hAnsi="Arial"/>
          <w:sz w:val="17"/>
          <w:szCs w:val="17"/>
          <w:color w:val="auto"/>
        </w:rPr>
      </w:pPr>
    </w:p>
    <w:p>
      <w:pPr>
        <w:jc w:val="both"/>
        <w:ind w:left="160" w:right="139" w:firstLine="1287"/>
        <w:spacing w:after="0" w:line="214" w:lineRule="auto"/>
        <w:tabs>
          <w:tab w:leader="none" w:pos="2201"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Effect of Termination</w:t>
      </w:r>
      <w:r>
        <w:rPr>
          <w:rFonts w:ascii="Arial" w:cs="Arial" w:eastAsia="Arial" w:hAnsi="Arial"/>
          <w:sz w:val="18"/>
          <w:szCs w:val="18"/>
          <w:color w:val="auto"/>
        </w:rPr>
        <w:t>. Payment by the Company of Final Compensation and the payments and benefits set forth in Section 6(b) shall constitute the sole obligations of the Company in connection with the termination of the Employee’s employment hereunder. Except for any right of the Employee to continue medical and dental plan participation in accordance with applicable law, benefits shall terminate pursuant to the terms of the applicable benefit plans based on the date of termination of the Employee’s employment without regard to any of the payments set forth in Section 6(b).</w:t>
      </w:r>
    </w:p>
    <w:p>
      <w:pPr>
        <w:spacing w:after="0" w:line="162" w:lineRule="exact"/>
        <w:rPr>
          <w:rFonts w:ascii="Arial" w:cs="Arial" w:eastAsia="Arial" w:hAnsi="Arial"/>
          <w:sz w:val="18"/>
          <w:szCs w:val="18"/>
          <w:color w:val="auto"/>
        </w:rPr>
      </w:pPr>
    </w:p>
    <w:p>
      <w:pPr>
        <w:jc w:val="both"/>
        <w:ind w:left="160" w:right="139" w:firstLine="1287"/>
        <w:spacing w:after="0" w:line="214" w:lineRule="auto"/>
        <w:tabs>
          <w:tab w:leader="none" w:pos="2145"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Provisions of this Agreement shall survive any termination if so provided herein or if necessary or desirable to accomplish the purposes of other surviving provisions, including without limitation the obligations of the Employee under Section 8 hereof. The obligation of the Company to make, and the right of the Employee to retain, any payments or benefits set forth in Section 6(b) is expressly conditioned upon the Employee’s continued full performance of obligations under Section 8 and the Confidential Information and Non-Competition Agreement.</w:t>
      </w:r>
    </w:p>
    <w:p>
      <w:pPr>
        <w:spacing w:after="0" w:line="162" w:lineRule="exact"/>
        <w:rPr>
          <w:rFonts w:ascii="Arial" w:cs="Arial" w:eastAsia="Arial" w:hAnsi="Arial"/>
          <w:sz w:val="18"/>
          <w:szCs w:val="18"/>
          <w:color w:val="auto"/>
        </w:rPr>
      </w:pPr>
    </w:p>
    <w:p>
      <w:pPr>
        <w:ind w:left="1480" w:hanging="681"/>
        <w:spacing w:after="0"/>
        <w:tabs>
          <w:tab w:leader="none" w:pos="148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Timing of Payments and Section 409A</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60" w:right="139" w:firstLine="1287"/>
        <w:spacing w:after="0" w:line="214" w:lineRule="auto"/>
        <w:tabs>
          <w:tab w:leader="none" w:pos="215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if at the time of the Employee’s termination of employment, the Employee is a Specified Employee (as defined below), such amounts that may be subject to the Specified Employee rules set forth at (a)(2)(B)(i) of Section 409A of the Code (“</w:t>
      </w:r>
      <w:r>
        <w:rPr>
          <w:rFonts w:ascii="Arial" w:cs="Arial" w:eastAsia="Arial" w:hAnsi="Arial"/>
          <w:sz w:val="18"/>
          <w:szCs w:val="18"/>
          <w:u w:val="single" w:color="auto"/>
          <w:color w:val="auto"/>
        </w:rPr>
        <w:t>Section 409A</w:t>
      </w:r>
      <w:r>
        <w:rPr>
          <w:rFonts w:ascii="Arial" w:cs="Arial" w:eastAsia="Arial" w:hAnsi="Arial"/>
          <w:sz w:val="18"/>
          <w:szCs w:val="18"/>
          <w:color w:val="auto"/>
        </w:rPr>
        <w:t>”) and payable under Section 6 on account of such Separation from Service (as defined below) that would (but for this provision) be payable within six (6) months following the date of termination, shall instead be paid on the next business day following the expiration of such six (6) month period.</w:t>
      </w:r>
    </w:p>
    <w:p>
      <w:pPr>
        <w:spacing w:after="0" w:line="162" w:lineRule="exact"/>
        <w:rPr>
          <w:rFonts w:ascii="Arial" w:cs="Arial" w:eastAsia="Arial" w:hAnsi="Arial"/>
          <w:sz w:val="18"/>
          <w:szCs w:val="18"/>
          <w:color w:val="auto"/>
        </w:rPr>
      </w:pPr>
    </w:p>
    <w:p>
      <w:pPr>
        <w:jc w:val="both"/>
        <w:ind w:left="160" w:right="159" w:firstLine="1287"/>
        <w:spacing w:after="0" w:line="259" w:lineRule="auto"/>
        <w:tabs>
          <w:tab w:leader="none" w:pos="217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shall be determined in a manner consistent with subsection (a)(2)(A)(i) of Section 409A, and the term “</w:t>
      </w:r>
      <w:r>
        <w:rPr>
          <w:rFonts w:ascii="Arial" w:cs="Arial" w:eastAsia="Arial" w:hAnsi="Arial"/>
          <w:sz w:val="16"/>
          <w:szCs w:val="16"/>
          <w:u w:val="single" w:color="auto"/>
          <w:color w:val="auto"/>
        </w:rPr>
        <w:t>Specified Employee</w:t>
      </w:r>
      <w:r>
        <w:rPr>
          <w:rFonts w:ascii="Arial" w:cs="Arial" w:eastAsia="Arial" w:hAnsi="Arial"/>
          <w:sz w:val="16"/>
          <w:szCs w:val="16"/>
          <w:color w:val="auto"/>
        </w:rPr>
        <w:t>” shall mean an individual determined by the Company to be a specified employee as defined in subsection (a)(2)(B)(i) of Section 409A.</w:t>
      </w:r>
    </w:p>
    <w:p>
      <w:pPr>
        <w:spacing w:after="0" w:line="147" w:lineRule="exact"/>
        <w:rPr>
          <w:rFonts w:ascii="Arial" w:cs="Arial" w:eastAsia="Arial" w:hAnsi="Arial"/>
          <w:sz w:val="16"/>
          <w:szCs w:val="16"/>
          <w:color w:val="auto"/>
        </w:rPr>
      </w:pPr>
    </w:p>
    <w:p>
      <w:pPr>
        <w:ind w:left="160" w:right="159" w:firstLine="1287"/>
        <w:spacing w:after="0" w:line="289" w:lineRule="auto"/>
        <w:tabs>
          <w:tab w:leader="none" w:pos="2106"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Each payment made under this Agreement shall be treated as a separate payment and the right to a series of installment payments under this Agreement is to be treated as a right to a series of separate payments.</w:t>
      </w:r>
    </w:p>
    <w:p>
      <w:pPr>
        <w:spacing w:after="0" w:line="124" w:lineRule="exact"/>
        <w:rPr>
          <w:rFonts w:ascii="Arial" w:cs="Arial" w:eastAsia="Arial" w:hAnsi="Arial"/>
          <w:sz w:val="16"/>
          <w:szCs w:val="16"/>
          <w:color w:val="auto"/>
        </w:rPr>
      </w:pPr>
    </w:p>
    <w:p>
      <w:pPr>
        <w:ind w:left="160" w:right="139" w:firstLine="1287"/>
        <w:spacing w:after="0" w:line="289" w:lineRule="auto"/>
        <w:tabs>
          <w:tab w:leader="none" w:pos="2199"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Employee’s right to reimbursement for business expenses hereunder shall be subject to the following additional rules: (i) the amount of expenses eligible for reimbursement during any calendar year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302260</wp:posOffset>
            </wp:positionV>
            <wp:extent cx="554863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8" w:name="page199"/>
    <w:bookmarkEnd w:id="198"/>
    <w:p>
      <w:pPr>
        <w:jc w:val="both"/>
        <w:ind w:left="160" w:right="139"/>
        <w:spacing w:after="0" w:line="224" w:lineRule="auto"/>
        <w:rPr>
          <w:sz w:val="20"/>
          <w:szCs w:val="20"/>
          <w:color w:val="auto"/>
        </w:rPr>
      </w:pPr>
      <w:r>
        <w:rPr>
          <w:rFonts w:ascii="Arial" w:cs="Arial" w:eastAsia="Arial" w:hAnsi="Arial"/>
          <w:sz w:val="18"/>
          <w:szCs w:val="18"/>
          <w:color w:val="auto"/>
        </w:rPr>
        <w:t>not affect the expenses eligible for reimbursement in any other taxable year, (ii) reimbursement shall be made not later than December 31 of the calendar year following the calendar year in which the expense was incurred, and (iii) the right to reimbursement is not subject to liquidation or exchange for any other benefit.</w:t>
      </w:r>
    </w:p>
    <w:p>
      <w:pPr>
        <w:spacing w:after="0" w:line="163" w:lineRule="exact"/>
        <w:rPr>
          <w:sz w:val="20"/>
          <w:szCs w:val="20"/>
          <w:color w:val="auto"/>
        </w:rPr>
      </w:pPr>
    </w:p>
    <w:p>
      <w:pPr>
        <w:ind w:left="160" w:right="139" w:firstLine="1287"/>
        <w:spacing w:after="0" w:line="235" w:lineRule="auto"/>
        <w:tabs>
          <w:tab w:leader="none" w:pos="2117" w:val="left"/>
        </w:tabs>
        <w:numPr>
          <w:ilvl w:val="2"/>
          <w:numId w:val="136"/>
        </w:numPr>
        <w:rPr>
          <w:rFonts w:ascii="Arial" w:cs="Arial" w:eastAsia="Arial" w:hAnsi="Arial"/>
          <w:sz w:val="18"/>
          <w:szCs w:val="18"/>
          <w:color w:val="auto"/>
        </w:rPr>
      </w:pPr>
      <w:r>
        <w:rPr>
          <w:rFonts w:ascii="Arial" w:cs="Arial" w:eastAsia="Arial" w:hAnsi="Arial"/>
          <w:sz w:val="18"/>
          <w:szCs w:val="18"/>
          <w:color w:val="auto"/>
        </w:rPr>
        <w:t>In no event shall the Company have any liability relating to any payment or benefit under this Agreement failing to comply with, or be exempt from, the requirements of Section 409A.</w:t>
      </w:r>
    </w:p>
    <w:p>
      <w:pPr>
        <w:spacing w:after="0" w:line="161" w:lineRule="exact"/>
        <w:rPr>
          <w:rFonts w:ascii="Arial" w:cs="Arial" w:eastAsia="Arial" w:hAnsi="Arial"/>
          <w:sz w:val="18"/>
          <w:szCs w:val="18"/>
          <w:color w:val="auto"/>
        </w:rPr>
      </w:pPr>
    </w:p>
    <w:p>
      <w:pPr>
        <w:ind w:left="1480" w:hanging="681"/>
        <w:spacing w:after="0"/>
        <w:tabs>
          <w:tab w:leader="none" w:pos="1480"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Confidentiality; Cooperation</w:t>
      </w:r>
    </w:p>
    <w:p>
      <w:pPr>
        <w:spacing w:after="0" w:line="184" w:lineRule="exact"/>
        <w:rPr>
          <w:rFonts w:ascii="Arial" w:cs="Arial" w:eastAsia="Arial" w:hAnsi="Arial"/>
          <w:sz w:val="18"/>
          <w:szCs w:val="18"/>
          <w:color w:val="auto"/>
        </w:rPr>
      </w:pPr>
    </w:p>
    <w:p>
      <w:pPr>
        <w:jc w:val="both"/>
        <w:ind w:left="160" w:right="139" w:firstLine="1287"/>
        <w:spacing w:after="0" w:line="223" w:lineRule="auto"/>
        <w:tabs>
          <w:tab w:leader="none" w:pos="2255" w:val="left"/>
        </w:tabs>
        <w:numPr>
          <w:ilvl w:val="2"/>
          <w:numId w:val="137"/>
        </w:numPr>
        <w:rPr>
          <w:rFonts w:ascii="Arial" w:cs="Arial" w:eastAsia="Arial" w:hAnsi="Arial"/>
          <w:sz w:val="17"/>
          <w:szCs w:val="17"/>
          <w:color w:val="auto"/>
        </w:rPr>
      </w:pPr>
      <w:r>
        <w:rPr>
          <w:rFonts w:ascii="Arial" w:cs="Arial" w:eastAsia="Arial" w:hAnsi="Arial"/>
          <w:sz w:val="17"/>
          <w:szCs w:val="17"/>
          <w:u w:val="single" w:color="auto"/>
          <w:color w:val="auto"/>
        </w:rPr>
        <w:t>Confidentiality and Other Covenants</w:t>
      </w:r>
      <w:r>
        <w:rPr>
          <w:rFonts w:ascii="Arial" w:cs="Arial" w:eastAsia="Arial" w:hAnsi="Arial"/>
          <w:sz w:val="17"/>
          <w:szCs w:val="17"/>
          <w:color w:val="auto"/>
        </w:rPr>
        <w:t>. As a condition of Employee’s employment with the Company, the Employee has executed the Confidential Information and Non-Competition Agreement, which the Company and Employee acknowledge and agree shall be considered a separate contract. In addition, Employee represents and warrants that Employee shall be able to and/or will continue to perform the duties of Employee’s position without utilizing any material confidential and/or proprietary information that Employee may have obtained in connection with employment with any prior employer, and that Employee shall not (i) disclose any such information to the Company, or (ii) induce any Company employee to use any such information, in either case in violation of any confidentiality obligation, whether by agreement, by operation of law or otherwise.</w:t>
      </w:r>
    </w:p>
    <w:p>
      <w:pPr>
        <w:spacing w:after="0" w:line="167" w:lineRule="exact"/>
        <w:rPr>
          <w:rFonts w:ascii="Arial" w:cs="Arial" w:eastAsia="Arial" w:hAnsi="Arial"/>
          <w:sz w:val="17"/>
          <w:szCs w:val="17"/>
          <w:color w:val="auto"/>
        </w:rPr>
      </w:pPr>
    </w:p>
    <w:p>
      <w:pPr>
        <w:jc w:val="both"/>
        <w:ind w:left="160" w:right="139" w:firstLine="1287"/>
        <w:spacing w:after="0" w:line="220" w:lineRule="auto"/>
        <w:tabs>
          <w:tab w:leader="none" w:pos="2130" w:val="left"/>
        </w:tabs>
        <w:numPr>
          <w:ilvl w:val="2"/>
          <w:numId w:val="137"/>
        </w:numPr>
        <w:rPr>
          <w:rFonts w:ascii="Arial" w:cs="Arial" w:eastAsia="Arial" w:hAnsi="Arial"/>
          <w:sz w:val="17"/>
          <w:szCs w:val="17"/>
          <w:color w:val="auto"/>
        </w:rPr>
      </w:pPr>
      <w:r>
        <w:rPr>
          <w:rFonts w:ascii="Arial" w:cs="Arial" w:eastAsia="Arial" w:hAnsi="Arial"/>
          <w:sz w:val="17"/>
          <w:szCs w:val="17"/>
          <w:u w:val="single" w:color="auto"/>
          <w:color w:val="auto"/>
        </w:rPr>
        <w:t>Litigation and Regulatory Cooperation</w:t>
      </w:r>
      <w:r>
        <w:rPr>
          <w:rFonts w:ascii="Arial" w:cs="Arial" w:eastAsia="Arial" w:hAnsi="Arial"/>
          <w:sz w:val="17"/>
          <w:szCs w:val="17"/>
          <w:color w:val="auto"/>
        </w:rPr>
        <w:t>. During and after Employee’s employment, Employee shall reasonably cooperate with the Company in the defense or prosecution of any claims or actions now in existence or which may be brought in the future against or on behalf of the Company which relate to events or occurrences that transpired while the Company employed Employee; provided that, the Employee will not have an obligation under this paragraph with respect to any claim that the Employee has filed directly against the Company or related persons or entities. The Employee’s reasonable cooperation in connection with such claims or actions shall include, but not be limited to, being available to meet with counsel to prepare for discovery or trial and to act as a witness on behalf of the Company at mutually convenient times. During and after Employee’s employment, Employee also shall reasonably cooperate with the Company in connection with any investigation or review of any federal, state or local regulatory authority as any such investigation or review relates to events or occurrences that transpired while Employee was employed by the Company, provided Employee will not have any obligation under this paragraph with respect to any claim that Employee has filed directly against the Company or related persons or entities. The Company shall reimburse Employee for any reasonable out-of-pocket expenses incurred in connection with Employee’s performance of obligations pursuant to this Section 8(b).</w:t>
      </w:r>
    </w:p>
    <w:p>
      <w:pPr>
        <w:spacing w:after="0" w:line="165" w:lineRule="exact"/>
        <w:rPr>
          <w:rFonts w:ascii="Arial" w:cs="Arial" w:eastAsia="Arial" w:hAnsi="Arial"/>
          <w:sz w:val="17"/>
          <w:szCs w:val="17"/>
          <w:color w:val="auto"/>
        </w:rPr>
      </w:pPr>
    </w:p>
    <w:p>
      <w:pPr>
        <w:ind w:left="1480" w:hanging="681"/>
        <w:spacing w:after="0"/>
        <w:tabs>
          <w:tab w:leader="none" w:pos="1480"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Section 280G; Limitations on Payment</w:t>
      </w:r>
    </w:p>
    <w:p>
      <w:pPr>
        <w:spacing w:after="0" w:line="184" w:lineRule="exact"/>
        <w:rPr>
          <w:rFonts w:ascii="Arial" w:cs="Arial" w:eastAsia="Arial" w:hAnsi="Arial"/>
          <w:sz w:val="18"/>
          <w:szCs w:val="18"/>
          <w:color w:val="auto"/>
        </w:rPr>
      </w:pPr>
    </w:p>
    <w:p>
      <w:pPr>
        <w:jc w:val="both"/>
        <w:ind w:left="160" w:right="159" w:firstLine="1287"/>
        <w:spacing w:after="0" w:line="239" w:lineRule="auto"/>
        <w:tabs>
          <w:tab w:leader="none" w:pos="2160" w:val="left"/>
        </w:tabs>
        <w:numPr>
          <w:ilvl w:val="2"/>
          <w:numId w:val="137"/>
        </w:numPr>
        <w:rPr>
          <w:rFonts w:ascii="Arial" w:cs="Arial" w:eastAsia="Arial" w:hAnsi="Arial"/>
          <w:sz w:val="16"/>
          <w:szCs w:val="16"/>
          <w:color w:val="auto"/>
        </w:rPr>
      </w:pPr>
      <w:r>
        <w:rPr>
          <w:rFonts w:ascii="Arial" w:cs="Arial" w:eastAsia="Arial" w:hAnsi="Arial"/>
          <w:sz w:val="16"/>
          <w:szCs w:val="16"/>
          <w:color w:val="auto"/>
        </w:rPr>
        <w:t>If any payment or benefit Employee shall or may receive from the Company or otherwise (a “</w:t>
      </w:r>
      <w:r>
        <w:rPr>
          <w:rFonts w:ascii="Arial" w:cs="Arial" w:eastAsia="Arial" w:hAnsi="Arial"/>
          <w:sz w:val="16"/>
          <w:szCs w:val="16"/>
          <w:u w:val="single" w:color="auto"/>
          <w:color w:val="auto"/>
        </w:rPr>
        <w:t>280G Payment</w:t>
      </w:r>
      <w:r>
        <w:rPr>
          <w:rFonts w:ascii="Arial" w:cs="Arial" w:eastAsia="Arial" w:hAnsi="Arial"/>
          <w:sz w:val="16"/>
          <w:szCs w:val="16"/>
          <w:color w:val="auto"/>
        </w:rPr>
        <w:t>”) would (i) constitute a “parachute payment” within the meaning of Section 280G of the Code, and</w:t>
      </w:r>
    </w:p>
    <w:p>
      <w:pPr>
        <w:jc w:val="both"/>
        <w:ind w:left="160" w:right="139" w:hanging="9"/>
        <w:spacing w:after="0" w:line="219" w:lineRule="auto"/>
        <w:tabs>
          <w:tab w:leader="none" w:pos="43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but for this sentence, be subject to the excise tax imposed by Section 4999 of the Code (the “</w:t>
      </w:r>
      <w:r>
        <w:rPr>
          <w:rFonts w:ascii="Arial" w:cs="Arial" w:eastAsia="Arial" w:hAnsi="Arial"/>
          <w:sz w:val="17"/>
          <w:szCs w:val="17"/>
          <w:u w:val="single" w:color="auto"/>
          <w:color w:val="auto"/>
        </w:rPr>
        <w:t>Excise Tax</w:t>
      </w:r>
      <w:r>
        <w:rPr>
          <w:rFonts w:ascii="Arial" w:cs="Arial" w:eastAsia="Arial" w:hAnsi="Arial"/>
          <w:sz w:val="17"/>
          <w:szCs w:val="17"/>
          <w:color w:val="auto"/>
        </w:rPr>
        <w:t>”), then any such 280G Payment provided pursuant to this Agreement (a “</w:t>
      </w:r>
      <w:r>
        <w:rPr>
          <w:rFonts w:ascii="Arial" w:cs="Arial" w:eastAsia="Arial" w:hAnsi="Arial"/>
          <w:sz w:val="17"/>
          <w:szCs w:val="17"/>
          <w:u w:val="single" w:color="auto"/>
          <w:color w:val="auto"/>
        </w:rPr>
        <w:t>Payment</w:t>
      </w:r>
      <w:r>
        <w:rPr>
          <w:rFonts w:ascii="Arial" w:cs="Arial" w:eastAsia="Arial" w:hAnsi="Arial"/>
          <w:sz w:val="17"/>
          <w:szCs w:val="17"/>
          <w:color w:val="auto"/>
        </w:rPr>
        <w: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Employee’s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7"/>
          <w:szCs w:val="17"/>
          <w:u w:val="single" w:color="auto"/>
          <w:color w:val="auto"/>
        </w:rPr>
        <w:t>Reduction Method</w:t>
      </w:r>
      <w:r>
        <w:rPr>
          <w:rFonts w:ascii="Arial" w:cs="Arial" w:eastAsia="Arial" w:hAnsi="Arial"/>
          <w:sz w:val="17"/>
          <w:szCs w:val="17"/>
          <w:color w:val="auto"/>
        </w:rPr>
        <w:t>”) that results in the greatest economic benefit for Employee. If more than one method of reduction shall result in the same economic benefit, the items so reduced shall be reduced pro rata (the “</w:t>
      </w:r>
      <w:r>
        <w:rPr>
          <w:rFonts w:ascii="Arial" w:cs="Arial" w:eastAsia="Arial" w:hAnsi="Arial"/>
          <w:sz w:val="17"/>
          <w:szCs w:val="17"/>
          <w:u w:val="single" w:color="auto"/>
          <w:color w:val="auto"/>
        </w:rPr>
        <w:t>Pro Rata Reduction Method</w:t>
      </w:r>
      <w:r>
        <w:rPr>
          <w:rFonts w:ascii="Arial" w:cs="Arial" w:eastAsia="Arial" w:hAnsi="Arial"/>
          <w:sz w:val="17"/>
          <w:szCs w:val="17"/>
          <w:color w:val="auto"/>
        </w:rPr>
        <w:t>”).</w:t>
      </w:r>
    </w:p>
    <w:p>
      <w:pPr>
        <w:spacing w:after="0" w:line="166" w:lineRule="exact"/>
        <w:rPr>
          <w:rFonts w:ascii="Arial" w:cs="Arial" w:eastAsia="Arial" w:hAnsi="Arial"/>
          <w:sz w:val="17"/>
          <w:szCs w:val="17"/>
          <w:color w:val="auto"/>
        </w:rPr>
      </w:pPr>
    </w:p>
    <w:p>
      <w:pPr>
        <w:jc w:val="both"/>
        <w:ind w:left="160" w:right="139" w:firstLine="1287"/>
        <w:spacing w:after="0" w:line="241" w:lineRule="auto"/>
        <w:tabs>
          <w:tab w:leader="none" w:pos="2128" w:val="left"/>
        </w:tabs>
        <w:numPr>
          <w:ilvl w:val="2"/>
          <w:numId w:val="138"/>
        </w:numPr>
        <w:rPr>
          <w:rFonts w:ascii="Arial" w:cs="Arial" w:eastAsia="Arial" w:hAnsi="Arial"/>
          <w:sz w:val="16"/>
          <w:szCs w:val="16"/>
          <w:color w:val="auto"/>
        </w:rPr>
      </w:pPr>
      <w:r>
        <w:rPr>
          <w:rFonts w:ascii="Arial" w:cs="Arial" w:eastAsia="Arial" w:hAnsi="Arial"/>
          <w:sz w:val="16"/>
          <w:szCs w:val="16"/>
          <w:color w:val="auto"/>
        </w:rPr>
        <w:t>Notwithstanding any provision of Section 9(a)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(i) as a first priority, the modification shall preserve to the greatest extent possible, the greatest economic benefit for Employee as determined on an after-tax basis; (ii) as a second priority, Payments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325755</wp:posOffset>
            </wp:positionV>
            <wp:extent cx="554863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9" w:name="page200"/>
    <w:bookmarkEnd w:id="199"/>
    <w:p>
      <w:pPr>
        <w:jc w:val="both"/>
        <w:ind w:left="160" w:right="139"/>
        <w:spacing w:after="0" w:line="219" w:lineRule="auto"/>
        <w:rPr>
          <w:sz w:val="20"/>
          <w:szCs w:val="20"/>
          <w:color w:val="auto"/>
        </w:rPr>
      </w:pPr>
      <w:r>
        <w:rPr>
          <w:rFonts w:ascii="Arial" w:cs="Arial" w:eastAsia="Arial" w:hAnsi="Arial"/>
          <w:sz w:val="18"/>
          <w:szCs w:val="18"/>
          <w:color w:val="auto"/>
        </w:rPr>
        <w:t>are contingent on future events (</w:t>
      </w:r>
      <w:r>
        <w:rPr>
          <w:rFonts w:ascii="Arial" w:cs="Arial" w:eastAsia="Arial" w:hAnsi="Arial"/>
          <w:sz w:val="18"/>
          <w:szCs w:val="18"/>
          <w:i w:val="1"/>
          <w:iCs w:val="1"/>
          <w:color w:val="auto"/>
        </w:rPr>
        <w:t>e.g.</w:t>
      </w:r>
      <w:r>
        <w:rPr>
          <w:rFonts w:ascii="Arial" w:cs="Arial" w:eastAsia="Arial" w:hAnsi="Arial"/>
          <w:sz w:val="18"/>
          <w:szCs w:val="18"/>
          <w:color w:val="auto"/>
        </w:rPr>
        <w:t>, being terminated without Cause), shall be reduced (or eliminated) before Payments that are not contingent on future events; and (iii) as a third priority, Payments that are “deferred compensation” within the meaning of Section 409A shall be reduced (or eliminated) before Payments that are not deferred compensation within the meaning of Section 409A.</w:t>
      </w:r>
    </w:p>
    <w:p>
      <w:pPr>
        <w:spacing w:after="0" w:line="163" w:lineRule="exact"/>
        <w:rPr>
          <w:sz w:val="20"/>
          <w:szCs w:val="20"/>
          <w:color w:val="auto"/>
        </w:rPr>
      </w:pPr>
    </w:p>
    <w:p>
      <w:pPr>
        <w:jc w:val="both"/>
        <w:ind w:left="160" w:right="139" w:firstLine="1287"/>
        <w:spacing w:after="0" w:line="235" w:lineRule="auto"/>
        <w:tabs>
          <w:tab w:leader="none" w:pos="217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Unless Employee and the Company agree on an alternative accounting firm or law firm, the accounting firm engaged by the Company for general tax compliance purposes as of the day prior to the effective date of the change of control transaction shall perform the foregoing calculations. If the accounting firm so engaged by the Company is serving as accountant or auditor for the individual, entity or group effecting the change of control transaction, the Company shall appoint a nationally recognized accounting or law firm to make the determinations required by this Section 9.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Employee and the Company within fifteen (15) calendar days after the date on which Employee’s right to a 280G Payment becomes reasonably likely to occur (if requested at that time by Employee or the Company) or such other time as requested by Employee or the Company.</w:t>
      </w:r>
    </w:p>
    <w:p>
      <w:pPr>
        <w:spacing w:after="0" w:line="165" w:lineRule="exact"/>
        <w:rPr>
          <w:rFonts w:ascii="Arial" w:cs="Arial" w:eastAsia="Arial" w:hAnsi="Arial"/>
          <w:sz w:val="16"/>
          <w:szCs w:val="16"/>
          <w:color w:val="auto"/>
        </w:rPr>
      </w:pPr>
    </w:p>
    <w:p>
      <w:pPr>
        <w:jc w:val="both"/>
        <w:ind w:left="160" w:right="139" w:firstLine="1287"/>
        <w:spacing w:after="0" w:line="241" w:lineRule="auto"/>
        <w:tabs>
          <w:tab w:leader="none" w:pos="2157" w:val="left"/>
        </w:tabs>
        <w:numPr>
          <w:ilvl w:val="1"/>
          <w:numId w:val="139"/>
        </w:numPr>
        <w:rPr>
          <w:rFonts w:ascii="Arial" w:cs="Arial" w:eastAsia="Arial" w:hAnsi="Arial"/>
          <w:sz w:val="16"/>
          <w:szCs w:val="16"/>
          <w:color w:val="auto"/>
        </w:rPr>
      </w:pPr>
      <w:r>
        <w:rPr>
          <w:rFonts w:ascii="Arial" w:cs="Arial" w:eastAsia="Arial" w:hAnsi="Arial"/>
          <w:sz w:val="16"/>
          <w:szCs w:val="16"/>
          <w:color w:val="auto"/>
        </w:rPr>
        <w:t>If Employee receives a Payment for which the Reduced Amount was determined pursuant to clause (x) of Section 9(a) and the Internal Revenue Service determines thereafter that some portion of the Payment is subject to the Excise Tax, Employee agrees to promptly return to the Company a sufficient amount of the Payment (after reduction pursuant to clause (x) of Section 9(a)) so that no portion of the remaining Payment is subject to the Excise Tax. For the avoidance of doubt, if the Reduced Amount was determined pursuant to clause (y) of Section 9(a), Employee shall have no obligation to return any portion of the Payment pursuant to the preceding sentence.</w:t>
      </w:r>
    </w:p>
    <w:p>
      <w:pPr>
        <w:spacing w:after="0" w:line="160" w:lineRule="exact"/>
        <w:rPr>
          <w:rFonts w:ascii="Arial" w:cs="Arial" w:eastAsia="Arial" w:hAnsi="Arial"/>
          <w:sz w:val="16"/>
          <w:szCs w:val="16"/>
          <w:color w:val="auto"/>
        </w:rPr>
      </w:pPr>
    </w:p>
    <w:p>
      <w:pPr>
        <w:jc w:val="both"/>
        <w:ind w:left="160" w:right="139" w:firstLine="1287"/>
        <w:spacing w:after="0" w:line="224" w:lineRule="auto"/>
        <w:tabs>
          <w:tab w:leader="none" w:pos="213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the requirements of this Section 9 shall apply only to the extent the Company has completed an “initial public offering” which results in the Company’s stock being publicly traded on an applicable public exchange.</w:t>
      </w:r>
    </w:p>
    <w:p>
      <w:pPr>
        <w:spacing w:after="0" w:line="163" w:lineRule="exact"/>
        <w:rPr>
          <w:rFonts w:ascii="Arial" w:cs="Arial" w:eastAsia="Arial" w:hAnsi="Arial"/>
          <w:sz w:val="18"/>
          <w:szCs w:val="18"/>
          <w:color w:val="auto"/>
        </w:rPr>
      </w:pPr>
    </w:p>
    <w:p>
      <w:pPr>
        <w:jc w:val="both"/>
        <w:ind w:left="160" w:right="139" w:firstLine="639"/>
        <w:spacing w:after="0" w:line="224" w:lineRule="auto"/>
        <w:tabs>
          <w:tab w:leader="none" w:pos="1686"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shall indemnify the Employee to the extent provided in its then current Certificate of Incorporation or By-Laws. The Employee agrees to promptly notify the Company of any actual or threatened claim arising out of or as a result of Employee’s employment with the Company.</w:t>
      </w:r>
    </w:p>
    <w:p>
      <w:pPr>
        <w:spacing w:after="0" w:line="163" w:lineRule="exact"/>
        <w:rPr>
          <w:rFonts w:ascii="Arial" w:cs="Arial" w:eastAsia="Arial" w:hAnsi="Arial"/>
          <w:sz w:val="18"/>
          <w:szCs w:val="18"/>
          <w:color w:val="auto"/>
        </w:rPr>
      </w:pPr>
    </w:p>
    <w:p>
      <w:pPr>
        <w:ind w:left="160" w:right="159" w:firstLine="639"/>
        <w:spacing w:after="0" w:line="235" w:lineRule="auto"/>
        <w:tabs>
          <w:tab w:leader="none" w:pos="1517"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by the Company under this Agreement shall be reduced by any tax or other amounts required to be withheld by the Company under applicable law.</w:t>
      </w:r>
    </w:p>
    <w:p>
      <w:pPr>
        <w:spacing w:after="0" w:line="161" w:lineRule="exact"/>
        <w:rPr>
          <w:rFonts w:ascii="Arial" w:cs="Arial" w:eastAsia="Arial" w:hAnsi="Arial"/>
          <w:sz w:val="18"/>
          <w:szCs w:val="18"/>
          <w:color w:val="auto"/>
        </w:rPr>
      </w:pPr>
    </w:p>
    <w:p>
      <w:pPr>
        <w:ind w:left="1480" w:hanging="681"/>
        <w:spacing w:after="0"/>
        <w:tabs>
          <w:tab w:leader="none" w:pos="148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60" w:right="139" w:firstLine="1287"/>
        <w:spacing w:after="0" w:line="225" w:lineRule="auto"/>
        <w:tabs>
          <w:tab w:leader="none" w:pos="2151" w:val="left"/>
        </w:tabs>
        <w:numPr>
          <w:ilvl w:val="1"/>
          <w:numId w:val="140"/>
        </w:numPr>
        <w:rPr>
          <w:rFonts w:ascii="Arial" w:cs="Arial" w:eastAsia="Arial" w:hAnsi="Arial"/>
          <w:sz w:val="17"/>
          <w:szCs w:val="17"/>
          <w:color w:val="auto"/>
        </w:rPr>
      </w:pPr>
      <w:r>
        <w:rPr>
          <w:rFonts w:ascii="Arial" w:cs="Arial" w:eastAsia="Arial" w:hAnsi="Arial"/>
          <w:sz w:val="17"/>
          <w:szCs w:val="17"/>
          <w:color w:val="auto"/>
        </w:rPr>
        <w:t>Neither the Company nor the Employee may make any assignment of this Agreement or any interest herein, by operation of law or otherwise, without the prior written consent of the other; provided, however, that the Company may assign its rights and obligations under this Agreement without the consent of the Employee in the event that (i) the Employee is transferred to a position with any of the Affiliates or (ii) the Company shall hereafter effect a reorganization, consolidate with, or merge into, any Person or transfer all or substantially all of its properties or assets to any Person. This Agreement shall inure to the benefit of and be binding upon the Company and the Employee, their respective successors, executors, administrators, heirs and permitted assigns.</w:t>
      </w:r>
    </w:p>
    <w:p>
      <w:pPr>
        <w:spacing w:after="0" w:line="162" w:lineRule="exact"/>
        <w:rPr>
          <w:rFonts w:ascii="Arial" w:cs="Arial" w:eastAsia="Arial" w:hAnsi="Arial"/>
          <w:sz w:val="17"/>
          <w:szCs w:val="17"/>
          <w:color w:val="auto"/>
        </w:rPr>
      </w:pPr>
    </w:p>
    <w:p>
      <w:pPr>
        <w:jc w:val="both"/>
        <w:ind w:left="160" w:right="139" w:firstLine="1287"/>
        <w:spacing w:after="0" w:line="244" w:lineRule="auto"/>
        <w:tabs>
          <w:tab w:leader="none" w:pos="2254"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w:t>
      </w:r>
      <w:r>
        <w:rPr>
          <w:rFonts w:ascii="Arial" w:cs="Arial" w:eastAsia="Arial" w:hAnsi="Arial"/>
          <w:sz w:val="16"/>
          <w:szCs w:val="16"/>
          <w:u w:val="single" w:color="auto"/>
          <w:color w:val="auto"/>
        </w:rPr>
        <w:t>Company</w:t>
      </w:r>
      <w:r>
        <w:rPr>
          <w:rFonts w:ascii="Arial" w:cs="Arial" w:eastAsia="Arial" w:hAnsi="Arial"/>
          <w:sz w:val="16"/>
          <w:szCs w:val="16"/>
          <w:color w:val="auto"/>
        </w:rPr>
        <w:t>” shall mean the Company as hereinbefore defined and any successor to its business and/or assets as aforesaid.</w:t>
      </w:r>
    </w:p>
    <w:p>
      <w:pPr>
        <w:spacing w:after="0" w:line="158" w:lineRule="exact"/>
        <w:rPr>
          <w:rFonts w:ascii="Arial" w:cs="Arial" w:eastAsia="Arial" w:hAnsi="Arial"/>
          <w:sz w:val="16"/>
          <w:szCs w:val="16"/>
          <w:color w:val="auto"/>
        </w:rPr>
      </w:pPr>
    </w:p>
    <w:p>
      <w:pPr>
        <w:jc w:val="both"/>
        <w:ind w:left="160" w:right="139" w:firstLine="639"/>
        <w:spacing w:after="0" w:line="259" w:lineRule="auto"/>
        <w:tabs>
          <w:tab w:leader="none" w:pos="1551"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covenants or such other provisions of this Agreement are found to be invalid or unenforceable by a final determination of a court of competent jurisdiction, (a) the remaining terms and provisions hereof shall be unimpaired, and (b) the invalid or unenforceable term or provision hereof shall be deemed replaced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316865</wp:posOffset>
            </wp:positionV>
            <wp:extent cx="554863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00" w:name="page201"/>
    <w:bookmarkEnd w:id="200"/>
    <w:p>
      <w:pPr>
        <w:ind w:left="160" w:right="159"/>
        <w:spacing w:after="0" w:line="234" w:lineRule="auto"/>
        <w:rPr>
          <w:sz w:val="20"/>
          <w:szCs w:val="20"/>
          <w:color w:val="auto"/>
        </w:rPr>
      </w:pPr>
      <w:r>
        <w:rPr>
          <w:rFonts w:ascii="Arial" w:cs="Arial" w:eastAsia="Arial" w:hAnsi="Arial"/>
          <w:sz w:val="18"/>
          <w:szCs w:val="18"/>
          <w:color w:val="auto"/>
        </w:rPr>
        <w:t>a term or provision that is valid and enforceable and that comes closest to expressing the intention of the invalid or unenforceable term or provision hereof.</w:t>
      </w:r>
    </w:p>
    <w:p>
      <w:pPr>
        <w:spacing w:after="0" w:line="162" w:lineRule="exact"/>
        <w:rPr>
          <w:sz w:val="20"/>
          <w:szCs w:val="20"/>
          <w:color w:val="auto"/>
        </w:rPr>
      </w:pPr>
    </w:p>
    <w:p>
      <w:pPr>
        <w:jc w:val="both"/>
        <w:ind w:left="160" w:right="139" w:firstLine="639"/>
        <w:spacing w:after="0" w:line="219" w:lineRule="auto"/>
        <w:tabs>
          <w:tab w:leader="none" w:pos="1483"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w:t>
      </w:r>
    </w:p>
    <w:p>
      <w:pPr>
        <w:spacing w:after="0" w:line="162" w:lineRule="exact"/>
        <w:rPr>
          <w:rFonts w:ascii="Arial" w:cs="Arial" w:eastAsia="Arial" w:hAnsi="Arial"/>
          <w:sz w:val="18"/>
          <w:szCs w:val="18"/>
          <w:color w:val="auto"/>
        </w:rPr>
      </w:pPr>
    </w:p>
    <w:p>
      <w:pPr>
        <w:jc w:val="both"/>
        <w:ind w:left="160" w:right="139" w:firstLine="639"/>
        <w:spacing w:after="0" w:line="236" w:lineRule="auto"/>
        <w:tabs>
          <w:tab w:leader="none" w:pos="1686"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requests, demands and other communications provided for by this Agreement shall be in writing and shall be effective when delivered in person, consigned to a reputable national courier service or deposited in the United States mail, postage prepaid, registered or certified, and addressed to the Employee at Employee’s last known address on the books of the Company or, in the case of the Company, at its principal place of business, attention of the Compensation Committee of the Parent Board with a copy to the attention of the Chief Legal Officer, or to such other address as either party may specify by notice to the other actually received. Any notice so addressed shall be deemed to be given or received (a) if delivered by hand, on the date of such delivery, (b) if mailed by courier or by overnight mail, on the first business day following the date of such mailing, and (c) if mailed by registered or certified mail, on the third business day after the date of such mailing.</w:t>
      </w:r>
    </w:p>
    <w:p>
      <w:pPr>
        <w:spacing w:after="0" w:line="167" w:lineRule="exact"/>
        <w:rPr>
          <w:rFonts w:ascii="Arial" w:cs="Arial" w:eastAsia="Arial" w:hAnsi="Arial"/>
          <w:sz w:val="16"/>
          <w:szCs w:val="16"/>
          <w:color w:val="auto"/>
        </w:rPr>
      </w:pPr>
    </w:p>
    <w:p>
      <w:pPr>
        <w:jc w:val="both"/>
        <w:ind w:left="160" w:right="139" w:firstLine="639"/>
        <w:spacing w:after="0" w:line="235" w:lineRule="auto"/>
        <w:tabs>
          <w:tab w:leader="none" w:pos="1497"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Confidential Information and Non-Competition Agreement, constitute the entire understanding and agreement of the Company and the Employee regarding the terms and conditions of Employee’s employment with the Company. This Agreement supersedes all prior negotiations, discussions, correspondence, communications, understandings, and agreements between the Company and the Employee (including any offer letter given to Employee) relating to the subject matter of this Agreement. Notwithstanding the foregoing, the Company and the Employee acknowledge that options and other equity awards have been and, subject to the discretion and approval of the Parent Board, may be granted to Employee under and pursuant to the Parent’s 2018 Incentive Award Plan or any additional equity plans of the Parent or its Affiliates, and the award agreements related to such plans (collectively, the “</w:t>
      </w:r>
      <w:r>
        <w:rPr>
          <w:rFonts w:ascii="Arial" w:cs="Arial" w:eastAsia="Arial" w:hAnsi="Arial"/>
          <w:sz w:val="16"/>
          <w:szCs w:val="16"/>
          <w:u w:val="single" w:color="auto"/>
          <w:color w:val="auto"/>
        </w:rPr>
        <w:t>Awards</w:t>
      </w:r>
      <w:r>
        <w:rPr>
          <w:rFonts w:ascii="Arial" w:cs="Arial" w:eastAsia="Arial" w:hAnsi="Arial"/>
          <w:sz w:val="16"/>
          <w:szCs w:val="16"/>
          <w:color w:val="auto"/>
        </w:rPr>
        <w:t>”); and to the extent that the terms of this Agreement (including without limitation, Section 6(b)) accelerate the vesting of any such Awards, then the terms of this Agreement are intended to be in addition to the vesting provisions of such Awards and are not intended to diminish any vesting rights contained in such Awards.</w:t>
      </w:r>
    </w:p>
    <w:p>
      <w:pPr>
        <w:spacing w:after="0" w:line="165" w:lineRule="exact"/>
        <w:rPr>
          <w:rFonts w:ascii="Arial" w:cs="Arial" w:eastAsia="Arial" w:hAnsi="Arial"/>
          <w:sz w:val="16"/>
          <w:szCs w:val="16"/>
          <w:color w:val="auto"/>
        </w:rPr>
      </w:pPr>
    </w:p>
    <w:p>
      <w:pPr>
        <w:ind w:left="160" w:right="159" w:firstLine="639"/>
        <w:spacing w:after="0" w:line="235" w:lineRule="auto"/>
        <w:tabs>
          <w:tab w:leader="none" w:pos="1578"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Employee and by an expressly authorized representative of the Company.</w:t>
      </w:r>
    </w:p>
    <w:p>
      <w:pPr>
        <w:spacing w:after="0" w:line="161" w:lineRule="exact"/>
        <w:rPr>
          <w:rFonts w:ascii="Arial" w:cs="Arial" w:eastAsia="Arial" w:hAnsi="Arial"/>
          <w:sz w:val="18"/>
          <w:szCs w:val="18"/>
          <w:color w:val="auto"/>
        </w:rPr>
      </w:pPr>
    </w:p>
    <w:p>
      <w:pPr>
        <w:ind w:left="160" w:right="159" w:firstLine="639"/>
        <w:spacing w:after="0" w:line="235" w:lineRule="auto"/>
        <w:tabs>
          <w:tab w:leader="none" w:pos="1645"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and captions in this Agreement are for convenience only and in no way define or describe the scope or content of any provision of this Agreement.</w:t>
      </w:r>
    </w:p>
    <w:p>
      <w:pPr>
        <w:spacing w:after="0" w:line="161" w:lineRule="exact"/>
        <w:rPr>
          <w:rFonts w:ascii="Arial" w:cs="Arial" w:eastAsia="Arial" w:hAnsi="Arial"/>
          <w:sz w:val="18"/>
          <w:szCs w:val="18"/>
          <w:color w:val="auto"/>
        </w:rPr>
      </w:pPr>
    </w:p>
    <w:p>
      <w:pPr>
        <w:ind w:left="160" w:right="139" w:firstLine="639"/>
        <w:spacing w:after="0" w:line="235" w:lineRule="auto"/>
        <w:tabs>
          <w:tab w:leader="none" w:pos="1551"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an original and all of which together shall constitute one and the same instrument.</w:t>
      </w:r>
    </w:p>
    <w:p>
      <w:pPr>
        <w:spacing w:after="0" w:line="161" w:lineRule="exact"/>
        <w:rPr>
          <w:rFonts w:ascii="Arial" w:cs="Arial" w:eastAsia="Arial" w:hAnsi="Arial"/>
          <w:sz w:val="18"/>
          <w:szCs w:val="18"/>
          <w:color w:val="auto"/>
        </w:rPr>
      </w:pPr>
    </w:p>
    <w:p>
      <w:pPr>
        <w:jc w:val="both"/>
        <w:ind w:left="160" w:right="139" w:firstLine="639"/>
        <w:spacing w:after="0" w:line="211" w:lineRule="auto"/>
        <w:tabs>
          <w:tab w:leader="none" w:pos="1564"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is a Massachusetts contract and shall be construed and enforced under and be governed in all respects by the laws of the Commonwealth of Massachusetts, without regard to the conflict of laws principles thereof. The Company and Employee agree that any dispute concerning this Agreement shall be heard exclusively by a court of competent jurisdiction within the Commonwealth of Massachusetts. By signing below, Employee acknowledges that Employee is subject to the personal jurisdiction of the Massachusetts courts in any county where the Company has operations or facilities. The Employee and Company further agree that any such dispute shall be tried by a judge alone, and they hereby waive and forever renounce the right to a trial before a civil jury in any such dispute.</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1" w:name="page202"/>
    <w:bookmarkEnd w:id="201"/>
    <w:p>
      <w:pPr>
        <w:ind w:left="160" w:right="139" w:firstLine="648"/>
        <w:spacing w:after="0" w:line="235" w:lineRule="auto"/>
        <w:rPr>
          <w:sz w:val="20"/>
          <w:szCs w:val="20"/>
          <w:color w:val="auto"/>
        </w:rPr>
      </w:pPr>
      <w:r>
        <w:rPr>
          <w:rFonts w:ascii="Arial" w:cs="Arial" w:eastAsia="Arial" w:hAnsi="Arial"/>
          <w:sz w:val="18"/>
          <w:szCs w:val="18"/>
          <w:color w:val="auto"/>
        </w:rPr>
        <w:t>IN WITNESS WHEREOF, this Agreement has been executed as a sealed instrument by the Company, by its duly authorized representative, and by the Employee, as of the date first above written.</w:t>
      </w:r>
    </w:p>
    <w:p>
      <w:pPr>
        <w:spacing w:after="0" w:line="117"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4680" w:type="dxa"/>
            <w:vAlign w:val="bottom"/>
            <w:gridSpan w:val="2"/>
          </w:tcPr>
          <w:p>
            <w:pPr>
              <w:ind w:left="20"/>
              <w:spacing w:after="0"/>
              <w:rPr>
                <w:sz w:val="20"/>
                <w:szCs w:val="20"/>
                <w:color w:val="auto"/>
              </w:rPr>
            </w:pPr>
            <w:r>
              <w:rPr>
                <w:rFonts w:ascii="Arial" w:cs="Arial" w:eastAsia="Arial" w:hAnsi="Arial"/>
                <w:sz w:val="18"/>
                <w:szCs w:val="18"/>
                <w:b w:val="1"/>
                <w:bCs w:val="1"/>
                <w:color w:val="auto"/>
              </w:rPr>
              <w:t>EMPLOYEE</w:t>
            </w:r>
          </w:p>
        </w:tc>
        <w:tc>
          <w:tcPr>
            <w:tcW w:w="4060" w:type="dxa"/>
            <w:vAlign w:val="bottom"/>
            <w:gridSpan w:val="3"/>
          </w:tcPr>
          <w:p>
            <w:pPr>
              <w:ind w:left="200"/>
              <w:spacing w:after="0"/>
              <w:rPr>
                <w:sz w:val="20"/>
                <w:szCs w:val="20"/>
                <w:color w:val="auto"/>
              </w:rPr>
            </w:pPr>
            <w:r>
              <w:rPr>
                <w:rFonts w:ascii="Arial" w:cs="Arial" w:eastAsia="Arial" w:hAnsi="Arial"/>
                <w:sz w:val="18"/>
                <w:szCs w:val="18"/>
                <w:b w:val="1"/>
                <w:bCs w:val="1"/>
                <w:color w:val="auto"/>
              </w:rPr>
              <w:t>KINIKSA PHARMACEUTICALS CORP.</w:t>
            </w:r>
          </w:p>
        </w:tc>
        <w:tc>
          <w:tcPr>
            <w:tcW w:w="0" w:type="dxa"/>
            <w:vAlign w:val="bottom"/>
          </w:tcPr>
          <w:p>
            <w:pPr>
              <w:spacing w:after="0"/>
              <w:rPr>
                <w:sz w:val="1"/>
                <w:szCs w:val="1"/>
                <w:color w:val="auto"/>
              </w:rPr>
            </w:pPr>
          </w:p>
        </w:tc>
      </w:tr>
      <w:tr>
        <w:trPr>
          <w:trHeight w:val="539"/>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/s/ Qasim Rizvi</w:t>
            </w:r>
          </w:p>
        </w:tc>
        <w:tc>
          <w:tcPr>
            <w:tcW w:w="640" w:type="dxa"/>
            <w:vAlign w:val="bottom"/>
          </w:tcPr>
          <w:p>
            <w:pPr>
              <w:ind w:left="200"/>
              <w:spacing w:after="0"/>
              <w:rPr>
                <w:sz w:val="20"/>
                <w:szCs w:val="20"/>
                <w:color w:val="auto"/>
              </w:rPr>
            </w:pPr>
            <w:r>
              <w:rPr>
                <w:rFonts w:ascii="Arial" w:cs="Arial" w:eastAsia="Arial" w:hAnsi="Arial"/>
                <w:sz w:val="18"/>
                <w:szCs w:val="18"/>
                <w:color w:val="auto"/>
              </w:rPr>
              <w:t>By:</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/s/ Sanj K. Patel</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700" w:type="dxa"/>
            <w:vAlign w:val="bottom"/>
            <w:gridSpan w:val="2"/>
            <w:vMerge w:val="restart"/>
          </w:tcPr>
          <w:p>
            <w:pPr>
              <w:ind w:left="200"/>
              <w:spacing w:after="0" w:line="202" w:lineRule="exact"/>
              <w:rPr>
                <w:sz w:val="20"/>
                <w:szCs w:val="20"/>
                <w:color w:val="auto"/>
              </w:rPr>
            </w:pPr>
            <w:r>
              <w:rPr>
                <w:rFonts w:ascii="Arial" w:cs="Arial" w:eastAsia="Arial" w:hAnsi="Arial"/>
                <w:sz w:val="18"/>
                <w:szCs w:val="18"/>
                <w:color w:val="auto"/>
                <w:w w:val="90"/>
              </w:rPr>
              <w:t>Name:</w:t>
            </w:r>
          </w:p>
        </w:tc>
        <w:tc>
          <w:tcPr>
            <w:tcW w:w="3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4660" w:type="dxa"/>
            <w:vAlign w:val="bottom"/>
          </w:tcPr>
          <w:p>
            <w:pPr>
              <w:spacing w:after="0" w:line="154" w:lineRule="exact"/>
              <w:rPr>
                <w:sz w:val="20"/>
                <w:szCs w:val="20"/>
                <w:color w:val="auto"/>
              </w:rPr>
            </w:pPr>
            <w:r>
              <w:rPr>
                <w:rFonts w:ascii="Arial" w:cs="Arial" w:eastAsia="Arial" w:hAnsi="Arial"/>
                <w:sz w:val="17"/>
                <w:szCs w:val="17"/>
                <w:color w:val="auto"/>
              </w:rPr>
              <w:t>Name: Qasim Rizvi</w:t>
            </w:r>
          </w:p>
        </w:tc>
        <w:tc>
          <w:tcPr>
            <w:tcW w:w="700" w:type="dxa"/>
            <w:vAlign w:val="bottom"/>
            <w:gridSpan w:val="2"/>
            <w:vMerge w:val="continue"/>
          </w:tcPr>
          <w:p>
            <w:pPr>
              <w:spacing w:after="0"/>
              <w:rPr>
                <w:sz w:val="13"/>
                <w:szCs w:val="13"/>
                <w:color w:val="auto"/>
              </w:rPr>
            </w:pPr>
          </w:p>
        </w:tc>
        <w:tc>
          <w:tcPr>
            <w:tcW w:w="3360" w:type="dxa"/>
            <w:vAlign w:val="bottom"/>
          </w:tcPr>
          <w:p>
            <w:pPr>
              <w:ind w:left="40"/>
              <w:spacing w:after="0" w:line="154" w:lineRule="exact"/>
              <w:rPr>
                <w:sz w:val="20"/>
                <w:szCs w:val="20"/>
                <w:color w:val="auto"/>
              </w:rPr>
            </w:pPr>
            <w:r>
              <w:rPr>
                <w:rFonts w:ascii="Arial" w:cs="Arial" w:eastAsia="Arial" w:hAnsi="Arial"/>
                <w:sz w:val="17"/>
                <w:szCs w:val="17"/>
                <w:color w:val="auto"/>
              </w:rPr>
              <w:t>Sanj K. Patel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Title:</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723"/>
        </w:trPr>
        <w:tc>
          <w:tcPr>
            <w:tcW w:w="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2" w:right="1440" w:bottom="1440" w:gutter="0" w:footer="0" w:header="0"/>
        </w:sectPr>
      </w:pPr>
    </w:p>
    <w:bookmarkStart w:id="202" w:name="page203"/>
    <w:bookmarkEnd w:id="202"/>
    <w:p>
      <w:pPr>
        <w:ind w:left="8140"/>
        <w:spacing w:after="0"/>
        <w:rPr>
          <w:sz w:val="20"/>
          <w:szCs w:val="20"/>
          <w:color w:val="auto"/>
        </w:rPr>
      </w:pPr>
      <w:r>
        <w:rPr>
          <w:rFonts w:ascii="Arial" w:cs="Arial" w:eastAsia="Arial" w:hAnsi="Arial"/>
          <w:sz w:val="16"/>
          <w:szCs w:val="16"/>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333-231910) and Form S-8 (No. 333-225196) of Kiniksa Pharmaceuticals, Ltd. of our report dated March 5, 2020 relating to the financial statements,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2" w:right="141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Sanj K. Patel, certify that:</w:t>
      </w:r>
    </w:p>
    <w:p>
      <w:pPr>
        <w:spacing w:after="0" w:line="144" w:lineRule="exact"/>
        <w:rPr>
          <w:sz w:val="20"/>
          <w:szCs w:val="20"/>
          <w:color w:val="auto"/>
        </w:rPr>
      </w:pPr>
    </w:p>
    <w:p>
      <w:pPr>
        <w:ind w:left="360" w:hanging="357"/>
        <w:spacing w:after="0"/>
        <w:tabs>
          <w:tab w:leader="none" w:pos="3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Kiniksa Pharmaceuticals, Ltd.;</w:t>
      </w:r>
    </w:p>
    <w:p>
      <w:pPr>
        <w:spacing w:after="0" w:line="144" w:lineRule="exact"/>
        <w:rPr>
          <w:rFonts w:ascii="Arial" w:cs="Arial" w:eastAsia="Arial" w:hAnsi="Arial"/>
          <w:sz w:val="18"/>
          <w:szCs w:val="18"/>
          <w:color w:val="auto"/>
        </w:rPr>
      </w:pPr>
    </w:p>
    <w:p>
      <w:pPr>
        <w:jc w:val="both"/>
        <w:ind w:left="320" w:right="180" w:hanging="317"/>
        <w:spacing w:after="0" w:line="224" w:lineRule="auto"/>
        <w:tabs>
          <w:tab w:leader="none" w:pos="3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40" w:hanging="317"/>
        <w:spacing w:after="0" w:line="224" w:lineRule="auto"/>
        <w:tabs>
          <w:tab w:leader="none" w:pos="3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7"/>
        <w:spacing w:after="0" w:line="238" w:lineRule="auto"/>
        <w:tabs>
          <w:tab w:leader="none" w:pos="347"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320" w:right="120" w:firstLine="7"/>
        <w:spacing w:after="0" w:line="219" w:lineRule="auto"/>
        <w:tabs>
          <w:tab w:leader="none" w:pos="56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320" w:right="80" w:firstLine="7"/>
        <w:spacing w:after="0" w:line="259" w:lineRule="auto"/>
        <w:tabs>
          <w:tab w:leader="none" w:pos="575" w:val="left"/>
        </w:tabs>
        <w:numPr>
          <w:ilvl w:val="1"/>
          <w:numId w:val="1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left="320" w:right="80" w:firstLine="7"/>
        <w:spacing w:after="0" w:line="224" w:lineRule="auto"/>
        <w:tabs>
          <w:tab w:leader="none" w:pos="56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320" w:right="180" w:firstLine="7"/>
        <w:spacing w:after="0" w:line="219" w:lineRule="auto"/>
        <w:tabs>
          <w:tab w:leader="none" w:pos="57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hanging="317"/>
        <w:spacing w:after="0" w:line="224" w:lineRule="auto"/>
        <w:tabs>
          <w:tab w:leader="none" w:pos="3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320" w:right="80" w:firstLine="7"/>
        <w:spacing w:after="0" w:line="224" w:lineRule="auto"/>
        <w:tabs>
          <w:tab w:leader="none" w:pos="55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320" w:right="140" w:firstLine="7"/>
        <w:spacing w:after="0" w:line="235" w:lineRule="auto"/>
        <w:tabs>
          <w:tab w:leader="none" w:pos="56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ind w:left="4540"/>
        <w:spacing w:after="0" w:line="219" w:lineRule="auto"/>
        <w:rPr>
          <w:sz w:val="20"/>
          <w:szCs w:val="20"/>
          <w:color w:val="auto"/>
        </w:rPr>
      </w:pPr>
      <w:r>
        <w:rPr>
          <w:rFonts w:ascii="Arial" w:cs="Arial" w:eastAsia="Arial" w:hAnsi="Arial"/>
          <w:sz w:val="18"/>
          <w:szCs w:val="18"/>
          <w:color w:val="auto"/>
        </w:rPr>
        <w:t>/s/ Sanj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Sanj K. Patel</w:t>
      </w:r>
    </w:p>
    <w:p>
      <w:pPr>
        <w:ind w:left="4540"/>
        <w:spacing w:after="0" w:line="204" w:lineRule="auto"/>
        <w:rPr>
          <w:sz w:val="20"/>
          <w:szCs w:val="20"/>
          <w:color w:val="auto"/>
        </w:rPr>
      </w:pPr>
      <w:r>
        <w:rPr>
          <w:rFonts w:ascii="Arial" w:cs="Arial" w:eastAsia="Arial" w:hAnsi="Arial"/>
          <w:sz w:val="18"/>
          <w:szCs w:val="18"/>
          <w:color w:val="auto"/>
        </w:rPr>
        <w:t>Chief Executive Officer and Chairman of the Board of</w:t>
      </w:r>
    </w:p>
    <w:p>
      <w:pPr>
        <w:ind w:left="4540"/>
        <w:spacing w:after="0" w:line="203" w:lineRule="auto"/>
        <w:rPr>
          <w:sz w:val="20"/>
          <w:szCs w:val="20"/>
          <w:color w:val="auto"/>
        </w:rPr>
      </w:pPr>
      <w:r>
        <w:rPr>
          <w:rFonts w:ascii="Arial" w:cs="Arial" w:eastAsia="Arial" w:hAnsi="Arial"/>
          <w:sz w:val="18"/>
          <w:szCs w:val="18"/>
          <w:color w:val="auto"/>
        </w:rPr>
        <w:t>Directors</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5754370"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Chris Heberlig, certify that:</w:t>
      </w:r>
    </w:p>
    <w:p>
      <w:pPr>
        <w:spacing w:after="0" w:line="144" w:lineRule="exact"/>
        <w:rPr>
          <w:sz w:val="20"/>
          <w:szCs w:val="20"/>
          <w:color w:val="auto"/>
        </w:rPr>
      </w:pPr>
    </w:p>
    <w:p>
      <w:pPr>
        <w:ind w:left="360" w:hanging="357"/>
        <w:spacing w:after="0"/>
        <w:tabs>
          <w:tab w:leader="none" w:pos="3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Kiniksa Pharmaceuticals, Ltd.;</w:t>
      </w:r>
    </w:p>
    <w:p>
      <w:pPr>
        <w:spacing w:after="0" w:line="144" w:lineRule="exact"/>
        <w:rPr>
          <w:rFonts w:ascii="Arial" w:cs="Arial" w:eastAsia="Arial" w:hAnsi="Arial"/>
          <w:sz w:val="18"/>
          <w:szCs w:val="18"/>
          <w:color w:val="auto"/>
        </w:rPr>
      </w:pPr>
    </w:p>
    <w:p>
      <w:pPr>
        <w:jc w:val="both"/>
        <w:ind w:left="320" w:right="180" w:hanging="317"/>
        <w:spacing w:after="0" w:line="224" w:lineRule="auto"/>
        <w:tabs>
          <w:tab w:leader="none" w:pos="3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40" w:hanging="317"/>
        <w:spacing w:after="0" w:line="224" w:lineRule="auto"/>
        <w:tabs>
          <w:tab w:leader="none" w:pos="3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7"/>
        <w:spacing w:after="0" w:line="238" w:lineRule="auto"/>
        <w:tabs>
          <w:tab w:leader="none" w:pos="347"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320" w:right="120" w:firstLine="7"/>
        <w:spacing w:after="0" w:line="219" w:lineRule="auto"/>
        <w:tabs>
          <w:tab w:leader="none" w:pos="56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320" w:right="80" w:firstLine="7"/>
        <w:spacing w:after="0" w:line="259" w:lineRule="auto"/>
        <w:tabs>
          <w:tab w:leader="none" w:pos="575" w:val="left"/>
        </w:tabs>
        <w:numPr>
          <w:ilvl w:val="1"/>
          <w:numId w:val="1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left="320" w:right="80" w:firstLine="7"/>
        <w:spacing w:after="0" w:line="224" w:lineRule="auto"/>
        <w:tabs>
          <w:tab w:leader="none" w:pos="56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320" w:right="180" w:firstLine="7"/>
        <w:spacing w:after="0" w:line="219" w:lineRule="auto"/>
        <w:tabs>
          <w:tab w:leader="none" w:pos="57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hanging="317"/>
        <w:spacing w:after="0" w:line="224" w:lineRule="auto"/>
        <w:tabs>
          <w:tab w:leader="none" w:pos="3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320" w:right="80" w:firstLine="7"/>
        <w:spacing w:after="0" w:line="224" w:lineRule="auto"/>
        <w:tabs>
          <w:tab w:leader="none" w:pos="55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320" w:right="140" w:firstLine="7"/>
        <w:spacing w:after="0" w:line="235" w:lineRule="auto"/>
        <w:tabs>
          <w:tab w:leader="none" w:pos="56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ind w:left="4540"/>
        <w:spacing w:after="0" w:line="219" w:lineRule="auto"/>
        <w:rPr>
          <w:sz w:val="20"/>
          <w:szCs w:val="20"/>
          <w:color w:val="auto"/>
        </w:rPr>
      </w:pPr>
      <w:r>
        <w:rPr>
          <w:rFonts w:ascii="Arial" w:cs="Arial" w:eastAsia="Arial" w:hAnsi="Arial"/>
          <w:sz w:val="18"/>
          <w:szCs w:val="18"/>
          <w:color w:val="auto"/>
        </w:rPr>
        <w:t>/s/ Chris Heberlig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Chris Heberlig</w:t>
      </w:r>
    </w:p>
    <w:p>
      <w:pPr>
        <w:ind w:left="4540"/>
        <w:spacing w:after="0" w:line="204"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575437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32.1</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18 U.S.C. SECTION 1350,</w:t>
      </w:r>
    </w:p>
    <w:p>
      <w:pPr>
        <w:jc w:val="center"/>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 Sanj K. Patel, Chief Executive Officer and Chairman of the Board of Directors of Kiniksa Pharmaceuticals, Ltd. (the “Company”), hereby certify, pursuant to 18 U.S.C. §1350, as adopted pursuant to §906 of the Sarbanes-Oxley Act of 2002, that, to the best of my knowledge:</w:t>
      </w:r>
    </w:p>
    <w:p>
      <w:pPr>
        <w:spacing w:after="0" w:line="123" w:lineRule="exact"/>
        <w:rPr>
          <w:sz w:val="20"/>
          <w:szCs w:val="20"/>
          <w:color w:val="auto"/>
        </w:rPr>
      </w:pPr>
    </w:p>
    <w:p>
      <w:pPr>
        <w:ind w:left="660" w:right="200" w:hanging="333"/>
        <w:spacing w:after="0" w:line="289" w:lineRule="auto"/>
        <w:tabs>
          <w:tab w:leader="none" w:pos="68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31, 2019 (the “Report”) fully complies with the requirements of Section 13(a) or 15(d) of the Securities Exchange Act of 1934, as amended and</w:t>
      </w:r>
    </w:p>
    <w:p>
      <w:pPr>
        <w:spacing w:after="0" w:line="83" w:lineRule="exact"/>
        <w:rPr>
          <w:rFonts w:ascii="Arial" w:cs="Arial" w:eastAsia="Arial" w:hAnsi="Arial"/>
          <w:sz w:val="16"/>
          <w:szCs w:val="16"/>
          <w:color w:val="auto"/>
        </w:rPr>
      </w:pPr>
    </w:p>
    <w:p>
      <w:pPr>
        <w:ind w:left="660" w:right="160" w:hanging="333"/>
        <w:spacing w:after="0" w:line="235" w:lineRule="auto"/>
        <w:tabs>
          <w:tab w:leader="none" w:pos="68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Dated: March 5, 2020</w:t>
      </w:r>
      <w:r>
        <w:rPr>
          <w:sz w:val="20"/>
          <w:szCs w:val="20"/>
          <w:color w:val="auto"/>
        </w:rPr>
        <w:tab/>
      </w:r>
      <w:r>
        <w:rPr>
          <w:rFonts w:ascii="Arial" w:cs="Arial" w:eastAsia="Arial" w:hAnsi="Arial"/>
          <w:sz w:val="16"/>
          <w:szCs w:val="16"/>
          <w:color w:val="auto"/>
        </w:rPr>
        <w:t>/s/ Sanj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Sanj K. Patel</w:t>
      </w:r>
    </w:p>
    <w:p>
      <w:pPr>
        <w:ind w:left="4540"/>
        <w:spacing w:after="0" w:line="204" w:lineRule="auto"/>
        <w:rPr>
          <w:sz w:val="20"/>
          <w:szCs w:val="20"/>
          <w:color w:val="auto"/>
        </w:rPr>
      </w:pPr>
      <w:r>
        <w:rPr>
          <w:rFonts w:ascii="Arial" w:cs="Arial" w:eastAsia="Arial" w:hAnsi="Arial"/>
          <w:sz w:val="18"/>
          <w:szCs w:val="18"/>
          <w:color w:val="auto"/>
        </w:rPr>
        <w:t>Chief Executive Officer and Chairman of the Board of</w:t>
      </w:r>
    </w:p>
    <w:p>
      <w:pPr>
        <w:ind w:left="4540"/>
        <w:spacing w:after="0" w:line="203" w:lineRule="auto"/>
        <w:rPr>
          <w:sz w:val="20"/>
          <w:szCs w:val="20"/>
          <w:color w:val="auto"/>
        </w:rPr>
      </w:pPr>
      <w:r>
        <w:rPr>
          <w:rFonts w:ascii="Arial" w:cs="Arial" w:eastAsia="Arial" w:hAnsi="Arial"/>
          <w:sz w:val="18"/>
          <w:szCs w:val="18"/>
          <w:color w:val="auto"/>
        </w:rPr>
        <w:t>Directors</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32.2</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18 U.S.C. SECTION 1350,</w:t>
      </w:r>
    </w:p>
    <w:p>
      <w:pPr>
        <w:jc w:val="center"/>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 Chris Heberlig, Chief Financial Officer of Kiniksa Pharmaceuticals, Ltd. (the “Company”), hereby certify pursuant to 18</w:t>
      </w:r>
    </w:p>
    <w:p>
      <w:pPr>
        <w:spacing w:after="0"/>
        <w:rPr>
          <w:sz w:val="20"/>
          <w:szCs w:val="20"/>
          <w:color w:val="auto"/>
        </w:rPr>
      </w:pPr>
      <w:r>
        <w:rPr>
          <w:rFonts w:ascii="Arial" w:cs="Arial" w:eastAsia="Arial" w:hAnsi="Arial"/>
          <w:sz w:val="18"/>
          <w:szCs w:val="18"/>
          <w:color w:val="auto"/>
        </w:rPr>
        <w:t>U.S.C. §1350, as adopted pursuant to §906 of the Sarbanes-Oxley Act of 2002, that to the best of my knowledge:</w:t>
      </w:r>
    </w:p>
    <w:p>
      <w:pPr>
        <w:spacing w:after="0" w:line="128" w:lineRule="exact"/>
        <w:rPr>
          <w:sz w:val="20"/>
          <w:szCs w:val="20"/>
          <w:color w:val="auto"/>
        </w:rPr>
      </w:pPr>
    </w:p>
    <w:p>
      <w:pPr>
        <w:ind w:left="660" w:right="200" w:hanging="333"/>
        <w:spacing w:after="0" w:line="289" w:lineRule="auto"/>
        <w:tabs>
          <w:tab w:leader="none" w:pos="68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31, 2019 (the “Report”) fully complies with the requirements of Section 13(a) or 15(d) of the Securities Exchange Act of 1934, as amended and</w:t>
      </w:r>
    </w:p>
    <w:p>
      <w:pPr>
        <w:spacing w:after="0" w:line="83" w:lineRule="exact"/>
        <w:rPr>
          <w:rFonts w:ascii="Arial" w:cs="Arial" w:eastAsia="Arial" w:hAnsi="Arial"/>
          <w:sz w:val="16"/>
          <w:szCs w:val="16"/>
          <w:color w:val="auto"/>
        </w:rPr>
      </w:pPr>
    </w:p>
    <w:p>
      <w:pPr>
        <w:ind w:left="660" w:right="160" w:hanging="333"/>
        <w:spacing w:after="0" w:line="235" w:lineRule="auto"/>
        <w:tabs>
          <w:tab w:leader="none" w:pos="68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Dated: March 5, 2020</w:t>
      </w:r>
      <w:r>
        <w:rPr>
          <w:sz w:val="20"/>
          <w:szCs w:val="20"/>
          <w:color w:val="auto"/>
        </w:rPr>
        <w:tab/>
      </w:r>
      <w:r>
        <w:rPr>
          <w:rFonts w:ascii="Arial" w:cs="Arial" w:eastAsia="Arial" w:hAnsi="Arial"/>
          <w:sz w:val="16"/>
          <w:szCs w:val="16"/>
          <w:color w:val="auto"/>
        </w:rPr>
        <w:t>/s/ Chris Heberlig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Chris Heberlig</w:t>
      </w:r>
    </w:p>
    <w:p>
      <w:pPr>
        <w:ind w:left="4540"/>
        <w:spacing w:after="0" w:line="204"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1)"/>
      <w:numFmt w:val="decimal"/>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
      <w:numFmt w:val="bullet"/>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
      <w:numFmt w:val="bullet"/>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
      <w:numFmt w:val="bullet"/>
      <w:start w:val="1"/>
    </w:lvl>
  </w:abstractNum>
  <w:abstractNum w:abstractNumId="19">
    <w:nsid w:val="7FFFCA11"/>
    <w:multiLevelType w:val="hybridMultilevel"/>
    <w:lvl w:ilvl="0">
      <w:lvlJc w:val="left"/>
      <w:lvlText w:val="·"/>
      <w:numFmt w:val="bullet"/>
      <w:start w:val="1"/>
    </w:lvl>
  </w:abstractNum>
  <w:abstractNum w:abstractNumId="20">
    <w:nsid w:val="1A27709E"/>
    <w:multiLevelType w:val="hybridMultilevel"/>
    <w:lvl w:ilvl="0">
      <w:lvlJc w:val="left"/>
      <w:lvlText w:val="·"/>
      <w:numFmt w:val="bullet"/>
      <w:start w:val="1"/>
    </w:lvl>
  </w:abstractNum>
  <w:abstractNum w:abstractNumId="21">
    <w:nsid w:val="71EA1109"/>
    <w:multiLevelType w:val="hybridMultilevel"/>
    <w:lvl w:ilvl="0">
      <w:lvlJc w:val="left"/>
      <w:lvlText w:val="·"/>
      <w:numFmt w:val="bullet"/>
      <w:start w:val="1"/>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
      <w:numFmt w:val="bullet"/>
      <w:start w:val="1"/>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1)"/>
      <w:numFmt w:val="lowerLetter"/>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
      <w:numFmt w:val="bullet"/>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
      <w:numFmt w:val="bullet"/>
      <w:start w:val="1"/>
    </w:lvl>
  </w:abstractNum>
  <w:abstractNum w:abstractNumId="31">
    <w:nsid w:val="14E17E33"/>
    <w:multiLevelType w:val="hybridMultilevel"/>
    <w:lvl w:ilvl="0">
      <w:lvlJc w:val="left"/>
      <w:lvlText w:val="·"/>
      <w:numFmt w:val="bullet"/>
      <w:start w:val="1"/>
    </w:lvl>
  </w:abstractNum>
  <w:abstractNum w:abstractNumId="32">
    <w:nsid w:val="3222E7CD"/>
    <w:multiLevelType w:val="hybridMultilevel"/>
    <w:lvl w:ilvl="0">
      <w:lvlJc w:val="left"/>
      <w:lvlText w:val="·"/>
      <w:numFmt w:val="bullet"/>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
      <w:numFmt w:val="bullet"/>
      <w:start w:val="1"/>
    </w:lvl>
  </w:abstractNum>
  <w:abstractNum w:abstractNumId="36">
    <w:nsid w:val="46B7D447"/>
    <w:multiLevelType w:val="hybridMultilevel"/>
    <w:lvl w:ilvl="0">
      <w:lvlJc w:val="left"/>
      <w:lvlText w:val="·"/>
      <w:numFmt w:val="bullet"/>
      <w:start w:val="1"/>
    </w:lvl>
  </w:abstractNum>
  <w:abstractNum w:abstractNumId="37">
    <w:nsid w:val="4A2AC315"/>
    <w:multiLevelType w:val="hybridMultilevel"/>
    <w:lvl w:ilvl="0">
      <w:lvlJc w:val="left"/>
      <w:lvlText w:val="·"/>
      <w:numFmt w:val="bullet"/>
      <w:start w:val="1"/>
    </w:lvl>
  </w:abstractNum>
  <w:abstractNum w:abstractNumId="38">
    <w:nsid w:val="39EE015C"/>
    <w:multiLevelType w:val="hybridMultilevel"/>
    <w:lvl w:ilvl="0">
      <w:lvlJc w:val="left"/>
      <w:lvlText w:val="·"/>
      <w:numFmt w:val="bullet"/>
      <w:start w:val="1"/>
    </w:lvl>
  </w:abstractNum>
  <w:abstractNum w:abstractNumId="39">
    <w:nsid w:val="57FC4FBB"/>
    <w:multiLevelType w:val="hybridMultilevel"/>
    <w:lvl w:ilvl="0">
      <w:lvlJc w:val="left"/>
      <w:lvlText w:val="·"/>
      <w:numFmt w:val="bullet"/>
      <w:start w:val="1"/>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
      <w:numFmt w:val="bullet"/>
      <w:start w:val="1"/>
    </w:lvl>
  </w:abstractNum>
  <w:abstractNum w:abstractNumId="42">
    <w:nsid w:val="60EF0119"/>
    <w:multiLevelType w:val="hybridMultilevel"/>
    <w:lvl w:ilvl="0">
      <w:lvlJc w:val="left"/>
      <w:lvlText w:val="·"/>
      <w:numFmt w:val="bullet"/>
      <w:start w:val="1"/>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
      <w:numFmt w:val="bullet"/>
      <w:start w:val="1"/>
    </w:lvl>
  </w:abstractNum>
  <w:abstractNum w:abstractNumId="45">
    <w:nsid w:val="49DA307D"/>
    <w:multiLevelType w:val="hybridMultilevel"/>
    <w:lvl w:ilvl="0">
      <w:lvlJc w:val="left"/>
      <w:lvlText w:val="·"/>
      <w:numFmt w:val="bullet"/>
      <w:start w:val="1"/>
    </w:lvl>
  </w:abstractNum>
  <w:abstractNum w:abstractNumId="46">
    <w:nsid w:val="7055A5F5"/>
    <w:multiLevelType w:val="hybridMultilevel"/>
    <w:lvl w:ilvl="0">
      <w:lvlJc w:val="left"/>
      <w:lvlText w:val="·"/>
      <w:numFmt w:val="bullet"/>
      <w:start w:val="1"/>
    </w:lvl>
  </w:abstractNum>
  <w:abstractNum w:abstractNumId="47">
    <w:nsid w:val="5FB8370B"/>
    <w:multiLevelType w:val="hybridMultilevel"/>
    <w:lvl w:ilvl="0">
      <w:lvlJc w:val="left"/>
      <w:lvlText w:val="·"/>
      <w:numFmt w:val="bullet"/>
      <w:start w:val="1"/>
    </w:lvl>
  </w:abstractNum>
  <w:abstractNum w:abstractNumId="48">
    <w:nsid w:val="50801EE1"/>
    <w:multiLevelType w:val="hybridMultilevel"/>
    <w:lvl w:ilvl="0">
      <w:lvlJc w:val="left"/>
      <w:lvlText w:val="·"/>
      <w:numFmt w:val="bullet"/>
      <w:start w:val="1"/>
    </w:lvl>
  </w:abstractNum>
  <w:abstractNum w:abstractNumId="49">
    <w:nsid w:val="488AC1A"/>
    <w:multiLevelType w:val="hybridMultilevel"/>
    <w:lvl w:ilvl="0">
      <w:lvlJc w:val="left"/>
      <w:lvlText w:val="·"/>
      <w:numFmt w:val="bullet"/>
      <w:start w:val="1"/>
    </w:lvl>
  </w:abstractNum>
  <w:abstractNum w:abstractNumId="50">
    <w:nsid w:val="5FB8011C"/>
    <w:multiLevelType w:val="hybridMultilevel"/>
    <w:lvl w:ilvl="0">
      <w:lvlJc w:val="left"/>
      <w:lvlText w:val="·"/>
      <w:numFmt w:val="bullet"/>
      <w:start w:val="1"/>
    </w:lvl>
  </w:abstractNum>
  <w:abstractNum w:abstractNumId="51">
    <w:nsid w:val="6AA78F7F"/>
    <w:multiLevelType w:val="hybridMultilevel"/>
    <w:lvl w:ilvl="0">
      <w:lvlJc w:val="left"/>
      <w:lvlText w:val="·"/>
      <w:numFmt w:val="bullet"/>
      <w:start w:val="1"/>
    </w:lvl>
  </w:abstractNum>
  <w:abstractNum w:abstractNumId="52">
    <w:nsid w:val="7672BD23"/>
    <w:multiLevelType w:val="hybridMultilevel"/>
    <w:lvl w:ilvl="0">
      <w:lvlJc w:val="left"/>
      <w:lvlText w:val="·"/>
      <w:numFmt w:val="bullet"/>
      <w:start w:val="1"/>
    </w:lvl>
  </w:abstractNum>
  <w:abstractNum w:abstractNumId="53">
    <w:nsid w:val="6FC75AF8"/>
    <w:multiLevelType w:val="hybridMultilevel"/>
    <w:lvl w:ilvl="0">
      <w:lvlJc w:val="left"/>
      <w:lvlText w:val="·"/>
      <w:numFmt w:val="bullet"/>
      <w:start w:val="1"/>
    </w:lvl>
  </w:abstractNum>
  <w:abstractNum w:abstractNumId="54">
    <w:nsid w:val="6A5F7029"/>
    <w:multiLevelType w:val="hybridMultilevel"/>
    <w:lvl w:ilvl="0">
      <w:lvlJc w:val="left"/>
      <w:lvlText w:val="·"/>
      <w:numFmt w:val="bullet"/>
      <w:start w:val="1"/>
    </w:lvl>
  </w:abstractNum>
  <w:abstractNum w:abstractNumId="55">
    <w:nsid w:val="7D5E18F8"/>
    <w:multiLevelType w:val="hybridMultilevel"/>
    <w:lvl w:ilvl="0">
      <w:lvlJc w:val="left"/>
      <w:lvlText w:val="·"/>
      <w:numFmt w:val="bullet"/>
      <w:start w:val="1"/>
    </w:lvl>
  </w:abstractNum>
  <w:abstractNum w:abstractNumId="56">
    <w:nsid w:val="5F3534A4"/>
    <w:multiLevelType w:val="hybridMultilevel"/>
    <w:lvl w:ilvl="0">
      <w:lvlJc w:val="left"/>
      <w:lvlText w:val="·"/>
      <w:numFmt w:val="bullet"/>
      <w:start w:val="1"/>
    </w:lvl>
  </w:abstractNum>
  <w:abstractNum w:abstractNumId="57">
    <w:nsid w:val="73A1821B"/>
    <w:multiLevelType w:val="hybridMultilevel"/>
    <w:lvl w:ilvl="0">
      <w:lvlJc w:val="left"/>
      <w:lvlText w:val="·"/>
      <w:numFmt w:val="bullet"/>
      <w:start w:val="1"/>
    </w:lvl>
  </w:abstractNum>
  <w:abstractNum w:abstractNumId="58">
    <w:nsid w:val="7DE67713"/>
    <w:multiLevelType w:val="hybridMultilevel"/>
    <w:lvl w:ilvl="0">
      <w:lvlJc w:val="left"/>
      <w:lvlText w:val="·"/>
      <w:numFmt w:val="bullet"/>
      <w:start w:val="1"/>
    </w:lvl>
  </w:abstractNum>
  <w:abstractNum w:abstractNumId="59">
    <w:nsid w:val="555C55B5"/>
    <w:multiLevelType w:val="hybridMultilevel"/>
    <w:lvl w:ilvl="0">
      <w:lvlJc w:val="left"/>
      <w:lvlText w:val="·"/>
      <w:numFmt w:val="bullet"/>
      <w:start w:val="1"/>
    </w:lvl>
  </w:abstractNum>
  <w:abstractNum w:abstractNumId="60">
    <w:nsid w:val="3FA62ACA"/>
    <w:multiLevelType w:val="hybridMultilevel"/>
    <w:lvl w:ilvl="0">
      <w:lvlJc w:val="left"/>
      <w:lvlText w:val="·"/>
      <w:numFmt w:val="bullet"/>
      <w:start w:val="1"/>
    </w:lvl>
  </w:abstractNum>
  <w:abstractNum w:abstractNumId="61">
    <w:nsid w:val="14FCE74E"/>
    <w:multiLevelType w:val="hybridMultilevel"/>
    <w:lvl w:ilvl="0">
      <w:lvlJc w:val="left"/>
      <w:lvlText w:val="·"/>
      <w:numFmt w:val="bullet"/>
      <w:start w:val="1"/>
    </w:lvl>
  </w:abstractNum>
  <w:abstractNum w:abstractNumId="62">
    <w:nsid w:val="6A3DD3E8"/>
    <w:multiLevelType w:val="hybridMultilevel"/>
    <w:lvl w:ilvl="0">
      <w:lvlJc w:val="left"/>
      <w:lvlText w:val="·"/>
      <w:numFmt w:val="bullet"/>
      <w:start w:val="1"/>
    </w:lvl>
  </w:abstractNum>
  <w:abstractNum w:abstractNumId="63">
    <w:nsid w:val="71C91298"/>
    <w:multiLevelType w:val="hybridMultilevel"/>
    <w:lvl w:ilvl="0">
      <w:lvlJc w:val="left"/>
      <w:lvlText w:val="·"/>
      <w:numFmt w:val="bullet"/>
      <w:start w:val="1"/>
    </w:lvl>
  </w:abstractNum>
  <w:abstractNum w:abstractNumId="64">
    <w:nsid w:val="9DAF632"/>
    <w:multiLevelType w:val="hybridMultilevel"/>
    <w:lvl w:ilvl="0">
      <w:lvlJc w:val="left"/>
      <w:lvlText w:val="·"/>
      <w:numFmt w:val="bullet"/>
      <w:start w:val="1"/>
    </w:lvl>
  </w:abstractNum>
  <w:abstractNum w:abstractNumId="65">
    <w:nsid w:val="53299938"/>
    <w:multiLevelType w:val="hybridMultilevel"/>
    <w:lvl w:ilvl="0">
      <w:lvlJc w:val="left"/>
      <w:lvlText w:val="(%1)"/>
      <w:numFmt w:val="lowerRoman"/>
      <w:start w:val="2"/>
    </w:lvl>
    <w:lvl w:ilvl="1">
      <w:lvlJc w:val="left"/>
      <w:lvlText w:val="·"/>
      <w:numFmt w:val="bullet"/>
      <w:start w:val="1"/>
    </w:lvl>
  </w:abstractNum>
  <w:abstractNum w:abstractNumId="66">
    <w:nsid w:val="1FBFE8E0"/>
    <w:multiLevelType w:val="hybridMultilevel"/>
    <w:lvl w:ilvl="0">
      <w:lvlJc w:val="left"/>
      <w:lvlText w:val="(%1)"/>
      <w:numFmt w:val="decimal"/>
      <w:start w:val="1"/>
    </w:lvl>
  </w:abstractNum>
  <w:abstractNum w:abstractNumId="67">
    <w:nsid w:val="5092CA79"/>
    <w:multiLevelType w:val="hybridMultilevel"/>
    <w:lvl w:ilvl="0">
      <w:lvlJc w:val="left"/>
      <w:lvlText w:val="(%1)"/>
      <w:numFmt w:val="decimal"/>
      <w:start w:val="1"/>
    </w:lvl>
  </w:abstractNum>
  <w:abstractNum w:abstractNumId="68">
    <w:nsid w:val="1D545C4D"/>
    <w:multiLevelType w:val="hybridMultilevel"/>
    <w:lvl w:ilvl="0">
      <w:lvlJc w:val="left"/>
      <w:lvlText w:val="·"/>
      <w:numFmt w:val="bullet"/>
      <w:start w:val="1"/>
    </w:lvl>
  </w:abstractNum>
  <w:abstractNum w:abstractNumId="69">
    <w:nsid w:val="59ADEA3D"/>
    <w:multiLevelType w:val="hybridMultilevel"/>
    <w:lvl w:ilvl="0">
      <w:lvlJc w:val="left"/>
      <w:lvlText w:val="·"/>
      <w:numFmt w:val="bullet"/>
      <w:start w:val="1"/>
    </w:lvl>
  </w:abstractNum>
  <w:abstractNum w:abstractNumId="70">
    <w:nsid w:val="288F1A34"/>
    <w:multiLevelType w:val="hybridMultilevel"/>
    <w:lvl w:ilvl="0">
      <w:lvlJc w:val="left"/>
      <w:lvlText w:val="(%1)"/>
      <w:numFmt w:val="decimal"/>
      <w:start w:val="1"/>
    </w:lvl>
  </w:abstractNum>
  <w:abstractNum w:abstractNumId="71">
    <w:nsid w:val="2A155DBC"/>
    <w:multiLevelType w:val="hybridMultilevel"/>
    <w:lvl w:ilvl="0">
      <w:lvlJc w:val="left"/>
      <w:lvlText w:val="·"/>
      <w:numFmt w:val="bullet"/>
      <w:start w:val="1"/>
    </w:lvl>
  </w:abstractNum>
  <w:abstractNum w:abstractNumId="72">
    <w:nsid w:val="1D9F6E5F"/>
    <w:multiLevelType w:val="hybridMultilevel"/>
    <w:lvl w:ilvl="0">
      <w:lvlJc w:val="left"/>
      <w:lvlText w:val="·"/>
      <w:numFmt w:val="bullet"/>
      <w:start w:val="1"/>
    </w:lvl>
  </w:abstractNum>
  <w:abstractNum w:abstractNumId="73">
    <w:nsid w:val="97E1B4E"/>
    <w:multiLevelType w:val="hybridMultilevel"/>
    <w:lvl w:ilvl="0">
      <w:lvlJc w:val="left"/>
      <w:lvlText w:val="·"/>
      <w:numFmt w:val="bullet"/>
      <w:start w:val="1"/>
    </w:lvl>
  </w:abstractNum>
  <w:abstractNum w:abstractNumId="74">
    <w:nsid w:val="51088277"/>
    <w:multiLevelType w:val="hybridMultilevel"/>
    <w:lvl w:ilvl="0">
      <w:lvlJc w:val="left"/>
      <w:lvlText w:val="·"/>
      <w:numFmt w:val="bullet"/>
      <w:start w:val="1"/>
    </w:lvl>
  </w:abstractNum>
  <w:abstractNum w:abstractNumId="75">
    <w:nsid w:val="1CA0C5FA"/>
    <w:multiLevelType w:val="hybridMultilevel"/>
    <w:lvl w:ilvl="0">
      <w:lvlJc w:val="left"/>
      <w:lvlText w:val="·"/>
      <w:numFmt w:val="bullet"/>
      <w:start w:val="1"/>
    </w:lvl>
  </w:abstractNum>
  <w:abstractNum w:abstractNumId="76">
    <w:nsid w:val="53584BCB"/>
    <w:multiLevelType w:val="hybridMultilevel"/>
    <w:lvl w:ilvl="0">
      <w:lvlJc w:val="left"/>
      <w:lvlText w:val="(%1)"/>
      <w:numFmt w:val="decimal"/>
      <w:start w:val="1"/>
    </w:lvl>
  </w:abstractNum>
  <w:abstractNum w:abstractNumId="77">
    <w:nsid w:val="415E286C"/>
    <w:multiLevelType w:val="hybridMultilevel"/>
    <w:lvl w:ilvl="0">
      <w:lvlJc w:val="left"/>
      <w:lvlText w:val="·"/>
      <w:numFmt w:val="bullet"/>
      <w:start w:val="1"/>
    </w:lvl>
  </w:abstractNum>
  <w:abstractNum w:abstractNumId="78">
    <w:nsid w:val="7C58FD05"/>
    <w:multiLevelType w:val="hybridMultilevel"/>
    <w:lvl w:ilvl="0">
      <w:lvlJc w:val="left"/>
      <w:lvlText w:val="*"/>
      <w:numFmt w:val="bullet"/>
      <w:start w:val="1"/>
    </w:lvl>
  </w:abstractNum>
  <w:abstractNum w:abstractNumId="79">
    <w:nsid w:val="23D86AAC"/>
    <w:multiLevelType w:val="hybridMultilevel"/>
    <w:lvl w:ilvl="0">
      <w:lvlJc w:val="left"/>
      <w:lvlText w:val="**"/>
      <w:numFmt w:val="bullet"/>
      <w:start w:val="1"/>
    </w:lvl>
  </w:abstractNum>
  <w:abstractNum w:abstractNumId="80">
    <w:nsid w:val="45E6D486"/>
    <w:multiLevelType w:val="hybridMultilevel"/>
    <w:lvl w:ilvl="0">
      <w:lvlJc w:val="left"/>
      <w:lvlText w:val="***"/>
      <w:numFmt w:val="bullet"/>
      <w:start w:val="1"/>
    </w:lvl>
  </w:abstractNum>
  <w:abstractNum w:abstractNumId="81">
    <w:nsid w:val="5C10FE21"/>
    <w:multiLevelType w:val="hybridMultilevel"/>
    <w:lvl w:ilvl="0">
      <w:lvlJc w:val="left"/>
      <w:lvlText w:val="†"/>
      <w:numFmt w:val="bullet"/>
      <w:start w:val="1"/>
    </w:lvl>
  </w:abstractNum>
  <w:abstractNum w:abstractNumId="82">
    <w:nsid w:val="E7FFA2B"/>
    <w:multiLevelType w:val="hybridMultilevel"/>
    <w:lvl w:ilvl="0">
      <w:lvlJc w:val="left"/>
      <w:lvlText w:val="%1."/>
      <w:numFmt w:val="decimal"/>
      <w:start w:val="1"/>
    </w:lvl>
  </w:abstractNum>
  <w:abstractNum w:abstractNumId="83">
    <w:nsid w:val="3C5991AA"/>
    <w:multiLevelType w:val="hybridMultilevel"/>
    <w:lvl w:ilvl="0">
      <w:lvlJc w:val="left"/>
      <w:lvlText w:val="%1."/>
      <w:numFmt w:val="decimal"/>
      <w:start w:val="2"/>
    </w:lvl>
  </w:abstractNum>
  <w:abstractNum w:abstractNumId="84">
    <w:nsid w:val="4BD8591A"/>
    <w:multiLevelType w:val="hybridMultilevel"/>
    <w:lvl w:ilvl="0">
      <w:lvlJc w:val="left"/>
      <w:lvlText w:val="·"/>
      <w:numFmt w:val="bullet"/>
      <w:start w:val="1"/>
    </w:lvl>
  </w:abstractNum>
  <w:abstractNum w:abstractNumId="85">
    <w:nsid w:val="78DF6A55"/>
    <w:multiLevelType w:val="hybridMultilevel"/>
    <w:lvl w:ilvl="0">
      <w:lvlJc w:val="left"/>
      <w:lvlText w:val="%1)"/>
      <w:numFmt w:val="decimal"/>
      <w:start w:val="842"/>
    </w:lvl>
  </w:abstractNum>
  <w:abstractNum w:abstractNumId="86">
    <w:nsid w:val="39B7AAA2"/>
    <w:multiLevelType w:val="hybridMultilevel"/>
    <w:lvl w:ilvl="0">
      <w:lvlJc w:val="left"/>
      <w:lvlText w:val="%1."/>
      <w:numFmt w:val="decimal"/>
      <w:start w:val="3"/>
    </w:lvl>
  </w:abstractNum>
  <w:abstractNum w:abstractNumId="87">
    <w:nsid w:val="2B0D8DBE"/>
    <w:multiLevelType w:val="hybridMultilevel"/>
    <w:lvl w:ilvl="0">
      <w:lvlJc w:val="left"/>
      <w:lvlText w:val="%1."/>
      <w:numFmt w:val="decimal"/>
      <w:start w:val="4"/>
    </w:lvl>
  </w:abstractNum>
  <w:abstractNum w:abstractNumId="88">
    <w:nsid w:val="6C80EC70"/>
    <w:multiLevelType w:val="hybridMultilevel"/>
    <w:lvl w:ilvl="0">
      <w:lvlJc w:val="left"/>
      <w:lvlText w:val="%1."/>
      <w:numFmt w:val="decimal"/>
      <w:start w:val="5"/>
    </w:lvl>
  </w:abstractNum>
  <w:abstractNum w:abstractNumId="89">
    <w:nsid w:val="379E21B5"/>
    <w:multiLevelType w:val="hybridMultilevel"/>
    <w:lvl w:ilvl="0">
      <w:lvlJc w:val="left"/>
      <w:lvlText w:val="%1."/>
      <w:numFmt w:val="decimal"/>
      <w:start w:val="7"/>
    </w:lvl>
  </w:abstractNum>
  <w:abstractNum w:abstractNumId="90">
    <w:nsid w:val="69E373"/>
    <w:multiLevelType w:val="hybridMultilevel"/>
    <w:lvl w:ilvl="0">
      <w:lvlJc w:val="left"/>
      <w:lvlText w:val="(%1)"/>
      <w:numFmt w:val="lowerLetter"/>
      <w:start w:val="1"/>
    </w:lvl>
  </w:abstractNum>
  <w:abstractNum w:abstractNumId="91">
    <w:nsid w:val="2C27173B"/>
    <w:multiLevelType w:val="hybridMultilevel"/>
    <w:lvl w:ilvl="0">
      <w:lvlJc w:val="left"/>
      <w:lvlText w:val="%1."/>
      <w:numFmt w:val="decimal"/>
      <w:start w:val="8"/>
    </w:lvl>
  </w:abstractNum>
  <w:abstractNum w:abstractNumId="92">
    <w:nsid w:val="4C9B0904"/>
    <w:multiLevelType w:val="hybridMultilevel"/>
    <w:lvl w:ilvl="0">
      <w:lvlJc w:val="left"/>
      <w:lvlText w:val="%1."/>
      <w:numFmt w:val="decimal"/>
      <w:start w:val="9"/>
    </w:lvl>
  </w:abstractNum>
  <w:abstractNum w:abstractNumId="93">
    <w:nsid w:val="6AA7B75C"/>
    <w:multiLevelType w:val="hybridMultilevel"/>
    <w:lvl w:ilvl="0">
      <w:lvlJc w:val="left"/>
      <w:lvlText w:val="%1."/>
      <w:numFmt w:val="decimal"/>
      <w:start w:val="10"/>
    </w:lvl>
  </w:abstractNum>
  <w:abstractNum w:abstractNumId="94">
    <w:nsid w:val="1DF029D3"/>
    <w:multiLevelType w:val="hybridMultilevel"/>
    <w:lvl w:ilvl="0">
      <w:lvlJc w:val="left"/>
      <w:lvlText w:val="%1."/>
      <w:numFmt w:val="decimal"/>
      <w:start w:val="11"/>
    </w:lvl>
  </w:abstractNum>
  <w:abstractNum w:abstractNumId="95">
    <w:nsid w:val="5675FF36"/>
    <w:multiLevelType w:val="hybridMultilevel"/>
    <w:lvl w:ilvl="0">
      <w:lvlJc w:val="left"/>
      <w:lvlText w:val="%1."/>
      <w:numFmt w:val="decimal"/>
      <w:start w:val="12"/>
    </w:lvl>
  </w:abstractNum>
  <w:abstractNum w:abstractNumId="96">
    <w:nsid w:val="3DD15094"/>
    <w:multiLevelType w:val="hybridMultilevel"/>
    <w:lvl w:ilvl="0">
      <w:lvlJc w:val="left"/>
      <w:lvlText w:val="%1."/>
      <w:numFmt w:val="decimal"/>
      <w:start w:val="13"/>
    </w:lvl>
  </w:abstractNum>
  <w:abstractNum w:abstractNumId="97">
    <w:nsid w:val="3DB012B3"/>
    <w:multiLevelType w:val="hybridMultilevel"/>
    <w:lvl w:ilvl="0">
      <w:lvlJc w:val="left"/>
      <w:lvlText w:val="%1."/>
      <w:numFmt w:val="decimal"/>
      <w:start w:val="14"/>
    </w:lvl>
  </w:abstractNum>
  <w:abstractNum w:abstractNumId="98">
    <w:nsid w:val="2708C9AF"/>
    <w:multiLevelType w:val="hybridMultilevel"/>
    <w:lvl w:ilvl="0">
      <w:lvlJc w:val="left"/>
      <w:lvlText w:val="·"/>
      <w:numFmt w:val="bullet"/>
      <w:start w:val="1"/>
    </w:lvl>
  </w:abstractNum>
  <w:abstractNum w:abstractNumId="99">
    <w:nsid w:val="5B25ACE2"/>
    <w:multiLevelType w:val="hybridMultilevel"/>
    <w:lvl w:ilvl="0">
      <w:lvlJc w:val="left"/>
      <w:lvlText w:val="·"/>
      <w:numFmt w:val="bullet"/>
      <w:start w:val="1"/>
    </w:lvl>
  </w:abstractNum>
  <w:abstractNum w:abstractNumId="100">
    <w:nsid w:val="175DFCF0"/>
    <w:multiLevelType w:val="hybridMultilevel"/>
    <w:lvl w:ilvl="0">
      <w:lvlJc w:val="left"/>
      <w:lvlText w:val="%1."/>
      <w:numFmt w:val="decimal"/>
      <w:start w:val="1"/>
    </w:lvl>
  </w:abstractNum>
  <w:abstractNum w:abstractNumId="101">
    <w:nsid w:val="4F97E3E4"/>
    <w:multiLevelType w:val="hybridMultilevel"/>
    <w:lvl w:ilvl="0">
      <w:lvlJc w:val="left"/>
      <w:lvlText w:val="(%1)"/>
      <w:numFmt w:val="lowerRoman"/>
      <w:start w:val="1"/>
    </w:lvl>
  </w:abstractNum>
  <w:abstractNum w:abstractNumId="102">
    <w:nsid w:val="53B0A9E"/>
    <w:multiLevelType w:val="hybridMultilevel"/>
    <w:lvl w:ilvl="0">
      <w:lvlJc w:val="left"/>
      <w:lvlText w:val="1"/>
      <w:numFmt w:val="bullet"/>
      <w:start w:val="1"/>
    </w:lvl>
  </w:abstractNum>
  <w:abstractNum w:abstractNumId="103">
    <w:nsid w:val="34FD6B4F"/>
    <w:multiLevelType w:val="hybridMultilevel"/>
    <w:lvl w:ilvl="0">
      <w:lvlJc w:val="left"/>
      <w:lvlText w:val="%1."/>
      <w:numFmt w:val="decimal"/>
      <w:start w:val="2"/>
    </w:lvl>
  </w:abstractNum>
  <w:abstractNum w:abstractNumId="104">
    <w:nsid w:val="5915FF32"/>
    <w:multiLevelType w:val="hybridMultilevel"/>
    <w:lvl w:ilvl="0">
      <w:lvlJc w:val="left"/>
      <w:lvlText w:val="(%1)"/>
      <w:numFmt w:val="lowerRoman"/>
      <w:start w:val="1"/>
    </w:lvl>
  </w:abstractNum>
  <w:abstractNum w:abstractNumId="105">
    <w:nsid w:val="56438D15"/>
    <w:multiLevelType w:val="hybridMultilevel"/>
    <w:lvl w:ilvl="0">
      <w:lvlJc w:val="left"/>
      <w:lvlText w:val="%1."/>
      <w:numFmt w:val="decimal"/>
      <w:start w:val="3"/>
    </w:lvl>
  </w:abstractNum>
  <w:abstractNum w:abstractNumId="106">
    <w:nsid w:val="519E3149"/>
    <w:multiLevelType w:val="hybridMultilevel"/>
    <w:lvl w:ilvl="0">
      <w:lvlJc w:val="left"/>
      <w:lvlText w:val="(%1)"/>
      <w:numFmt w:val="lowerRoman"/>
      <w:start w:val="1"/>
    </w:lvl>
  </w:abstractNum>
  <w:abstractNum w:abstractNumId="107">
    <w:nsid w:val="2C6E4AFD"/>
    <w:multiLevelType w:val="hybridMultilevel"/>
    <w:lvl w:ilvl="0">
      <w:lvlJc w:val="left"/>
      <w:lvlText w:val="%1."/>
      <w:numFmt w:val="decimal"/>
      <w:start w:val="4"/>
    </w:lvl>
  </w:abstractNum>
  <w:abstractNum w:abstractNumId="108">
    <w:nsid w:val="17A1B582"/>
    <w:multiLevelType w:val="hybridMultilevel"/>
    <w:lvl w:ilvl="0">
      <w:lvlJc w:val="left"/>
      <w:lvlText w:val="%1."/>
      <w:numFmt w:val="decimal"/>
      <w:start w:val="5"/>
    </w:lvl>
  </w:abstractNum>
  <w:abstractNum w:abstractNumId="109">
    <w:nsid w:val="4DF72E4E"/>
    <w:multiLevelType w:val="hybridMultilevel"/>
    <w:lvl w:ilvl="0">
      <w:lvlJc w:val="left"/>
      <w:lvlText w:val="(%1)"/>
      <w:numFmt w:val="lowerRoman"/>
      <w:start w:val="1"/>
    </w:lvl>
  </w:abstractNum>
  <w:abstractNum w:abstractNumId="110">
    <w:nsid w:val="5046B5A9"/>
    <w:multiLevelType w:val="hybridMultilevel"/>
    <w:lvl w:ilvl="0">
      <w:lvlJc w:val="left"/>
      <w:lvlText w:val="(%1)"/>
      <w:numFmt w:val="lowerRoman"/>
      <w:start w:val="3"/>
    </w:lvl>
  </w:abstractNum>
  <w:abstractNum w:abstractNumId="111">
    <w:nsid w:val="5D888A08"/>
    <w:multiLevelType w:val="hybridMultilevel"/>
    <w:lvl w:ilvl="0">
      <w:lvlJc w:val="left"/>
      <w:lvlText w:val="%1."/>
      <w:numFmt w:val="decimal"/>
      <w:start w:val="6"/>
    </w:lvl>
  </w:abstractNum>
  <w:abstractNum w:abstractNumId="112">
    <w:nsid w:val="2A082C70"/>
    <w:multiLevelType w:val="hybridMultilevel"/>
    <w:lvl w:ilvl="0">
      <w:lvlJc w:val="left"/>
      <w:lvlText w:val="(%1)"/>
      <w:numFmt w:val="lowerRoman"/>
      <w:start w:val="1"/>
    </w:lvl>
  </w:abstractNum>
  <w:abstractNum w:abstractNumId="113">
    <w:nsid w:val="5EC6AFD4"/>
    <w:multiLevelType w:val="hybridMultilevel"/>
    <w:lvl w:ilvl="0">
      <w:lvlJc w:val="left"/>
      <w:lvlText w:val="(%1)"/>
      <w:numFmt w:val="lowerLetter"/>
      <w:start w:val="35"/>
    </w:lvl>
    <w:lvl w:ilvl="1">
      <w:lvlJc w:val="left"/>
      <w:lvlText w:val="(%2)"/>
      <w:numFmt w:val="lowerLetter"/>
      <w:start w:val="1"/>
    </w:lvl>
  </w:abstractNum>
  <w:abstractNum w:abstractNumId="114">
    <w:nsid w:val="19E21BB2"/>
    <w:multiLevelType w:val="hybridMultilevel"/>
    <w:lvl w:ilvl="0">
      <w:lvlJc w:val="left"/>
      <w:lvlText w:val="(%1)"/>
      <w:numFmt w:val="lowerRoman"/>
      <w:start w:val="3"/>
    </w:lvl>
  </w:abstractNum>
  <w:abstractNum w:abstractNumId="115">
    <w:nsid w:val="75E0858A"/>
    <w:multiLevelType w:val="hybridMultilevel"/>
    <w:lvl w:ilvl="0">
      <w:lvlJc w:val="left"/>
      <w:lvlText w:val="(%1)"/>
      <w:numFmt w:val="lowerRoman"/>
      <w:start w:val="5"/>
    </w:lvl>
  </w:abstractNum>
  <w:abstractNum w:abstractNumId="116">
    <w:nsid w:val="57A61A29"/>
    <w:multiLevelType w:val="hybridMultilevel"/>
    <w:lvl w:ilvl="0">
      <w:lvlJc w:val="left"/>
      <w:lvlText w:val="%1."/>
      <w:numFmt w:val="decimal"/>
      <w:start w:val="7"/>
    </w:lvl>
  </w:abstractNum>
  <w:abstractNum w:abstractNumId="117">
    <w:nsid w:val="5399C654"/>
    <w:multiLevelType w:val="hybridMultilevel"/>
    <w:lvl w:ilvl="0">
      <w:lvlJc w:val="left"/>
      <w:lvlText w:val="(%1)"/>
      <w:numFmt w:val="lowerRoman"/>
      <w:start w:val="1"/>
    </w:lvl>
  </w:abstractNum>
  <w:abstractNum w:abstractNumId="118">
    <w:nsid w:val="20EE1348"/>
    <w:multiLevelType w:val="hybridMultilevel"/>
    <w:lvl w:ilvl="0">
      <w:lvlJc w:val="left"/>
      <w:lvlText w:val="%1."/>
      <w:numFmt w:val="decimal"/>
      <w:start w:val="8"/>
    </w:lvl>
  </w:abstractNum>
  <w:abstractNum w:abstractNumId="119">
    <w:nsid w:val="4427069A"/>
    <w:multiLevelType w:val="hybridMultilevel"/>
    <w:lvl w:ilvl="0">
      <w:lvlJc w:val="left"/>
      <w:lvlText w:val="(%1)"/>
      <w:numFmt w:val="lowerRoman"/>
      <w:start w:val="1"/>
    </w:lvl>
  </w:abstractNum>
  <w:abstractNum w:abstractNumId="120">
    <w:nsid w:val="B37E80A"/>
    <w:multiLevelType w:val="hybridMultilevel"/>
    <w:lvl w:ilvl="0">
      <w:lvlJc w:val="left"/>
      <w:lvlText w:val="(%1)"/>
      <w:numFmt w:val="lowerRoman"/>
      <w:start w:val="3"/>
    </w:lvl>
  </w:abstractNum>
  <w:abstractNum w:abstractNumId="121">
    <w:nsid w:val="2157F6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2">
    <w:nsid w:val="704E1DD5"/>
    <w:multiLevelType w:val="hybridMultilevel"/>
    <w:lvl w:ilvl="0">
      <w:lvlJc w:val="left"/>
      <w:lvlText w:val="(%1)"/>
      <w:numFmt w:val="lowerRoman"/>
      <w:start w:val="3"/>
    </w:lvl>
  </w:abstractNum>
  <w:abstractNum w:abstractNumId="123">
    <w:nsid w:val="57D2F10E"/>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124">
    <w:nsid w:val="BFFAE18"/>
    <w:multiLevelType w:val="hybridMultilevel"/>
    <w:lvl w:ilvl="0">
      <w:lvlJc w:val="left"/>
      <w:lvlText w:val="%1"/>
      <w:numFmt w:val="decimal"/>
      <w:start w:val="1"/>
    </w:lvl>
    <w:lvl w:ilvl="1">
      <w:lvlJc w:val="left"/>
      <w:lvlText w:val="(%2)"/>
      <w:numFmt w:val="lowerLetter"/>
      <w:start w:val="4"/>
    </w:lvl>
    <w:lvl w:ilvl="2">
      <w:lvlJc w:val="left"/>
      <w:lvlText w:val="%3"/>
      <w:numFmt w:val="upperLetter"/>
      <w:start w:val="1"/>
    </w:lvl>
  </w:abstractNum>
  <w:abstractNum w:abstractNumId="125">
    <w:nsid w:val="E3E47A8"/>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abstractNum w:abstractNumId="126">
    <w:nsid w:val="2E48F044"/>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127">
    <w:nsid w:val="49D0FEA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128">
    <w:nsid w:val="4BEE5A5B"/>
    <w:multiLevelType w:val="hybridMultilevel"/>
    <w:lvl w:ilvl="0">
      <w:lvlJc w:val="left"/>
      <w:lvlText w:val="(%1)"/>
      <w:numFmt w:val="decimal"/>
      <w:start w:val="4"/>
    </w:lvl>
    <w:lvl w:ilvl="1">
      <w:lvlJc w:val="left"/>
      <w:lvlText w:val="%2."/>
      <w:numFmt w:val="decimal"/>
      <w:start w:val="4"/>
    </w:lvl>
    <w:lvl w:ilvl="2">
      <w:lvlJc w:val="left"/>
      <w:lvlText w:val="(%3)"/>
      <w:numFmt w:val="lowerLetter"/>
      <w:start w:val="4"/>
    </w:lvl>
    <w:lvl w:ilvl="3">
      <w:lvlJc w:val="left"/>
      <w:lvlText w:val="%4"/>
      <w:numFmt w:val="lowerLetter"/>
      <w:start w:val="1"/>
    </w:lvl>
  </w:abstractNum>
  <w:abstractNum w:abstractNumId="129">
    <w:nsid w:val="5551B9F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130">
    <w:nsid w:val="24F6AB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31">
    <w:nsid w:val="634C574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32">
    <w:nsid w:val="24E99DD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33">
    <w:nsid w:val="2A31B62D"/>
    <w:multiLevelType w:val="hybridMultilevel"/>
    <w:lvl w:ilvl="0">
      <w:lvlJc w:val="left"/>
      <w:lvlText w:val="%1"/>
      <w:numFmt w:val="decimal"/>
      <w:start w:val="1"/>
    </w:lvl>
    <w:lvl w:ilvl="1">
      <w:lvlJc w:val="left"/>
      <w:lvlText w:val="(%2)"/>
      <w:numFmt w:val="lowerLetter"/>
      <w:start w:val="3"/>
    </w:lvl>
  </w:abstractNum>
  <w:abstractNum w:abstractNumId="134">
    <w:nsid w:val="1849C29B"/>
    <w:multiLevelType w:val="hybridMultilevel"/>
    <w:lvl w:ilvl="0">
      <w:lvlJc w:val="left"/>
      <w:lvlText w:val="%1."/>
      <w:numFmt w:val="decimal"/>
      <w:start w:val="7"/>
    </w:lvl>
    <w:lvl w:ilvl="1">
      <w:lvlJc w:val="left"/>
      <w:lvlText w:val="(%2)"/>
      <w:numFmt w:val="lowerLetter"/>
      <w:start w:val="1"/>
    </w:lvl>
  </w:abstractNum>
  <w:abstractNum w:abstractNumId="135">
    <w:nsid w:val="7DFF9D0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36">
    <w:nsid w:val="754342"/>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37">
    <w:nsid w:val="69E7F3E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38">
    <w:nsid w:val="2A6DE806"/>
    <w:multiLevelType w:val="hybridMultilevel"/>
    <w:lvl w:ilvl="0">
      <w:lvlJc w:val="left"/>
      <w:lvlText w:val="%1"/>
      <w:numFmt w:val="decimal"/>
      <w:start w:val="1"/>
    </w:lvl>
    <w:lvl w:ilvl="1">
      <w:lvlJc w:val="left"/>
      <w:lvlText w:val="(%2)"/>
      <w:numFmt w:val="lowerLetter"/>
      <w:start w:val="3"/>
    </w:lvl>
  </w:abstractNum>
  <w:abstractNum w:abstractNumId="139">
    <w:nsid w:val="1816F8C4"/>
    <w:multiLevelType w:val="hybridMultilevel"/>
    <w:lvl w:ilvl="0">
      <w:lvlJc w:val="left"/>
      <w:lvlText w:val="%1."/>
      <w:numFmt w:val="decimal"/>
      <w:start w:val="10"/>
    </w:lvl>
    <w:lvl w:ilvl="1">
      <w:lvlJc w:val="left"/>
      <w:lvlText w:val="(%2)"/>
      <w:numFmt w:val="lowerLetter"/>
      <w:start w:val="1"/>
    </w:lvl>
  </w:abstractNum>
  <w:abstractNum w:abstractNumId="140">
    <w:nsid w:val="37DF2233"/>
    <w:multiLevelType w:val="hybridMultilevel"/>
    <w:lvl w:ilvl="0">
      <w:lvlJc w:val="left"/>
      <w:lvlText w:val="%1."/>
      <w:numFmt w:val="decimal"/>
      <w:start w:val="14"/>
    </w:lvl>
  </w:abstractNum>
  <w:abstractNum w:abstractNumId="141">
    <w:nsid w:val="7AB49DAF"/>
    <w:multiLevelType w:val="hybridMultilevel"/>
    <w:lvl w:ilvl="0">
      <w:lvlJc w:val="left"/>
      <w:lvlText w:val="%1."/>
      <w:numFmt w:val="decimal"/>
      <w:start w:val="1"/>
    </w:lvl>
    <w:lvl w:ilvl="1">
      <w:lvlJc w:val="left"/>
      <w:lvlText w:val="(%2)"/>
      <w:numFmt w:val="lowerLetter"/>
      <w:start w:val="1"/>
    </w:lvl>
  </w:abstractNum>
  <w:abstractNum w:abstractNumId="142">
    <w:nsid w:val="759F82CD"/>
    <w:multiLevelType w:val="hybridMultilevel"/>
    <w:lvl w:ilvl="0">
      <w:lvlJc w:val="left"/>
      <w:lvlText w:val="%1."/>
      <w:numFmt w:val="decimal"/>
      <w:start w:val="1"/>
    </w:lvl>
    <w:lvl w:ilvl="1">
      <w:lvlJc w:val="left"/>
      <w:lvlText w:val="(%2)"/>
      <w:numFmt w:val="lowerLetter"/>
      <w:start w:val="1"/>
    </w:lvl>
  </w:abstractNum>
  <w:abstractNum w:abstractNumId="143">
    <w:nsid w:val="61E74EA3"/>
    <w:multiLevelType w:val="hybridMultilevel"/>
    <w:lvl w:ilvl="0">
      <w:lvlJc w:val="left"/>
      <w:lvlText w:val="%1."/>
      <w:numFmt w:val="decimal"/>
      <w:start w:val="1"/>
    </w:lvl>
  </w:abstractNum>
  <w:abstractNum w:abstractNumId="144">
    <w:nsid w:val="597B4D8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228" Type="http://schemas.openxmlformats.org/officeDocument/2006/relationships/image" Target="media/image190.png"/><Relationship Id="rId229" Type="http://schemas.openxmlformats.org/officeDocument/2006/relationships/image" Target="media/image191.png"/><Relationship Id="rId230" Type="http://schemas.openxmlformats.org/officeDocument/2006/relationships/image" Target="media/image192.png"/><Relationship Id="rId231" Type="http://schemas.openxmlformats.org/officeDocument/2006/relationships/image" Target="media/image193.png"/><Relationship Id="rId232" Type="http://schemas.openxmlformats.org/officeDocument/2006/relationships/image" Target="media/image194.png"/><Relationship Id="rId233" Type="http://schemas.openxmlformats.org/officeDocument/2006/relationships/image" Target="media/image195.png"/><Relationship Id="rId234" Type="http://schemas.openxmlformats.org/officeDocument/2006/relationships/image" Target="media/image196.png"/><Relationship Id="rId235" Type="http://schemas.openxmlformats.org/officeDocument/2006/relationships/image" Target="media/image197.png"/><Relationship Id="rId236" Type="http://schemas.openxmlformats.org/officeDocument/2006/relationships/image" Target="media/image198.png"/><Relationship Id="rId237" Type="http://schemas.openxmlformats.org/officeDocument/2006/relationships/image" Target="media/image199.png"/><Relationship Id="rId238" Type="http://schemas.openxmlformats.org/officeDocument/2006/relationships/image" Target="media/image200.png"/><Relationship Id="rId239" Type="http://schemas.openxmlformats.org/officeDocument/2006/relationships/image" Target="media/image201.png"/><Relationship Id="rId240" Type="http://schemas.openxmlformats.org/officeDocument/2006/relationships/image" Target="media/image202.jpeg"/><Relationship Id="rId241"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jpeg"/><Relationship Id="rId244" Type="http://schemas.openxmlformats.org/officeDocument/2006/relationships/image" Target="media/image206.png"/><Relationship Id="rId245" Type="http://schemas.openxmlformats.org/officeDocument/2006/relationships/image" Target="media/image207.jpeg"/><Relationship Id="rId246" Type="http://schemas.openxmlformats.org/officeDocument/2006/relationships/image" Target="media/image208.png"/><Relationship Id="rId247" Type="http://schemas.openxmlformats.org/officeDocument/2006/relationships/image" Target="media/image209.jpeg"/><Relationship Id="rId248" Type="http://schemas.openxmlformats.org/officeDocument/2006/relationships/image" Target="media/image210.png"/><Relationship Id="rId249" Type="http://schemas.openxmlformats.org/officeDocument/2006/relationships/image" Target="media/image211.jpeg"/><Relationship Id="rId250" Type="http://schemas.openxmlformats.org/officeDocument/2006/relationships/image" Target="media/image212.png"/><Relationship Id="rId251" Type="http://schemas.openxmlformats.org/officeDocument/2006/relationships/image" Target="media/image213.jpeg"/><Relationship Id="rId252" Type="http://schemas.openxmlformats.org/officeDocument/2006/relationships/image" Target="media/image214.png"/><Relationship Id="rId253" Type="http://schemas.openxmlformats.org/officeDocument/2006/relationships/image" Target="media/image215.jpeg"/><Relationship Id="rId254" Type="http://schemas.openxmlformats.org/officeDocument/2006/relationships/image" Target="media/image216.png"/><Relationship Id="rId255" Type="http://schemas.openxmlformats.org/officeDocument/2006/relationships/image" Target="media/image217.jpeg"/><Relationship Id="rId256" Type="http://schemas.openxmlformats.org/officeDocument/2006/relationships/image" Target="media/image218.png"/><Relationship Id="rId257" Type="http://schemas.openxmlformats.org/officeDocument/2006/relationships/image" Target="media/image219.jpe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67" Type="http://schemas.openxmlformats.org/officeDocument/2006/relationships/image" Target="media/image229.png"/><Relationship Id="rId268" Type="http://schemas.openxmlformats.org/officeDocument/2006/relationships/image" Target="media/image230.png"/><Relationship Id="rId269" Type="http://schemas.openxmlformats.org/officeDocument/2006/relationships/image" Target="media/image231.png"/><Relationship Id="rId270" Type="http://schemas.openxmlformats.org/officeDocument/2006/relationships/image" Target="media/image232.png"/><Relationship Id="rId271" Type="http://schemas.openxmlformats.org/officeDocument/2006/relationships/image" Target="media/image233.png"/><Relationship Id="rId272" Type="http://schemas.openxmlformats.org/officeDocument/2006/relationships/image" Target="media/image234.png"/><Relationship Id="rId273" Type="http://schemas.openxmlformats.org/officeDocument/2006/relationships/image" Target="media/image235.png"/><Relationship Id="rId274" Type="http://schemas.openxmlformats.org/officeDocument/2006/relationships/image" Target="media/image236.png"/><Relationship Id="rId275" Type="http://schemas.openxmlformats.org/officeDocument/2006/relationships/image" Target="media/image237.png"/><Relationship Id="rId276" Type="http://schemas.openxmlformats.org/officeDocument/2006/relationships/image" Target="media/image238.png"/><Relationship Id="rId154" Type="http://schemas.openxmlformats.org/officeDocument/2006/relationships/hyperlink" Target="http://www.sec.gov/Archives/edgar/data/1730430/000104746918003293/a2235339zex-3_1.htm" TargetMode="External"/><Relationship Id="rId155" Type="http://schemas.openxmlformats.org/officeDocument/2006/relationships/hyperlink" Target="http://www.sec.gov/Archives/edgar/data/1730430/000110465918036453/a18-14487_1ex3d1.htm" TargetMode="External"/><Relationship Id="rId156" Type="http://schemas.openxmlformats.org/officeDocument/2006/relationships/hyperlink" Target="http://www.sec.gov/Archives/edgar/data/1730430/000104746918003731/a2235626zex-4_1.htm" TargetMode="External"/><Relationship Id="rId157" Type="http://schemas.openxmlformats.org/officeDocument/2006/relationships/hyperlink" Target="http://www.sec.gov/Archives/edgar/data/1730430/000104746918003293/a2235339zex-4_2.htm" TargetMode="External"/><Relationship Id="rId158" Type="http://schemas.openxmlformats.org/officeDocument/2006/relationships/hyperlink" Target="http://www.sec.gov/Archives/edgar/data/1730430/000110465918049660/a18-17696_1ex10d7.htm" TargetMode="External"/><Relationship Id="rId159" Type="http://schemas.openxmlformats.org/officeDocument/2006/relationships/hyperlink" Target="http://www.sec.gov/Archives/edgar/data/1730430/000110465918049660/a18-17696_1ex10d8.htm" TargetMode="External"/><Relationship Id="rId160" Type="http://schemas.openxmlformats.org/officeDocument/2006/relationships/hyperlink" Target="http://www.sec.gov/Archives/edgar/data/1730430/000110465918049660/a18-17696_1ex10d9.htm" TargetMode="External"/><Relationship Id="rId161" Type="http://schemas.openxmlformats.org/officeDocument/2006/relationships/hyperlink" Target="http://www.sec.gov/Archives/edgar/data/1730430/000104746918003293/a2235339zex-10_6.htm" TargetMode="External"/><Relationship Id="rId162" Type="http://schemas.openxmlformats.org/officeDocument/2006/relationships/hyperlink" Target="http://www.sec.gov/Archives/edgar/data/1730430/000104746918003293/a2235339zex-10_7.htm" TargetMode="External"/><Relationship Id="rId163" Type="http://schemas.openxmlformats.org/officeDocument/2006/relationships/hyperlink" Target="http://www.sec.gov/Archives/edgar/data/1730430/000104746918003293/a2235339zex-10_8.htm" TargetMode="External"/><Relationship Id="rId164" Type="http://schemas.openxmlformats.org/officeDocument/2006/relationships/hyperlink" Target="http://www.sec.gov/Archives/edgar/data/1730430/000104746918003293/a2235339zex-10_9.htm" TargetMode="External"/><Relationship Id="rId165" Type="http://schemas.openxmlformats.org/officeDocument/2006/relationships/hyperlink" Target="http://www.sec.gov/Archives/edgar/data/1730430/000104746918003293/a2235339zex-10_10.htm" TargetMode="External"/><Relationship Id="rId166" Type="http://schemas.openxmlformats.org/officeDocument/2006/relationships/hyperlink" Target="http://www.sec.gov/Archives/edgar/data/1730430/000110465918049660/a18-17696_1ex10d10.htm" TargetMode="External"/><Relationship Id="rId167" Type="http://schemas.openxmlformats.org/officeDocument/2006/relationships/hyperlink" Target="http://www.sec.gov/Archives/edgar/data/1730430/000110465918067898/a18-40071_1ex10d1.htm" TargetMode="External"/><Relationship Id="rId168" Type="http://schemas.openxmlformats.org/officeDocument/2006/relationships/hyperlink" Target="http://www.sec.gov/Archives/edgar/data/1730430/000104746918003293/a2235339zex-10_11.htm" TargetMode="External"/><Relationship Id="rId169" Type="http://schemas.openxmlformats.org/officeDocument/2006/relationships/hyperlink" Target="http://www.sec.gov/Archives/edgar/data/1730430/000104746918003293/a2235339zex-10_12.htm" TargetMode="External"/><Relationship Id="rId170" Type="http://schemas.openxmlformats.org/officeDocument/2006/relationships/hyperlink" Target="http://www.sec.gov/Archives/edgar/data/1730430/000104746918003293/a2235339zex-10_13.htm" TargetMode="External"/><Relationship Id="rId171" Type="http://schemas.openxmlformats.org/officeDocument/2006/relationships/hyperlink" Target="http://www.sec.gov/Archives/edgar/data/1730430/000104746918003293/a2235339zex-10_1.htm" TargetMode="External"/><Relationship Id="rId172" Type="http://schemas.openxmlformats.org/officeDocument/2006/relationships/hyperlink" Target="http://www.sec.gov/Archives/edgar/data/1730430/000104746919000263/a2237498zex-10_19.htm" TargetMode="External"/><Relationship Id="rId173" Type="http://schemas.openxmlformats.org/officeDocument/2006/relationships/hyperlink" Target="http://www.sec.gov/Archives/edgar/data/1730430/000104746918003731/a2235626zex-10_14.htm" TargetMode="External"/><Relationship Id="rId174" Type="http://schemas.openxmlformats.org/officeDocument/2006/relationships/hyperlink" Target="http://www.sec.gov/Archives/edgar/data/1730430/000110465918049660/a18-17696_1ex10d6.htm" TargetMode="External"/><Relationship Id="rId175" Type="http://schemas.openxmlformats.org/officeDocument/2006/relationships/hyperlink" Target="http://www.sec.gov/Archives/edgar/data/1730430/000104746919000263/a2237498zex-10_22.htm" TargetMode="External"/><Relationship Id="rId176" Type="http://schemas.openxmlformats.org/officeDocument/2006/relationships/hyperlink" Target="http://www.sec.gov/Archives/edgar/data/1730430/000104746919000263/a2237498zex-10_23.htm" TargetMode="External"/><Relationship Id="rId177" Type="http://schemas.openxmlformats.org/officeDocument/2006/relationships/hyperlink" Target="http://www.sec.gov/Archives/edgar/data/1730430/000155837019009978/knsa-20190930ex101435496.htm" TargetMode="External"/><Relationship Id="rId178" Type="http://schemas.openxmlformats.org/officeDocument/2006/relationships/hyperlink" Target="http://www.sec.gov/Archives/edgar/data/1730430/000104746919000263/a2237498zex-10_25.htm" TargetMode="External"/><Relationship Id="rId179" Type="http://schemas.openxmlformats.org/officeDocument/2006/relationships/hyperlink" Target="http://www.sec.gov/Archives/edgar/data/1730430/000104746919000263/a2237498zex-10_26.htm" TargetMode="External"/><Relationship Id="rId180" Type="http://schemas.openxmlformats.org/officeDocument/2006/relationships/hyperlink" Target="http://www.sec.gov/Archives/edgar/data/1730430/000155837019001857/knsa-20181231ex102759b01.htm" TargetMode="External"/><Relationship Id="rId181" Type="http://schemas.openxmlformats.org/officeDocument/2006/relationships/hyperlink" Target="http://www.sec.gov/Archives/edgar/data/1730430/000110465919073046/tm1925255d1_ex10-1.htm" TargetMode="External"/><Relationship Id="rId182" Type="http://schemas.openxmlformats.org/officeDocument/2006/relationships/hyperlink" Target="http://www.sec.gov/Archives/edgar/data/1730430/000110465919073046/tm1925255d1_ex10-2.htm" TargetMode="External"/><Relationship Id="rId183" Type="http://schemas.openxmlformats.org/officeDocument/2006/relationships/hyperlink" Target="http://www.sec.gov/Archives/edgar/data/1730430/000110465919073046/tm1925255d1_ex10-3.htm" TargetMode="External"/><Relationship Id="rId184" Type="http://schemas.openxmlformats.org/officeDocument/2006/relationships/hyperlink" Target="http://www.sec.gov/Archives/edgar/data/1730430/000104746919000263/a2237498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2020-03-05T16:16:33Z</dcterms:created>
  <dcterms:modified xsi:type="dcterms:W3CDTF">2020-03-05T16:16:33Z</dcterms:modified>
</cp:coreProperties>
</file>