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8362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362950"/>
                    </a:xfrm>
                    <a:prstGeom prst="rect">
                      <a:avLst/>
                    </a:prstGeom>
                    <a:noFill/>
                  </pic:spPr>
                </pic:pic>
              </a:graphicData>
            </a:graphic>
          </wp:anchor>
        </w:drawing>
      </w:r>
    </w:p>
    <w:p>
      <w:pPr>
        <w:spacing w:after="0" w:line="1208" w:lineRule="exact"/>
        <w:rPr>
          <w:sz w:val="24"/>
          <w:szCs w:val="24"/>
          <w:color w:val="auto"/>
        </w:rPr>
      </w:pPr>
    </w:p>
    <w:p>
      <w:pPr>
        <w:sectPr>
          <w:pgSz w:w="11900" w:h="16892" w:orient="portrait"/>
          <w:cols w:equalWidth="0" w:num="2">
            <w:col w:w="2300" w:space="320"/>
            <w:col w:w="8440"/>
          </w:cols>
          <w:pgMar w:left="460" w:top="216" w:right="37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Patel Sanj K</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520"/>
        <w:spacing w:after="0" w:line="373" w:lineRule="auto"/>
        <w:rPr>
          <w:sz w:val="20"/>
          <w:szCs w:val="20"/>
          <w:color w:val="auto"/>
        </w:rPr>
      </w:pPr>
      <w:r>
        <w:rPr>
          <w:rFonts w:ascii="Times New Roman" w:cs="Times New Roman" w:eastAsia="Times New Roman" w:hAnsi="Times New Roman"/>
          <w:sz w:val="16"/>
          <w:szCs w:val="16"/>
          <w:color w:val="0000FF"/>
        </w:rPr>
        <w:t>C/O KINIKSA PHARMACEUTICALS INT'L 105 PICCADILLY, SECOND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W1J 7NJ</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3"/>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Kiniksa Pharmaceuticals International, plc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3460" w:type="dxa"/>
            <w:vAlign w:val="bottom"/>
            <w:tcBorders>
              <w:bottom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KNSA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20" w:type="dxa"/>
            <w:vAlign w:val="bottom"/>
            <w:gridSpan w:val="3"/>
            <w:vMerge w:val="continue"/>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3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60" w:type="dxa"/>
            <w:vAlign w:val="bottom"/>
            <w:tcBorders>
              <w:bottom w:val="single" w:sz="8" w:color="2C2C2C"/>
            </w:tcBorders>
          </w:tcPr>
          <w:p>
            <w:pPr>
              <w:spacing w:after="0"/>
              <w:rPr>
                <w:sz w:val="12"/>
                <w:szCs w:val="12"/>
                <w:color w:val="auto"/>
              </w:rPr>
            </w:pPr>
          </w:p>
        </w:tc>
        <w:tc>
          <w:tcPr>
            <w:tcW w:w="34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840" w:type="dxa"/>
            <w:vAlign w:val="bottom"/>
          </w:tcPr>
          <w:p>
            <w:pPr>
              <w:ind w:left="600"/>
              <w:spacing w:after="0" w:line="14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4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940"/>
              <w:spacing w:after="0" w:line="191" w:lineRule="exact"/>
              <w:rPr>
                <w:sz w:val="20"/>
                <w:szCs w:val="20"/>
                <w:color w:val="auto"/>
              </w:rPr>
            </w:pPr>
            <w:r>
              <w:rPr>
                <w:rFonts w:ascii="Times New Roman" w:cs="Times New Roman" w:eastAsia="Times New Roman" w:hAnsi="Times New Roman"/>
                <w:sz w:val="17"/>
                <w:szCs w:val="17"/>
                <w:color w:val="0000FF"/>
              </w:rPr>
              <w:t>CHAIRMAN &amp; CEO</w:t>
            </w:r>
          </w:p>
        </w:tc>
        <w:tc>
          <w:tcPr>
            <w:tcW w:w="0" w:type="dxa"/>
            <w:vAlign w:val="bottom"/>
          </w:tcPr>
          <w:p>
            <w:pPr>
              <w:spacing w:after="0"/>
              <w:rPr>
                <w:sz w:val="1"/>
                <w:szCs w:val="1"/>
                <w:color w:val="auto"/>
              </w:rPr>
            </w:pPr>
          </w:p>
        </w:tc>
      </w:tr>
      <w:tr>
        <w:trPr>
          <w:trHeight w:val="216"/>
        </w:trPr>
        <w:tc>
          <w:tcPr>
            <w:tcW w:w="3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06/01/2026</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34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92" w:orient="portrait"/>
          <w:cols w:equalWidth="0" w:num="2">
            <w:col w:w="3740" w:space="100"/>
            <w:col w:w="7220"/>
          </w:cols>
          <w:pgMar w:left="460" w:top="216" w:right="379" w:bottom="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8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460" w:type="dxa"/>
            <w:vAlign w:val="bottom"/>
          </w:tcPr>
          <w:p>
            <w:pPr>
              <w:spacing w:after="0"/>
              <w:rPr>
                <w:sz w:val="10"/>
                <w:szCs w:val="10"/>
                <w:color w:val="auto"/>
              </w:rPr>
            </w:pPr>
          </w:p>
        </w:tc>
        <w:tc>
          <w:tcPr>
            <w:tcW w:w="17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1780" w:type="dxa"/>
            <w:vAlign w:val="bottom"/>
          </w:tcPr>
          <w:p>
            <w:pPr>
              <w:ind w:left="7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4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jc w:val="right"/>
              <w:ind w:right="185"/>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4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The Anglia</w:t>
            </w:r>
          </w:p>
        </w:tc>
        <w:tc>
          <w:tcPr>
            <w:tcW w:w="0" w:type="dxa"/>
            <w:vAlign w:val="bottom"/>
          </w:tcPr>
          <w:p>
            <w:pPr>
              <w:spacing w:after="0"/>
              <w:rPr>
                <w:sz w:val="1"/>
                <w:szCs w:val="1"/>
                <w:color w:val="auto"/>
              </w:rPr>
            </w:pPr>
          </w:p>
        </w:tc>
      </w:tr>
      <w:tr>
        <w:trPr>
          <w:trHeight w:val="204"/>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w:t>
            </w:r>
          </w:p>
        </w:tc>
        <w:tc>
          <w:tcPr>
            <w:tcW w:w="178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06/01/2026</w:t>
            </w:r>
          </w:p>
        </w:tc>
        <w:tc>
          <w:tcPr>
            <w:tcW w:w="1080" w:type="dxa"/>
            <w:vAlign w:val="bottom"/>
          </w:tcPr>
          <w:p>
            <w:pPr>
              <w:spacing w:after="0"/>
              <w:rPr>
                <w:sz w:val="17"/>
                <w:szCs w:val="17"/>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900,000</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165"/>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951,794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2013</w:t>
            </w:r>
          </w:p>
        </w:tc>
        <w:tc>
          <w:tcPr>
            <w:tcW w:w="0" w:type="dxa"/>
            <w:vAlign w:val="bottom"/>
          </w:tcPr>
          <w:p>
            <w:pPr>
              <w:spacing w:after="0"/>
              <w:rPr>
                <w:sz w:val="1"/>
                <w:szCs w:val="1"/>
                <w:color w:val="auto"/>
              </w:rPr>
            </w:pPr>
          </w:p>
        </w:tc>
      </w:tr>
      <w:tr>
        <w:trPr>
          <w:trHeight w:val="114"/>
        </w:trPr>
        <w:tc>
          <w:tcPr>
            <w:tcW w:w="246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0"/>
        </w:trPr>
        <w:tc>
          <w:tcPr>
            <w:tcW w:w="24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7"/>
        </w:trPr>
        <w:tc>
          <w:tcPr>
            <w:tcW w:w="24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4"/>
        </w:trPr>
        <w:tc>
          <w:tcPr>
            <w:tcW w:w="2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04"/>
        </w:trPr>
        <w:tc>
          <w:tcPr>
            <w:tcW w:w="2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Marina</w:t>
            </w:r>
          </w:p>
        </w:tc>
        <w:tc>
          <w:tcPr>
            <w:tcW w:w="0" w:type="dxa"/>
            <w:vAlign w:val="bottom"/>
          </w:tcPr>
          <w:p>
            <w:pPr>
              <w:spacing w:after="0"/>
              <w:rPr>
                <w:sz w:val="1"/>
                <w:szCs w:val="1"/>
                <w:color w:val="auto"/>
              </w:rPr>
            </w:pPr>
          </w:p>
        </w:tc>
      </w:tr>
      <w:tr>
        <w:trPr>
          <w:trHeight w:val="204"/>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w:t>
            </w:r>
          </w:p>
        </w:tc>
        <w:tc>
          <w:tcPr>
            <w:tcW w:w="1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109,795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2016</w:t>
            </w:r>
          </w:p>
        </w:tc>
        <w:tc>
          <w:tcPr>
            <w:tcW w:w="0" w:type="dxa"/>
            <w:vAlign w:val="bottom"/>
          </w:tcPr>
          <w:p>
            <w:pPr>
              <w:spacing w:after="0"/>
              <w:rPr>
                <w:sz w:val="1"/>
                <w:szCs w:val="1"/>
                <w:color w:val="auto"/>
              </w:rPr>
            </w:pPr>
          </w:p>
        </w:tc>
      </w:tr>
      <w:tr>
        <w:trPr>
          <w:trHeight w:val="114"/>
        </w:trPr>
        <w:tc>
          <w:tcPr>
            <w:tcW w:w="246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90"/>
        </w:trPr>
        <w:tc>
          <w:tcPr>
            <w:tcW w:w="24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 u/d/t</w:t>
            </w:r>
          </w:p>
        </w:tc>
        <w:tc>
          <w:tcPr>
            <w:tcW w:w="0" w:type="dxa"/>
            <w:vAlign w:val="bottom"/>
          </w:tcPr>
          <w:p>
            <w:pPr>
              <w:spacing w:after="0"/>
              <w:rPr>
                <w:sz w:val="1"/>
                <w:szCs w:val="1"/>
                <w:color w:val="auto"/>
              </w:rPr>
            </w:pPr>
          </w:p>
        </w:tc>
      </w:tr>
      <w:tr>
        <w:trPr>
          <w:trHeight w:val="204"/>
        </w:trPr>
        <w:tc>
          <w:tcPr>
            <w:tcW w:w="2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June 23,</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2016</w:t>
            </w:r>
          </w:p>
        </w:tc>
        <w:tc>
          <w:tcPr>
            <w:tcW w:w="0" w:type="dxa"/>
            <w:vAlign w:val="bottom"/>
          </w:tcPr>
          <w:p>
            <w:pPr>
              <w:spacing w:after="0"/>
              <w:rPr>
                <w:sz w:val="1"/>
                <w:szCs w:val="1"/>
                <w:color w:val="auto"/>
              </w:rPr>
            </w:pPr>
          </w:p>
        </w:tc>
      </w:tr>
      <w:tr>
        <w:trPr>
          <w:trHeight w:val="57"/>
        </w:trPr>
        <w:tc>
          <w:tcPr>
            <w:tcW w:w="24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4"/>
        </w:trPr>
        <w:tc>
          <w:tcPr>
            <w:tcW w:w="2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The Patel</w:t>
            </w:r>
          </w:p>
        </w:tc>
        <w:tc>
          <w:tcPr>
            <w:tcW w:w="0" w:type="dxa"/>
            <w:vAlign w:val="bottom"/>
          </w:tcPr>
          <w:p>
            <w:pPr>
              <w:spacing w:after="0"/>
              <w:rPr>
                <w:sz w:val="1"/>
                <w:szCs w:val="1"/>
                <w:color w:val="auto"/>
              </w:rPr>
            </w:pPr>
          </w:p>
        </w:tc>
      </w:tr>
      <w:tr>
        <w:trPr>
          <w:trHeight w:val="222"/>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Ordinary Share</w:t>
            </w:r>
          </w:p>
        </w:tc>
        <w:tc>
          <w:tcPr>
            <w:tcW w:w="1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76,174</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Irrevocable</w:t>
      </w:r>
    </w:p>
    <w:p>
      <w:pPr>
        <w:spacing w:after="0" w:line="2"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7"/>
          <w:szCs w:val="17"/>
          <w:color w:val="0000FF"/>
        </w:rPr>
        <w:t>Trust of</w:t>
      </w:r>
    </w:p>
    <w:p>
      <w:pPr>
        <w:spacing w:after="0" w:line="8"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7"/>
          <w:szCs w:val="17"/>
          <w:color w:val="0000FF"/>
        </w:rPr>
        <w:t>2025</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Class B</w:t>
            </w:r>
          </w:p>
        </w:tc>
        <w:tc>
          <w:tcPr>
            <w:tcW w:w="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vMerge w:val="restart"/>
          </w:tcPr>
          <w:p>
            <w:pPr>
              <w:jc w:val="center"/>
              <w:ind w:right="596"/>
              <w:spacing w:after="0"/>
              <w:rPr>
                <w:sz w:val="20"/>
                <w:szCs w:val="20"/>
                <w:color w:val="auto"/>
              </w:rPr>
            </w:pPr>
            <w:r>
              <w:rPr>
                <w:rFonts w:ascii="Times New Roman" w:cs="Times New Roman" w:eastAsia="Times New Roman" w:hAnsi="Times New Roman"/>
                <w:sz w:val="13"/>
                <w:szCs w:val="13"/>
                <w:color w:val="0000FF"/>
                <w:w w:val="97"/>
              </w:rPr>
              <w:t>Class A</w:t>
            </w: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5"/>
              </w:rPr>
              <w:t>The Anglia</w:t>
            </w:r>
          </w:p>
        </w:tc>
        <w:tc>
          <w:tcPr>
            <w:tcW w:w="0" w:type="dxa"/>
            <w:vAlign w:val="bottom"/>
          </w:tcPr>
          <w:p>
            <w:pPr>
              <w:spacing w:after="0"/>
              <w:rPr>
                <w:sz w:val="1"/>
                <w:szCs w:val="1"/>
                <w:color w:val="auto"/>
              </w:rPr>
            </w:pPr>
          </w:p>
        </w:tc>
      </w:tr>
      <w:tr>
        <w:trPr>
          <w:trHeight w:val="51"/>
        </w:trPr>
        <w:tc>
          <w:tcPr>
            <w:tcW w:w="70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2013</w:t>
            </w:r>
          </w:p>
        </w:tc>
        <w:tc>
          <w:tcPr>
            <w:tcW w:w="0" w:type="dxa"/>
            <w:vAlign w:val="bottom"/>
          </w:tcPr>
          <w:p>
            <w:pPr>
              <w:spacing w:after="0"/>
              <w:rPr>
                <w:sz w:val="1"/>
                <w:szCs w:val="1"/>
                <w:color w:val="auto"/>
              </w:rPr>
            </w:pPr>
          </w:p>
        </w:tc>
      </w:tr>
      <w:tr>
        <w:trPr>
          <w:trHeight w:val="89"/>
        </w:trPr>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Ordinary</w:t>
            </w:r>
          </w:p>
        </w:tc>
        <w:tc>
          <w:tcPr>
            <w:tcW w:w="66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(1)</w:t>
            </w:r>
          </w:p>
        </w:tc>
        <w:tc>
          <w:tcPr>
            <w:tcW w:w="160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color w:val="0000FF"/>
              </w:rPr>
              <w:t>06/01/2026</w:t>
            </w:r>
          </w:p>
        </w:tc>
        <w:tc>
          <w:tcPr>
            <w:tcW w:w="128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C</w:t>
            </w:r>
          </w:p>
        </w:tc>
        <w:tc>
          <w:tcPr>
            <w:tcW w:w="10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900,000</w:t>
            </w:r>
          </w:p>
        </w:tc>
        <w:tc>
          <w:tcPr>
            <w:tcW w:w="640" w:type="dxa"/>
            <w:vAlign w:val="bottom"/>
            <w:vMerge w:val="restart"/>
          </w:tcPr>
          <w:p>
            <w:pPr>
              <w:jc w:val="right"/>
              <w:ind w:right="267"/>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(1)</w:t>
            </w:r>
          </w:p>
        </w:tc>
        <w:tc>
          <w:tcPr>
            <w:tcW w:w="1500" w:type="dxa"/>
            <w:vAlign w:val="bottom"/>
            <w:vMerge w:val="restart"/>
          </w:tcPr>
          <w:p>
            <w:pPr>
              <w:ind w:left="180"/>
              <w:spacing w:after="0" w:line="153" w:lineRule="exact"/>
              <w:rPr>
                <w:sz w:val="20"/>
                <w:szCs w:val="20"/>
                <w:color w:val="auto"/>
              </w:rPr>
            </w:pPr>
            <w:r>
              <w:rPr>
                <w:rFonts w:ascii="Times New Roman" w:cs="Times New Roman" w:eastAsia="Times New Roman" w:hAnsi="Times New Roman"/>
                <w:sz w:val="13"/>
                <w:szCs w:val="13"/>
                <w:color w:val="0000FF"/>
              </w:rPr>
              <w:t xml:space="preserve">Ordinary  </w:t>
            </w:r>
            <w:r>
              <w:rPr>
                <w:rFonts w:ascii="Times New Roman" w:cs="Times New Roman" w:eastAsia="Times New Roman" w:hAnsi="Times New Roman"/>
                <w:sz w:val="16"/>
                <w:szCs w:val="16"/>
                <w:color w:val="0000FF"/>
              </w:rPr>
              <w:t>900,000</w:t>
            </w:r>
          </w:p>
        </w:tc>
        <w:tc>
          <w:tcPr>
            <w:tcW w:w="560" w:type="dxa"/>
            <w:vAlign w:val="bottom"/>
            <w:vMerge w:val="restart"/>
          </w:tcPr>
          <w:p>
            <w:pPr>
              <w:jc w:val="right"/>
              <w:ind w:right="2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8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0000FF"/>
              </w:rPr>
              <w:t>626,160</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Revocable</w:t>
            </w:r>
          </w:p>
        </w:tc>
        <w:tc>
          <w:tcPr>
            <w:tcW w:w="0" w:type="dxa"/>
            <w:vAlign w:val="bottom"/>
          </w:tcPr>
          <w:p>
            <w:pPr>
              <w:spacing w:after="0"/>
              <w:rPr>
                <w:sz w:val="1"/>
                <w:szCs w:val="1"/>
                <w:color w:val="auto"/>
              </w:rPr>
            </w:pPr>
          </w:p>
        </w:tc>
      </w:tr>
      <w:tr>
        <w:trPr>
          <w:trHeight w:val="76"/>
        </w:trPr>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500" w:type="dxa"/>
            <w:vAlign w:val="bottom"/>
            <w:vMerge w:val="restart"/>
          </w:tcPr>
          <w:p>
            <w:pPr>
              <w:jc w:val="center"/>
              <w:ind w:right="616"/>
              <w:spacing w:after="0"/>
              <w:rPr>
                <w:sz w:val="20"/>
                <w:szCs w:val="20"/>
                <w:color w:val="auto"/>
              </w:rPr>
            </w:pPr>
            <w:r>
              <w:rPr>
                <w:rFonts w:ascii="Times New Roman" w:cs="Times New Roman" w:eastAsia="Times New Roman" w:hAnsi="Times New Roman"/>
                <w:sz w:val="13"/>
                <w:szCs w:val="13"/>
                <w:color w:val="0000FF"/>
              </w:rPr>
              <w:t>Share</w:t>
            </w: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Ordinary Shares is convertible at any time at the election of the holder, subject to certain contractual arrangements entered into between the Reporting Person and the Issuer, into one share of Class A Ordinary Shares or one share of Class B1 Ordinary Shares and will automatically convert into Class A Ordinary Shares upon transfer to an unaffiliated party.</w:t>
      </w:r>
    </w:p>
    <w:p>
      <w:pPr>
        <w:sectPr>
          <w:pgSz w:w="11900" w:h="16892" w:orient="portrait"/>
          <w:cols w:equalWidth="0" w:num="1">
            <w:col w:w="11060"/>
          </w:cols>
          <w:pgMar w:left="460" w:top="216" w:right="37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Douglas Barry,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3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2218" TargetMode="External"/><Relationship Id="rId14" Type="http://schemas.openxmlformats.org/officeDocument/2006/relationships/hyperlink" Target="http://www.sec.gov/cgi-bin/browse-edgar?action=getcompany&amp;CIK=00017304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2026-06-02T16:13:35Z</dcterms:created>
  <dcterms:modified xsi:type="dcterms:W3CDTF">2026-06-02T16:13:35Z</dcterms:modified>
</cp:coreProperties>
</file>