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6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621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Malley Thomas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05/23/2018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Kiniksa Pharmaceuticals, Ltd.</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KNSA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534"/>
        <w:spacing w:after="0" w:line="268" w:lineRule="auto"/>
        <w:rPr>
          <w:sz w:val="20"/>
          <w:szCs w:val="20"/>
          <w:color w:val="auto"/>
        </w:rPr>
      </w:pPr>
      <w:r>
        <w:rPr>
          <w:rFonts w:ascii="Arial" w:cs="Arial" w:eastAsia="Arial" w:hAnsi="Arial"/>
          <w:sz w:val="18"/>
          <w:szCs w:val="18"/>
          <w:color w:val="0000FF"/>
        </w:rPr>
        <w:t>C/O KINIKSA PHARMACEUTICALS CORP.,</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 HAYDEN AVENUE</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20" w:type="dxa"/>
            <w:vAlign w:val="bottom"/>
          </w:tcPr>
          <w:p>
            <w:pPr>
              <w:ind w:left="40"/>
              <w:spacing w:after="0"/>
              <w:rPr>
                <w:sz w:val="20"/>
                <w:szCs w:val="20"/>
                <w:color w:val="auto"/>
              </w:rPr>
            </w:pPr>
            <w:r>
              <w:rPr>
                <w:rFonts w:ascii="Arial" w:cs="Arial" w:eastAsia="Arial" w:hAnsi="Arial"/>
                <w:sz w:val="18"/>
                <w:szCs w:val="18"/>
                <w:color w:val="0000FF"/>
              </w:rPr>
              <w:t>LEXINGTON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02421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20" w:type="dxa"/>
            <w:vAlign w:val="bottom"/>
          </w:tcPr>
          <w:p>
            <w:pPr>
              <w:ind w:left="10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40" w:type="dxa"/>
            <w:vAlign w:val="bottom"/>
          </w:tcPr>
          <w:p>
            <w:pPr>
              <w:spacing w:after="0"/>
              <w:rPr>
                <w:sz w:val="12"/>
                <w:szCs w:val="12"/>
                <w:color w:val="auto"/>
              </w:rPr>
            </w:pPr>
          </w:p>
        </w:tc>
        <w:tc>
          <w:tcPr>
            <w:tcW w:w="7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Series B Preferred Shares</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2040" w:type="dxa"/>
            <w:vAlign w:val="bottom"/>
          </w:tcPr>
          <w:p>
            <w:pPr>
              <w:ind w:left="160"/>
              <w:spacing w:after="0"/>
              <w:rPr>
                <w:sz w:val="20"/>
                <w:szCs w:val="20"/>
                <w:color w:val="auto"/>
              </w:rPr>
            </w:pPr>
            <w:r>
              <w:rPr>
                <w:rFonts w:ascii="Arial" w:cs="Arial" w:eastAsia="Arial" w:hAnsi="Arial"/>
                <w:sz w:val="18"/>
                <w:szCs w:val="18"/>
                <w:color w:val="0000FF"/>
                <w:w w:val="92"/>
              </w:rPr>
              <w:t>Class A Common Shares</w:t>
            </w:r>
          </w:p>
        </w:tc>
        <w:tc>
          <w:tcPr>
            <w:tcW w:w="720" w:type="dxa"/>
            <w:vAlign w:val="bottom"/>
          </w:tcPr>
          <w:p>
            <w:pPr>
              <w:ind w:left="140"/>
              <w:spacing w:after="0"/>
              <w:rPr>
                <w:sz w:val="20"/>
                <w:szCs w:val="20"/>
                <w:color w:val="auto"/>
              </w:rPr>
            </w:pPr>
            <w:r>
              <w:rPr>
                <w:rFonts w:ascii="Arial" w:cs="Arial" w:eastAsia="Arial" w:hAnsi="Arial"/>
                <w:sz w:val="18"/>
                <w:szCs w:val="18"/>
                <w:color w:val="0000FF"/>
              </w:rPr>
              <w:t>71,967</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tcPr>
          <w:p>
            <w:pPr>
              <w:ind w:left="440"/>
              <w:spacing w:after="0"/>
              <w:rPr>
                <w:sz w:val="20"/>
                <w:szCs w:val="20"/>
                <w:color w:val="auto"/>
              </w:rPr>
            </w:pPr>
            <w:r>
              <w:rPr>
                <w:rFonts w:ascii="Arial" w:cs="Arial" w:eastAsia="Arial" w:hAnsi="Arial"/>
                <w:sz w:val="18"/>
                <w:szCs w:val="18"/>
                <w:color w:val="0000FF"/>
              </w:rPr>
              <w:t>I</w:t>
            </w:r>
          </w:p>
        </w:tc>
        <w:tc>
          <w:tcPr>
            <w:tcW w:w="1640" w:type="dxa"/>
            <w:vAlign w:val="bottom"/>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rPr>
              <w:t>Share Option</w:t>
            </w:r>
          </w:p>
        </w:tc>
        <w:tc>
          <w:tcPr>
            <w:tcW w:w="880" w:type="dxa"/>
            <w:vAlign w:val="bottom"/>
            <w:tcBorders>
              <w:top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Borders>
              <w:top w:val="single" w:sz="8" w:color="2C2C2C"/>
            </w:tcBorders>
          </w:tcPr>
          <w:p>
            <w:pPr>
              <w:jc w:val="center"/>
              <w:spacing w:after="0"/>
              <w:rPr>
                <w:sz w:val="20"/>
                <w:szCs w:val="20"/>
                <w:color w:val="auto"/>
              </w:rPr>
            </w:pPr>
            <w:r>
              <w:rPr>
                <w:rFonts w:ascii="Arial" w:cs="Arial" w:eastAsia="Arial" w:hAnsi="Arial"/>
                <w:sz w:val="14"/>
                <w:szCs w:val="14"/>
                <w:color w:val="0000FF"/>
                <w:w w:val="88"/>
              </w:rPr>
              <w:t>12/06/2026</w:t>
            </w:r>
          </w:p>
        </w:tc>
        <w:tc>
          <w:tcPr>
            <w:tcW w:w="2040" w:type="dxa"/>
            <w:vAlign w:val="bottom"/>
            <w:tcBorders>
              <w:top w:val="single" w:sz="8" w:color="2C2C2C"/>
            </w:tcBorders>
          </w:tcPr>
          <w:p>
            <w:pPr>
              <w:ind w:left="160"/>
              <w:spacing w:after="0"/>
              <w:rPr>
                <w:sz w:val="20"/>
                <w:szCs w:val="20"/>
                <w:color w:val="auto"/>
              </w:rPr>
            </w:pPr>
            <w:r>
              <w:rPr>
                <w:rFonts w:ascii="Arial" w:cs="Arial" w:eastAsia="Arial" w:hAnsi="Arial"/>
                <w:sz w:val="18"/>
                <w:szCs w:val="18"/>
                <w:color w:val="0000FF"/>
                <w:w w:val="92"/>
              </w:rPr>
              <w:t>Class A Common Shares</w:t>
            </w:r>
          </w:p>
        </w:tc>
        <w:tc>
          <w:tcPr>
            <w:tcW w:w="720" w:type="dxa"/>
            <w:vAlign w:val="bottom"/>
            <w:tcBorders>
              <w:top w:val="single" w:sz="8" w:color="2C2C2C"/>
            </w:tcBorders>
          </w:tcPr>
          <w:p>
            <w:pPr>
              <w:ind w:left="140"/>
              <w:spacing w:after="0"/>
              <w:rPr>
                <w:sz w:val="20"/>
                <w:szCs w:val="20"/>
                <w:color w:val="auto"/>
              </w:rPr>
            </w:pPr>
            <w:r>
              <w:rPr>
                <w:rFonts w:ascii="Arial" w:cs="Arial" w:eastAsia="Arial" w:hAnsi="Arial"/>
                <w:sz w:val="18"/>
                <w:szCs w:val="18"/>
                <w:color w:val="0000FF"/>
              </w:rPr>
              <w:t>21,959</w:t>
            </w:r>
          </w:p>
        </w:tc>
        <w:tc>
          <w:tcPr>
            <w:tcW w:w="88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w w:val="91"/>
              </w:rPr>
              <w:t>1.86</w:t>
            </w:r>
          </w:p>
        </w:tc>
        <w:tc>
          <w:tcPr>
            <w:tcW w:w="880" w:type="dxa"/>
            <w:vAlign w:val="bottom"/>
            <w:tcBorders>
              <w:top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Share Option</w:t>
            </w:r>
          </w:p>
        </w:tc>
        <w:tc>
          <w:tcPr>
            <w:tcW w:w="880" w:type="dxa"/>
            <w:vAlign w:val="bottom"/>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06/28/2027</w:t>
            </w:r>
          </w:p>
        </w:tc>
        <w:tc>
          <w:tcPr>
            <w:tcW w:w="2040" w:type="dxa"/>
            <w:vAlign w:val="bottom"/>
          </w:tcPr>
          <w:p>
            <w:pPr>
              <w:ind w:left="160"/>
              <w:spacing w:after="0"/>
              <w:rPr>
                <w:sz w:val="20"/>
                <w:szCs w:val="20"/>
                <w:color w:val="auto"/>
              </w:rPr>
            </w:pPr>
            <w:r>
              <w:rPr>
                <w:rFonts w:ascii="Arial" w:cs="Arial" w:eastAsia="Arial" w:hAnsi="Arial"/>
                <w:sz w:val="18"/>
                <w:szCs w:val="18"/>
                <w:color w:val="0000FF"/>
                <w:w w:val="92"/>
              </w:rPr>
              <w:t>Class A Common Shares</w:t>
            </w:r>
          </w:p>
        </w:tc>
        <w:tc>
          <w:tcPr>
            <w:tcW w:w="720" w:type="dxa"/>
            <w:vAlign w:val="bottom"/>
          </w:tcPr>
          <w:p>
            <w:pPr>
              <w:ind w:left="140"/>
              <w:spacing w:after="0"/>
              <w:rPr>
                <w:sz w:val="20"/>
                <w:szCs w:val="20"/>
                <w:color w:val="auto"/>
              </w:rPr>
            </w:pPr>
            <w:r>
              <w:rPr>
                <w:rFonts w:ascii="Arial" w:cs="Arial" w:eastAsia="Arial" w:hAnsi="Arial"/>
                <w:sz w:val="18"/>
                <w:szCs w:val="18"/>
                <w:color w:val="0000FF"/>
              </w:rPr>
              <w:t>27,448</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3.8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Share Option</w:t>
            </w:r>
          </w:p>
        </w:tc>
        <w:tc>
          <w:tcPr>
            <w:tcW w:w="880" w:type="dxa"/>
            <w:vAlign w:val="bottom"/>
          </w:tcPr>
          <w:p>
            <w:pPr>
              <w:ind w:left="380"/>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02/29/2028</w:t>
            </w:r>
          </w:p>
        </w:tc>
        <w:tc>
          <w:tcPr>
            <w:tcW w:w="2040" w:type="dxa"/>
            <w:vAlign w:val="bottom"/>
          </w:tcPr>
          <w:p>
            <w:pPr>
              <w:ind w:left="160"/>
              <w:spacing w:after="0"/>
              <w:rPr>
                <w:sz w:val="20"/>
                <w:szCs w:val="20"/>
                <w:color w:val="auto"/>
              </w:rPr>
            </w:pPr>
            <w:r>
              <w:rPr>
                <w:rFonts w:ascii="Arial" w:cs="Arial" w:eastAsia="Arial" w:hAnsi="Arial"/>
                <w:sz w:val="18"/>
                <w:szCs w:val="18"/>
                <w:color w:val="0000FF"/>
                <w:w w:val="92"/>
              </w:rPr>
              <w:t>Class A Common Shares</w:t>
            </w:r>
          </w:p>
        </w:tc>
        <w:tc>
          <w:tcPr>
            <w:tcW w:w="720" w:type="dxa"/>
            <w:vAlign w:val="bottom"/>
          </w:tcPr>
          <w:p>
            <w:pPr>
              <w:ind w:left="140"/>
              <w:spacing w:after="0"/>
              <w:rPr>
                <w:sz w:val="20"/>
                <w:szCs w:val="20"/>
                <w:color w:val="auto"/>
              </w:rPr>
            </w:pPr>
            <w:r>
              <w:rPr>
                <w:rFonts w:ascii="Arial" w:cs="Arial" w:eastAsia="Arial" w:hAnsi="Arial"/>
                <w:sz w:val="18"/>
                <w:szCs w:val="18"/>
                <w:color w:val="0000FF"/>
              </w:rPr>
              <w:t>20,129</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10.36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preferred shares will automatically convert into the Issuer's Class A Common Shares on a one-for-one basis upon the closing of the Issuer's initial public offering and has no expiration date.</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Malley is the president of Mossrock Capital, LLC ("Mossrock") and may be deemed to beneficially own the shares owned by Mossrock.</w:t>
      </w:r>
    </w:p>
    <w:p>
      <w:pPr>
        <w:spacing w:after="0" w:line="41" w:lineRule="exact"/>
        <w:rPr>
          <w:rFonts w:ascii="Arial" w:cs="Arial" w:eastAsia="Arial" w:hAnsi="Arial"/>
          <w:sz w:val="14"/>
          <w:szCs w:val="14"/>
          <w:color w:val="008000"/>
        </w:rPr>
      </w:pPr>
    </w:p>
    <w:p>
      <w:pPr>
        <w:ind w:left="40" w:right="4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vests and becomes exercisable as to 25% of the of the total grant on the first anniversary of the vesting commencement date and vests in equal monthly installments over a three-year period therafter. The vesting commencement date is December 7, 2016.</w:t>
      </w:r>
    </w:p>
    <w:p>
      <w:pPr>
        <w:spacing w:after="0" w:line="30" w:lineRule="exact"/>
        <w:rPr>
          <w:rFonts w:ascii="Arial" w:cs="Arial" w:eastAsia="Arial" w:hAnsi="Arial"/>
          <w:sz w:val="14"/>
          <w:szCs w:val="14"/>
          <w:color w:val="008000"/>
        </w:rPr>
      </w:pPr>
    </w:p>
    <w:p>
      <w:pPr>
        <w:ind w:left="40" w:right="4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vests and becomes exercisable as to 25% of the of the total grant on the first anniversary of the vesting commencement date and vests in equal monthly installments over a three-year period therafter. The vesting commencement date is June 28, 2017.</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vests in equal monthly installments over a twelve month period from the vesting commencement date. The vesting commencement date is March 1, 2018.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Thomas W. Beetham,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9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9474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Thomas</w:t>
      </w:r>
      <w:r>
        <w:rPr>
          <w:sz w:val="20"/>
          <w:szCs w:val="20"/>
          <w:color w:val="auto"/>
        </w:rPr>
        <w:tab/>
      </w:r>
      <w:r>
        <w:rPr>
          <w:rFonts w:ascii="Arial" w:cs="Arial" w:eastAsia="Arial" w:hAnsi="Arial"/>
          <w:sz w:val="15"/>
          <w:szCs w:val="15"/>
          <w:color w:val="0000FF"/>
        </w:rPr>
        <w:t>05/23/2018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 Malley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45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With respect to holdings of and transactions in securities issued by Kiniksa Pharmaceuticals, Ltd.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undersigned 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81" w:lineRule="exact"/>
        <w:rPr>
          <w:sz w:val="20"/>
          <w:szCs w:val="20"/>
          <w:color w:val="auto"/>
        </w:rPr>
      </w:pPr>
    </w:p>
    <w:p>
      <w:pPr>
        <w:ind w:left="700" w:right="140" w:firstLine="1"/>
        <w:spacing w:after="0" w:line="259"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86" w:lineRule="exact"/>
        <w:rPr>
          <w:rFonts w:ascii="Arial" w:cs="Arial" w:eastAsia="Arial" w:hAnsi="Arial"/>
          <w:sz w:val="18"/>
          <w:szCs w:val="18"/>
          <w:color w:val="auto"/>
        </w:rPr>
      </w:pPr>
    </w:p>
    <w:p>
      <w:pPr>
        <w:ind w:left="700" w:right="220" w:firstLine="1"/>
        <w:spacing w:after="0" w:line="277"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 of the Securities Exchange Act of 1934, as amended, and the rules thereunder;</w:t>
      </w:r>
    </w:p>
    <w:p>
      <w:pPr>
        <w:spacing w:after="0" w:line="170" w:lineRule="exact"/>
        <w:rPr>
          <w:rFonts w:ascii="Arial" w:cs="Arial" w:eastAsia="Arial" w:hAnsi="Arial"/>
          <w:sz w:val="18"/>
          <w:szCs w:val="18"/>
          <w:color w:val="auto"/>
        </w:rPr>
      </w:pPr>
    </w:p>
    <w:p>
      <w:pPr>
        <w:ind w:left="700" w:right="20" w:firstLine="1"/>
        <w:spacing w:after="0" w:line="264"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1" w:lineRule="exact"/>
        <w:rPr>
          <w:rFonts w:ascii="Arial" w:cs="Arial" w:eastAsia="Arial" w:hAnsi="Arial"/>
          <w:sz w:val="18"/>
          <w:szCs w:val="18"/>
          <w:color w:val="auto"/>
        </w:rPr>
      </w:pPr>
    </w:p>
    <w:p>
      <w:pPr>
        <w:ind w:left="700" w:firstLine="1"/>
        <w:spacing w:after="0" w:line="259"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2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23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day of May, 2018.</w:t>
      </w:r>
    </w:p>
    <w:p>
      <w:pPr>
        <w:spacing w:after="0" w:line="38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R. Malley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Thomas R. Malley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Individuals Appointed as Attorney-in-Fact with Full Power of Substitution and Resubstitution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Thomas Beetham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Heberlig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Theresa Boni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403322" TargetMode="External"/><Relationship Id="rId12" Type="http://schemas.openxmlformats.org/officeDocument/2006/relationships/hyperlink" Target="http://www.sec.gov/cgi-bin/browse-edgar?action=getcompany&amp;CIK=00017304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2019-12-23T20:30:28Z</dcterms:created>
  <dcterms:modified xsi:type="dcterms:W3CDTF">2019-12-23T20:30:28Z</dcterms:modified>
</cp:coreProperties>
</file>