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80914.xml.htm"/>
      <w:bookmarkStart w:id="1" w:name="ksform409032026_0809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Patel Sanj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KINIKSA PHARMACEUTICALS INT'L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PICCADILLY, SECOND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W1J 7NJ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Kiniksa Pharmaceuticals International,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KNSA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8"/>
        <w:gridCol w:w="925"/>
        <w:gridCol w:w="794"/>
        <w:gridCol w:w="614"/>
        <w:gridCol w:w="345"/>
        <w:gridCol w:w="922"/>
        <w:gridCol w:w="432"/>
        <w:gridCol w:w="756"/>
        <w:gridCol w:w="1136"/>
        <w:gridCol w:w="982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9,991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86,165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Patel Family Irrevocable Trust of 2025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6,481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92,646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Patel Family Irrevocable Trust of 2025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6,237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98,883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Patel Family Irrevocable Trust of 2025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8,609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107,492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Patel Family Irrevocable Trust of 2025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15,144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79.28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92,348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Patel Family Irrevocable Trust of 2025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109,795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Marina 2016 Irrevocable Trust, u/d/t June 23, 2016</w:t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51,794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The Anglia 2013 Revocable Trust, u/d/t August 15, 2013</w:t>
            </w:r>
          </w:p>
        </w:tc>
      </w:tr>
    </w:tbl>
    <w:tbl>
      <w:tblPr>
        <w:tblW w:w="127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60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120,150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8,609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25,826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9,991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(RSU) represents a contingent right to receive one Class A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over a four-year period, with 25% of the RSUs vesting on each yearly anniversary of the date of grant,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and becomes exercisable as to 25% of the total grant on the first anniversary of the vesting commencement date and vests in 36 equal monthly installments thereafter. The vesting commencement date is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over a four-year period, with 25% of the RSUs vesting on each yearly anniversary of the date of grant, September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vest over a four-year period, with 25% of the RSUs vesting on each yearly anniversary of the date of grant, September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vest over a four-year period, with 25% of the RSUs vesting on each yearly anniversary of the date of grant, September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vest over a four-year period, with 25% of the RSUs vesting on each yearly anniversary of the date of grant, September 1,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2218" TargetMode="External"/><Relationship Id="rId5" Type="http://schemas.openxmlformats.org/officeDocument/2006/relationships/hyperlink" Target="http://www.sec.gov/cgi-bin/browse-edgar?action=getcompany&amp;CIK=00017304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986</Words>
  <Characters>5024</Characters>
  <CharactersWithSpaces>5819</CharactersWithSpaces>
  <Paragraphs>221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