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53.xml.htm"/>
      <w:bookmarkStart w:id="1" w:name="ksform409032026_0809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Ragosa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18,848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20,598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22,189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25,258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20,854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7,800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over a four-year period, with 25% of the RSUs vesting on each yearly anniversary of the grant date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and becomes exercisable as to 25% of the total grant on the first anniversary of the vesting commencement date and vests in 36 equal monthly installments thereafter. The vesting commencement date is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over a four-year period, with 25% of the RSUs vesting on each yearly anniversary of the date of grant, September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over a four-year period, with 25% of the RSUs vesting on each yearly anniversary of the grant date September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over a four-year period, with 25% of the RSUs vesting on each yearly anniversary of the date of grant, September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over a four-year period, with 25% of the RSUs vesting on each yearly anniversary of the date of grant, September 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458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904</Words>
  <Characters>4649</Characters>
  <CharactersWithSpaces>5375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