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257175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325755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36195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7"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127000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1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10" w:hanging="310"/>
        <w:spacing w:after="0"/>
        <w:tabs>
          <w:tab w:leader="none" w:pos="31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9"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6"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1" w:lineRule="exact"/>
        <w:rPr>
          <w:sz w:val="24"/>
          <w:szCs w:val="24"/>
          <w:color w:val="auto"/>
        </w:rPr>
      </w:pPr>
    </w:p>
    <w:p>
      <w:pPr>
        <w:ind w:left="310" w:hanging="310"/>
        <w:spacing w:after="0"/>
        <w:tabs>
          <w:tab w:leader="none" w:pos="31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3770"/>
        <w:spacing w:after="0"/>
        <w:tabs>
          <w:tab w:leader="none" w:pos="599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Commission file number: 001-38492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5"/>
          <w:szCs w:val="25"/>
          <w:b w:val="1"/>
          <w:bCs w:val="1"/>
          <w:color w:val="auto"/>
        </w:rPr>
        <w:t>Kiniksa Pharmaceuticals International, plc</w:t>
      </w:r>
    </w:p>
    <w:p>
      <w:pPr>
        <w:spacing w:after="0" w:line="32"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73660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tbl>
      <w:tblPr>
        <w:tblLayout w:type="fixed"/>
        <w:tblInd w:w="1610" w:type="dxa"/>
        <w:tblCellMar>
          <w:top w:w="0" w:type="dxa"/>
          <w:left w:w="0" w:type="dxa"/>
          <w:bottom w:w="0" w:type="dxa"/>
          <w:right w:w="0" w:type="dxa"/>
        </w:tblCellMar>
      </w:tblPr>
      <w:tr>
        <w:trPr>
          <w:trHeight w:val="161"/>
        </w:trPr>
        <w:tc>
          <w:tcPr>
            <w:tcW w:w="3680" w:type="dxa"/>
            <w:vAlign w:val="bottom"/>
          </w:tcPr>
          <w:p>
            <w:pPr>
              <w:jc w:val="center"/>
              <w:ind w:right="182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960" w:type="dxa"/>
            <w:vAlign w:val="bottom"/>
          </w:tcPr>
          <w:p>
            <w:pPr>
              <w:jc w:val="center"/>
              <w:ind w:left="1828"/>
              <w:spacing w:after="0"/>
              <w:rPr>
                <w:sz w:val="20"/>
                <w:szCs w:val="20"/>
                <w:color w:val="auto"/>
              </w:rPr>
            </w:pPr>
            <w:r>
              <w:rPr>
                <w:rFonts w:ascii="Times New Roman" w:cs="Times New Roman" w:eastAsia="Times New Roman" w:hAnsi="Times New Roman"/>
                <w:sz w:val="14"/>
                <w:szCs w:val="14"/>
                <w:b w:val="1"/>
                <w:bCs w:val="1"/>
                <w:color w:val="auto"/>
              </w:rPr>
              <w:t>98-1795578</w:t>
            </w:r>
          </w:p>
        </w:tc>
      </w:tr>
      <w:tr>
        <w:trPr>
          <w:trHeight w:val="148"/>
        </w:trPr>
        <w:tc>
          <w:tcPr>
            <w:tcW w:w="3680" w:type="dxa"/>
            <w:vAlign w:val="bottom"/>
          </w:tcPr>
          <w:p>
            <w:pPr>
              <w:jc w:val="center"/>
              <w:ind w:right="18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960" w:type="dxa"/>
            <w:vAlign w:val="bottom"/>
          </w:tcPr>
          <w:p>
            <w:pPr>
              <w:jc w:val="center"/>
              <w:ind w:left="182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680" w:type="dxa"/>
            <w:vAlign w:val="bottom"/>
          </w:tcPr>
          <w:p>
            <w:pPr>
              <w:jc w:val="center"/>
              <w:ind w:right="18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60" w:type="dxa"/>
            <w:vAlign w:val="bottom"/>
          </w:tcPr>
          <w:p>
            <w:pPr>
              <w:jc w:val="center"/>
              <w:ind w:left="180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41"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color w:val="auto"/>
        </w:rPr>
        <w:t>105 Piccadilly, Second Floor</w:t>
      </w:r>
    </w:p>
    <w:p>
      <w:pPr>
        <w:jc w:val="center"/>
        <w:ind w:right="-69"/>
        <w:spacing w:after="0" w:line="226" w:lineRule="auto"/>
        <w:rPr>
          <w:sz w:val="20"/>
          <w:szCs w:val="20"/>
          <w:color w:val="auto"/>
        </w:rPr>
      </w:pPr>
      <w:r>
        <w:rPr>
          <w:rFonts w:ascii="Times New Roman" w:cs="Times New Roman" w:eastAsia="Times New Roman" w:hAnsi="Times New Roman"/>
          <w:sz w:val="14"/>
          <w:szCs w:val="14"/>
          <w:color w:val="auto"/>
        </w:rPr>
        <w:t>London, W1J 7NJ</w:t>
      </w:r>
    </w:p>
    <w:p>
      <w:pPr>
        <w:jc w:val="center"/>
        <w:ind w:right="-69"/>
        <w:spacing w:after="0" w:line="222" w:lineRule="auto"/>
        <w:rPr>
          <w:sz w:val="20"/>
          <w:szCs w:val="20"/>
          <w:color w:val="auto"/>
        </w:rPr>
      </w:pPr>
      <w:r>
        <w:rPr>
          <w:rFonts w:ascii="Times New Roman" w:cs="Times New Roman" w:eastAsia="Times New Roman" w:hAnsi="Times New Roman"/>
          <w:sz w:val="14"/>
          <w:szCs w:val="14"/>
          <w:color w:val="auto"/>
        </w:rPr>
        <w:t>England, United Kingdom</w:t>
      </w:r>
    </w:p>
    <w:p>
      <w:pPr>
        <w:jc w:val="center"/>
        <w:ind w:right="-69"/>
        <w:spacing w:after="0" w:line="221" w:lineRule="auto"/>
        <w:rPr>
          <w:sz w:val="20"/>
          <w:szCs w:val="20"/>
          <w:color w:val="auto"/>
        </w:rPr>
      </w:pPr>
      <w:r>
        <w:rPr>
          <w:rFonts w:ascii="Times New Roman" w:cs="Times New Roman" w:eastAsia="Times New Roman" w:hAnsi="Times New Roman"/>
          <w:sz w:val="14"/>
          <w:szCs w:val="14"/>
          <w:color w:val="auto"/>
        </w:rPr>
        <w:t>(781) 431-9100</w:t>
      </w:r>
    </w:p>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53"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4"/>
          <w:szCs w:val="14"/>
          <w:color w:val="auto"/>
        </w:rPr>
        <w:t>Kiniksa Pharmaceuticals Corp.</w:t>
      </w:r>
    </w:p>
    <w:p>
      <w:pPr>
        <w:jc w:val="center"/>
        <w:ind w:right="-69"/>
        <w:spacing w:after="0" w:line="226" w:lineRule="auto"/>
        <w:rPr>
          <w:sz w:val="20"/>
          <w:szCs w:val="20"/>
          <w:color w:val="auto"/>
        </w:rPr>
      </w:pPr>
      <w:r>
        <w:rPr>
          <w:rFonts w:ascii="Times New Roman" w:cs="Times New Roman" w:eastAsia="Times New Roman" w:hAnsi="Times New Roman"/>
          <w:sz w:val="14"/>
          <w:szCs w:val="14"/>
          <w:color w:val="auto"/>
        </w:rPr>
        <w:t>100 Hayden Avenue</w:t>
      </w:r>
    </w:p>
    <w:p>
      <w:pPr>
        <w:jc w:val="center"/>
        <w:ind w:right="-69"/>
        <w:spacing w:after="0" w:line="222" w:lineRule="auto"/>
        <w:rPr>
          <w:sz w:val="20"/>
          <w:szCs w:val="20"/>
          <w:color w:val="auto"/>
        </w:rPr>
      </w:pPr>
      <w:r>
        <w:rPr>
          <w:rFonts w:ascii="Times New Roman" w:cs="Times New Roman" w:eastAsia="Times New Roman" w:hAnsi="Times New Roman"/>
          <w:sz w:val="14"/>
          <w:szCs w:val="14"/>
          <w:color w:val="auto"/>
        </w:rPr>
        <w:t>Lexington, MA, 02421</w:t>
      </w:r>
    </w:p>
    <w:p>
      <w:pPr>
        <w:jc w:val="center"/>
        <w:ind w:right="-69"/>
        <w:spacing w:after="0" w:line="221" w:lineRule="auto"/>
        <w:rPr>
          <w:sz w:val="20"/>
          <w:szCs w:val="20"/>
          <w:color w:val="auto"/>
        </w:rPr>
      </w:pPr>
      <w:r>
        <w:rPr>
          <w:rFonts w:ascii="Times New Roman" w:cs="Times New Roman" w:eastAsia="Times New Roman" w:hAnsi="Times New Roman"/>
          <w:sz w:val="14"/>
          <w:szCs w:val="14"/>
          <w:color w:val="auto"/>
        </w:rPr>
        <w:t>(781) 431-9100</w:t>
      </w:r>
    </w:p>
    <w:p>
      <w:pPr>
        <w:jc w:val="center"/>
        <w:ind w:right="-69"/>
        <w:spacing w:after="0" w:line="221" w:lineRule="auto"/>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agent for service)</w:t>
      </w:r>
    </w:p>
    <w:p>
      <w:pPr>
        <w:jc w:val="center"/>
        <w:ind w:right="-69"/>
        <w:spacing w:after="0" w:line="222" w:lineRule="auto"/>
        <w:rPr>
          <w:sz w:val="20"/>
          <w:szCs w:val="20"/>
          <w:color w:val="auto"/>
        </w:rPr>
      </w:pPr>
      <w:r>
        <w:rPr>
          <w:rFonts w:ascii="Times New Roman" w:cs="Times New Roman" w:eastAsia="Times New Roman" w:hAnsi="Times New Roman"/>
          <w:sz w:val="14"/>
          <w:szCs w:val="14"/>
          <w:color w:val="auto"/>
        </w:rPr>
        <w:t>N/A</w:t>
      </w:r>
    </w:p>
    <w:p>
      <w:pPr>
        <w:jc w:val="center"/>
        <w:ind w:right="-69"/>
        <w:spacing w:after="0" w:line="221" w:lineRule="auto"/>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jc w:val="center"/>
        <w:ind w:right="-69"/>
        <w:spacing w:after="0"/>
        <w:rPr>
          <w:sz w:val="20"/>
          <w:szCs w:val="20"/>
          <w:color w:val="auto"/>
        </w:rPr>
      </w:pPr>
      <w:r>
        <w:rPr>
          <w:rFonts w:ascii="Times New Roman" w:cs="Times New Roman" w:eastAsia="Times New Roman" w:hAnsi="Times New Roman"/>
          <w:sz w:val="14"/>
          <w:szCs w:val="14"/>
          <w:color w:val="auto"/>
        </w:rPr>
        <w:t>N/A</w:t>
      </w:r>
    </w:p>
    <w:p>
      <w:pPr>
        <w:spacing w:after="0" w:line="12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2" w:lineRule="exact"/>
        <w:rPr>
          <w:sz w:val="24"/>
          <w:szCs w:val="24"/>
          <w:color w:val="auto"/>
        </w:rPr>
      </w:pPr>
    </w:p>
    <w:tbl>
      <w:tblPr>
        <w:tblLayout w:type="fixed"/>
        <w:tblInd w:w="1040" w:type="dxa"/>
        <w:tblCellMar>
          <w:top w:w="0" w:type="dxa"/>
          <w:left w:w="0" w:type="dxa"/>
          <w:bottom w:w="0" w:type="dxa"/>
          <w:right w:w="0" w:type="dxa"/>
        </w:tblCellMar>
      </w:tblPr>
      <w:tr>
        <w:trPr>
          <w:trHeight w:val="148"/>
        </w:trPr>
        <w:tc>
          <w:tcPr>
            <w:tcW w:w="2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01"/>
        </w:trPr>
        <w:tc>
          <w:tcPr>
            <w:tcW w:w="2720" w:type="dxa"/>
            <w:vAlign w:val="bottom"/>
            <w:tcBorders>
              <w:left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Class A Ordinary Shares</w:t>
            </w:r>
          </w:p>
        </w:tc>
        <w:tc>
          <w:tcPr>
            <w:tcW w:w="2720" w:type="dxa"/>
            <w:vAlign w:val="bottom"/>
            <w:tcBorders>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KNSA</w:t>
            </w:r>
          </w:p>
        </w:tc>
        <w:tc>
          <w:tcPr>
            <w:tcW w:w="2760" w:type="dxa"/>
            <w:vAlign w:val="bottom"/>
            <w:tcBorders>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The Nasdaq Stock Market LLC</w:t>
            </w:r>
          </w:p>
        </w:tc>
      </w:tr>
      <w:tr>
        <w:trPr>
          <w:trHeight w:val="135"/>
        </w:trPr>
        <w:tc>
          <w:tcPr>
            <w:tcW w:w="2720" w:type="dxa"/>
            <w:vAlign w:val="bottom"/>
            <w:tcBorders>
              <w:left w:val="single" w:sz="8" w:color="auto"/>
              <w:bottom w:val="single" w:sz="8" w:color="auto"/>
              <w:right w:val="single" w:sz="8" w:color="auto"/>
            </w:tcBorders>
          </w:tcPr>
          <w:p>
            <w:pPr>
              <w:spacing w:after="0"/>
              <w:rPr>
                <w:sz w:val="11"/>
                <w:szCs w:val="11"/>
                <w:color w:val="auto"/>
              </w:rPr>
            </w:pPr>
          </w:p>
        </w:tc>
        <w:tc>
          <w:tcPr>
            <w:tcW w:w="2720" w:type="dxa"/>
            <w:vAlign w:val="bottom"/>
            <w:tcBorders>
              <w:bottom w:val="single" w:sz="8" w:color="auto"/>
              <w:right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(Nasdaq Global Select Market)</w:t>
            </w:r>
          </w:p>
        </w:tc>
      </w:tr>
    </w:tbl>
    <w:p>
      <w:pPr>
        <w:spacing w:after="0" w:line="99" w:lineRule="exact"/>
        <w:rPr>
          <w:sz w:val="24"/>
          <w:szCs w:val="24"/>
          <w:color w:val="auto"/>
        </w:rPr>
      </w:pPr>
    </w:p>
    <w:p>
      <w:pPr>
        <w:ind w:left="1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33" w:lineRule="exact"/>
        <w:rPr>
          <w:sz w:val="24"/>
          <w:szCs w:val="24"/>
          <w:color w:val="auto"/>
        </w:rPr>
      </w:pPr>
    </w:p>
    <w:p>
      <w:pPr>
        <w:ind w:left="10" w:right="5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33" w:lineRule="exact"/>
        <w:rPr>
          <w:sz w:val="24"/>
          <w:szCs w:val="24"/>
          <w:color w:val="auto"/>
        </w:rPr>
      </w:pPr>
    </w:p>
    <w:p>
      <w:pPr>
        <w:ind w:left="10" w:right="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left="10"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5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As of October 23, 2026, there were 78,571,705 ordinary shares outstanding in aggregate, comprised of:</w:t>
      </w:r>
    </w:p>
    <w:p>
      <w:pPr>
        <w:spacing w:after="0" w:line="1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48,836,965 Class A ordinary shares, nominal value $0.000273235 per share</w:t>
      </w:r>
    </w:p>
    <w:p>
      <w:pPr>
        <w:spacing w:after="0" w:line="2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895,158 Class B ordinary shares, nominal value $0.000273235 per share</w:t>
      </w:r>
    </w:p>
    <w:p>
      <w:pPr>
        <w:spacing w:after="0" w:line="2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12,781,964 Class A1 ordinary shares, nominal value $0.000273235 per share</w:t>
      </w:r>
    </w:p>
    <w:p>
      <w:pPr>
        <w:spacing w:after="0" w:line="2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16,057,618 Class B1 ordinary shares, nominal value $0.000273235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57785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50"/>
          </w:cols>
          <w:pgMar w:left="830" w:top="661" w:right="9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vMerge w:val="restart"/>
          </w:tcPr>
          <w:p>
            <w:pPr>
              <w:spacing w:after="0"/>
              <w:rPr>
                <w:sz w:val="15"/>
                <w:szCs w:val="15"/>
                <w:color w:val="auto"/>
              </w:rPr>
            </w:pPr>
          </w:p>
        </w:tc>
        <w:tc>
          <w:tcPr>
            <w:tcW w:w="5840" w:type="dxa"/>
            <w:vAlign w:val="bottom"/>
            <w:gridSpan w:val="14"/>
            <w:vMerge w:val="restart"/>
          </w:tcPr>
          <w:p>
            <w:pPr>
              <w:jc w:val="center"/>
              <w:ind w:right="26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840" w:type="dxa"/>
            <w:vAlign w:val="bottom"/>
            <w:gridSpan w:val="14"/>
            <w:vMerge w:val="continue"/>
          </w:tcPr>
          <w:p>
            <w:pPr>
              <w:spacing w:after="0"/>
              <w:rPr>
                <w:sz w:val="13"/>
                <w:szCs w:val="13"/>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2026 and December 31, 2025</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for the three and nine months</w:t>
            </w:r>
          </w:p>
        </w:tc>
        <w:tc>
          <w:tcPr>
            <w:tcW w:w="3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ended September 30, 2026 and 2025</w:t>
            </w:r>
          </w:p>
        </w:tc>
        <w:tc>
          <w:tcPr>
            <w:tcW w:w="5440" w:type="dxa"/>
            <w:vAlign w:val="bottom"/>
            <w:gridSpan w:val="11"/>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nine months ended September 30,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2026 and 2025</w:t>
            </w:r>
          </w:p>
        </w:tc>
        <w:tc>
          <w:tcPr>
            <w:tcW w:w="6860" w:type="dxa"/>
            <w:vAlign w:val="bottom"/>
            <w:tcBorders>
              <w:top w:val="single" w:sz="8" w:color="0000EE"/>
            </w:tcBorders>
            <w:gridSpan w:val="18"/>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2026 and 2025</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2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70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42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3520" w:type="dxa"/>
            <w:vAlign w:val="bottom"/>
            <w:gridSpan w:val="9"/>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740" w:type="dxa"/>
            <w:vAlign w:val="bottom"/>
            <w:gridSpan w:val="8"/>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 Legal Proceedings</w:t>
            </w:r>
          </w:p>
        </w:tc>
        <w:tc>
          <w:tcPr>
            <w:tcW w:w="6540" w:type="dxa"/>
            <w:vAlign w:val="bottom"/>
            <w:gridSpan w:val="16"/>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6840" w:type="dxa"/>
            <w:vAlign w:val="bottom"/>
            <w:gridSpan w:val="1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 Use of Proceeds and Issuer Purchases of Equity Securities</w:t>
            </w:r>
          </w:p>
        </w:tc>
        <w:tc>
          <w:tcPr>
            <w:tcW w:w="76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0" w:type="dxa"/>
            <w:vAlign w:val="bottom"/>
            <w:tcBorders>
              <w:top w:val="single" w:sz="8" w:color="0000EE"/>
            </w:tcBorders>
            <w:gridSpan w:val="3"/>
          </w:tcPr>
          <w:p>
            <w:pPr>
              <w:spacing w:after="0"/>
              <w:rPr>
                <w:sz w:val="17"/>
                <w:szCs w:val="17"/>
                <w:color w:val="auto"/>
              </w:rPr>
            </w:pPr>
          </w:p>
        </w:tc>
        <w:tc>
          <w:tcPr>
            <w:tcW w:w="550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 Other Information</w:t>
            </w:r>
          </w:p>
        </w:tc>
        <w:tc>
          <w:tcPr>
            <w:tcW w:w="6560" w:type="dxa"/>
            <w:vAlign w:val="bottom"/>
            <w:gridSpan w:val="1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40" w:type="dxa"/>
            <w:vAlign w:val="bottom"/>
            <w:tcBorders>
              <w:top w:val="single" w:sz="8" w:color="0000EE"/>
            </w:tcBorders>
          </w:tcPr>
          <w:p>
            <w:pPr>
              <w:spacing w:after="0"/>
              <w:rPr>
                <w:sz w:val="24"/>
                <w:szCs w:val="24"/>
                <w:color w:val="auto"/>
              </w:rPr>
            </w:pPr>
          </w:p>
        </w:tc>
        <w:tc>
          <w:tcPr>
            <w:tcW w:w="7280" w:type="dxa"/>
            <w:vAlign w:val="bottom"/>
            <w:gridSpan w:val="2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All statements other than statements of historical facts contained in this Quarterly Report should be considered forward-looking statements, including statements regarding: our beliefs that KPL-387 may expand the recurrent pericarditis market and provide additional treatment options for patients; our beliefs about dosing and administration for our product candidates, including that KPL-387 has the potential for monthly subcutaneous self-administration in a liquid formulation and that KPL-1161 has the potential for quarterly subcutaneous dosing; our expectation to have data from our Phase 3 trial of KPL-387 in recurrent pericarditis in the second half of 2027; our expectation to begin commercializing KPL-387 in 2028 or 2029; our plan to initiate a Phase 1 first-in-human clinical trial of KPL-1161 by the end of 2026; our expectation that our cash balance and our expected cash inflows from operations will allow us to meet our current operating plan and that our existing cash, cash equivalents and short-term investments will enable us to fund our operating expenses and capital expenditure requirements for at least the next 12 months; statements regarding our expected near-term and long-term expenditures and revenue; and other similar statements.</w:t>
      </w:r>
    </w:p>
    <w:p>
      <w:pPr>
        <w:spacing w:after="0" w:line="16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5"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“goal,” “design,” “target,” “project,” “contemplate,” “believe,” “estimate,” “predict,” “potential” or “continue” or the negative of these terms or other similar expressions, although not all forward-looking statements contain these identifying words.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described in Part I, Item 1A of our Annual Report on Form 10-K for the year ended December 31, 2025 (the “Annual Report”), as updated by any information appearing in Part II, Item 1A of any of our subsequent Quarterly Reports on Form 10-Q.</w:t>
      </w:r>
    </w:p>
    <w:p>
      <w:pPr>
        <w:spacing w:after="0" w:line="15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place undue reliance on our forward-looking statements. Except as required by applicable law, we do not assume and specifically disclaim any obligation to update any forward-looking statements, whether as a result of any new information, future events, changed circumstances or otherwise.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certain industry data and market data included in this Quarterly Report were obtained from independent third party surveys, market research, publicly available information, reports of governmental agencies and industry publications and surveys. All of the market data used in this Quarterly Report involves a number of assumptions and limitations, and you are cautioned not to give undue weight to such estimates. We believe that the information from these industry publications and surveys included in this Quarterly Report is reliable.</w:t>
      </w:r>
    </w:p>
    <w:p>
      <w:pPr>
        <w:spacing w:after="0" w:line="14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ARCALYST is a registered trademark of Regeneron. Solely for convenience, trademarks, service marks, and trade names referred to in this Quarterly Report may be listed without identifying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00" w:type="dxa"/>
            <w:vAlign w:val="bottom"/>
            <w:vMerge w:val="restart"/>
          </w:tcPr>
          <w:p>
            <w:pPr>
              <w:ind w:left="63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42,534</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198,042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983,243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collaboration expenses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139,184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Non-current deferred revenue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273,050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Class A ordinary shares, nominal value of $0.000273235 per share; 48,748,820 shares and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45,659,424 shares issued and outstanding as of September 30, 2026 and December 31, 2025,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 ordinary shares, nominal value of $0.000273235 per share; 895,158 shares and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1,795,158 shares issued and outstanding as of September 30, 2026 and December 31, 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Class A1 ordinary shares, nominal value of $0.000273235 per share; 12,781,964 shares issued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outstanding as of September 30, 2026 and December 31, 2025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B1 ordinary shares, $0.000273235 nominal value; 16,057,618 shares issued and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1,079,688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(366,769)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710,193</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983,243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633,139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ordinary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attributable to ordinary</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shareholders—diluted</w:t>
            </w:r>
          </w:p>
        </w:tc>
        <w:tc>
          <w:tcPr>
            <w:tcW w:w="3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78,192,603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74,714,846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77,435,077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73,605,690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ordinary shares outstanding—diluted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84,920,060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80,035,400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83,713,015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78,027,370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(loss) on short-term investments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 net of tax</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320" w:type="dxa"/>
            <w:vAlign w:val="bottom"/>
          </w:tcPr>
          <w:p>
            <w:pPr>
              <w:spacing w:after="0"/>
              <w:rPr>
                <w:sz w:val="11"/>
                <w:szCs w:val="11"/>
                <w:color w:val="auto"/>
              </w:rPr>
            </w:pPr>
          </w:p>
        </w:tc>
        <w:tc>
          <w:tcPr>
            <w:tcW w:w="1440" w:type="dxa"/>
            <w:vAlign w:val="bottom"/>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37"/>
        </w:trPr>
        <w:tc>
          <w:tcPr>
            <w:tcW w:w="4320" w:type="dxa"/>
            <w:vAlign w:val="bottom"/>
          </w:tcPr>
          <w:p>
            <w:pPr>
              <w:spacing w:after="0"/>
              <w:rPr>
                <w:sz w:val="11"/>
                <w:szCs w:val="11"/>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(Class A, B, A1 and B1)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8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Shareholders'</w:t>
            </w:r>
          </w:p>
        </w:tc>
      </w:tr>
      <w:tr>
        <w:trPr>
          <w:trHeight w:val="115"/>
        </w:trPr>
        <w:tc>
          <w:tcPr>
            <w:tcW w:w="4320" w:type="dxa"/>
            <w:vAlign w:val="bottom"/>
          </w:tcPr>
          <w:p>
            <w:pPr>
              <w:ind w:left="4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gridSpan w:val="2"/>
          </w:tcPr>
          <w:p>
            <w:pPr>
              <w:jc w:val="right"/>
              <w:ind w:right="113"/>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180" w:type="dxa"/>
            <w:vAlign w:val="bottom"/>
            <w:gridSpan w:val="3"/>
          </w:tcPr>
          <w:p>
            <w:pPr>
              <w:jc w:val="right"/>
              <w:ind w:right="73"/>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r>
      <w:tr>
        <w:trPr>
          <w:trHeight w:val="115"/>
        </w:trPr>
        <w:tc>
          <w:tcPr>
            <w:tcW w:w="43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December 31, 2025</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76,294,164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1,029,748</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(462,138)</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567,606</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395,296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6,073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6,073</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10,056</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10,056</w:t>
            </w:r>
          </w:p>
        </w:tc>
      </w:tr>
      <w:tr>
        <w:trPr>
          <w:trHeight w:val="121"/>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short-term investments and currency translation adjustments,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(640)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(640)</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22,592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22,592</w:t>
            </w:r>
          </w:p>
        </w:tc>
      </w:tr>
      <w:tr>
        <w:trPr>
          <w:trHeight w:val="115"/>
        </w:trPr>
        <w:tc>
          <w:tcPr>
            <w:tcW w:w="43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March 31, 2026</w:t>
            </w: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76,689,460</w:t>
            </w:r>
          </w:p>
        </w:tc>
        <w:tc>
          <w:tcPr>
            <w:tcW w:w="1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1,045,877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(439,546)</w:t>
            </w:r>
          </w:p>
        </w:tc>
        <w:tc>
          <w:tcPr>
            <w:tcW w:w="120" w:type="dxa"/>
            <w:vAlign w:val="bottom"/>
            <w:gridSpan w:val="2"/>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605,687</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1,290,214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12,109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12,109</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11,636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11,636</w:t>
            </w:r>
          </w:p>
        </w:tc>
      </w:tr>
      <w:tr>
        <w:trPr>
          <w:trHeight w:val="121"/>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short-term investments and currency translation adjustments, net of tax</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(715)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(715)</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25,432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25,432</w:t>
            </w:r>
          </w:p>
        </w:tc>
      </w:tr>
      <w:tr>
        <w:trPr>
          <w:trHeight w:val="115"/>
        </w:trPr>
        <w:tc>
          <w:tcPr>
            <w:tcW w:w="43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June 30, 2026</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77,979,674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1,069,622</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(1,380)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(414,114)</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654,149</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503,886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(2,999)</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13,065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13,065</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short-term investments and currency translation adjustments,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(1,367)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(1,367)</w:t>
            </w:r>
          </w:p>
        </w:tc>
      </w:tr>
      <w:tr>
        <w:trPr>
          <w:trHeight w:val="121"/>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47,345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47,345</w:t>
            </w:r>
          </w:p>
        </w:tc>
      </w:tr>
      <w:tr>
        <w:trPr>
          <w:trHeight w:val="115"/>
        </w:trPr>
        <w:tc>
          <w:tcPr>
            <w:tcW w:w="43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September 30, 2026</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78,483,560</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1,079,688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(2,747)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(366,769)</w:t>
            </w:r>
          </w:p>
        </w:tc>
        <w:tc>
          <w:tcPr>
            <w:tcW w:w="120" w:type="dxa"/>
            <w:vAlign w:val="bottom"/>
            <w:gridSpan w:val="2"/>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710,193</w:t>
            </w:r>
          </w:p>
        </w:tc>
      </w:tr>
      <w:tr>
        <w:trPr>
          <w:trHeight w:val="20"/>
        </w:trPr>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4320" w:type="dxa"/>
            <w:vAlign w:val="bottom"/>
          </w:tcPr>
          <w:p>
            <w:pPr>
              <w:spacing w:after="0"/>
              <w:rPr>
                <w:sz w:val="18"/>
                <w:szCs w:val="18"/>
                <w:color w:val="auto"/>
              </w:rPr>
            </w:pPr>
          </w:p>
        </w:tc>
        <w:tc>
          <w:tcPr>
            <w:tcW w:w="1440" w:type="dxa"/>
            <w:vAlign w:val="bottom"/>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37"/>
        </w:trPr>
        <w:tc>
          <w:tcPr>
            <w:tcW w:w="4320" w:type="dxa"/>
            <w:vAlign w:val="bottom"/>
          </w:tcPr>
          <w:p>
            <w:pPr>
              <w:spacing w:after="0"/>
              <w:rPr>
                <w:sz w:val="11"/>
                <w:szCs w:val="11"/>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(Class A, B, A1 and B1)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8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Shareholders'</w:t>
            </w:r>
          </w:p>
        </w:tc>
      </w:tr>
      <w:tr>
        <w:trPr>
          <w:trHeight w:val="115"/>
        </w:trPr>
        <w:tc>
          <w:tcPr>
            <w:tcW w:w="4320" w:type="dxa"/>
            <w:vAlign w:val="bottom"/>
          </w:tcPr>
          <w:p>
            <w:pPr>
              <w:ind w:left="4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gridSpan w:val="2"/>
          </w:tcPr>
          <w:p>
            <w:pPr>
              <w:jc w:val="right"/>
              <w:ind w:right="113"/>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180" w:type="dxa"/>
            <w:vAlign w:val="bottom"/>
            <w:gridSpan w:val="3"/>
          </w:tcPr>
          <w:p>
            <w:pPr>
              <w:jc w:val="right"/>
              <w:ind w:right="73"/>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r>
      <w:tr>
        <w:trPr>
          <w:trHeight w:val="115"/>
        </w:trPr>
        <w:tc>
          <w:tcPr>
            <w:tcW w:w="43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72,516,059</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959,722</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(521,143)</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438,436</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281,273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2,768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2,768</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7,748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7,748</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short-term investments and currency translation adjustments,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21"/>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8,539</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8,539</w:t>
            </w:r>
          </w:p>
        </w:tc>
      </w:tr>
      <w:tr>
        <w:trPr>
          <w:trHeight w:val="115"/>
        </w:trPr>
        <w:tc>
          <w:tcPr>
            <w:tcW w:w="43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March 31, 2025</w:t>
            </w: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72,797,332</w:t>
            </w:r>
          </w:p>
        </w:tc>
        <w:tc>
          <w:tcPr>
            <w:tcW w:w="1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970,238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(512,604)</w:t>
            </w:r>
          </w:p>
        </w:tc>
        <w:tc>
          <w:tcPr>
            <w:tcW w:w="120" w:type="dxa"/>
            <w:vAlign w:val="bottom"/>
            <w:gridSpan w:val="2"/>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457,489</w:t>
            </w:r>
          </w:p>
        </w:tc>
      </w:tr>
      <w:tr>
        <w:trPr>
          <w:trHeight w:val="121"/>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1,235,031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10,697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10,698</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8,876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8,876</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Unrealized gain on short-term investments and currency translation adjustments, net of tax</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w:t>
            </w:r>
          </w:p>
        </w:tc>
      </w:tr>
      <w:tr>
        <w:trPr>
          <w:trHeight w:val="121"/>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17,832</w:t>
            </w:r>
          </w:p>
        </w:tc>
      </w:tr>
      <w:tr>
        <w:trPr>
          <w:trHeight w:val="115"/>
        </w:trPr>
        <w:tc>
          <w:tcPr>
            <w:tcW w:w="43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June 30, 2025</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74,032,363</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989,811</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(494,772)</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495,007</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Class A ordinary shares under incentive award plans,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1,392,290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11,899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11,899</w:t>
            </w:r>
          </w:p>
        </w:tc>
      </w:tr>
      <w:tr>
        <w:trPr>
          <w:trHeight w:val="121"/>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10,144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10,144</w:t>
            </w:r>
          </w:p>
        </w:tc>
      </w:tr>
      <w:tr>
        <w:trPr>
          <w:trHeight w:val="122"/>
        </w:trPr>
        <w:tc>
          <w:tcPr>
            <w:tcW w:w="43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Unrealized loss on short-term investments and currency translation adjustments, net of tax</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w:t>
            </w:r>
          </w:p>
        </w:tc>
      </w:tr>
      <w:tr>
        <w:trPr>
          <w:trHeight w:val="122"/>
        </w:trPr>
        <w:tc>
          <w:tcPr>
            <w:tcW w:w="4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18,435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18,435</w:t>
            </w:r>
          </w:p>
        </w:tc>
      </w:tr>
      <w:tr>
        <w:trPr>
          <w:trHeight w:val="115"/>
        </w:trPr>
        <w:tc>
          <w:tcPr>
            <w:tcW w:w="43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Balances at September 30, 2025</w:t>
            </w: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75,424,653</w:t>
            </w:r>
          </w:p>
        </w:tc>
        <w:tc>
          <w:tcPr>
            <w:tcW w:w="120" w:type="dxa"/>
            <w:vAlign w:val="bottom"/>
          </w:tcPr>
          <w:p>
            <w:pPr>
              <w:spacing w:after="0"/>
              <w:rPr>
                <w:sz w:val="10"/>
                <w:szCs w:val="10"/>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1,011,854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(476,337)</w:t>
            </w:r>
          </w:p>
        </w:tc>
        <w:tc>
          <w:tcPr>
            <w:tcW w:w="120" w:type="dxa"/>
            <w:vAlign w:val="bottom"/>
            <w:gridSpan w:val="2"/>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535,383</w:t>
            </w:r>
          </w:p>
        </w:tc>
      </w:tr>
      <w:tr>
        <w:trPr>
          <w:trHeight w:val="20"/>
        </w:trPr>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vMerge w:val="restart"/>
          </w:tcPr>
          <w:p>
            <w:pPr>
              <w:ind w:left="6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95,369</w:t>
            </w:r>
          </w:p>
        </w:tc>
        <w:tc>
          <w:tcPr>
            <w:tcW w:w="56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amortization of premiums and accretion of discounts on short-term investments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gain on disposal of property and equipment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(53,133)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 accrued collaboration expenses and other current 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49,690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26,857</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144,941</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84,091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(457,156)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maturities of short-term investments</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214,100</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(244,060)</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under incentive award plans and employee share purchase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30,042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32,177</w:t>
            </w:r>
          </w:p>
        </w:tc>
        <w:tc>
          <w:tcPr>
            <w:tcW w:w="0" w:type="dxa"/>
            <w:vAlign w:val="bottom"/>
          </w:tcPr>
          <w:p>
            <w:pPr>
              <w:spacing w:after="0"/>
              <w:rPr>
                <w:sz w:val="1"/>
                <w:szCs w:val="1"/>
                <w:color w:val="auto"/>
              </w:rPr>
            </w:pPr>
          </w:p>
        </w:tc>
      </w:tr>
      <w:tr>
        <w:trPr>
          <w:trHeight w:val="171"/>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in connection with ordinary shares tendered for employee tax obligations</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(14,859)</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(83,936)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165,596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81,660</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2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56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right-of-use asset as a result of new, modified, and terminated leases</w:t>
            </w:r>
          </w:p>
        </w:tc>
        <w:tc>
          <w:tcPr>
            <w:tcW w:w="22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56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property and equipment included in accrued expenses and other liabilities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hanging="630"/>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Kiniksa Pharmaceuticals International, plc (the “Company”) is a biopharmaceutical company developing and commercializing novel therapies for diseases with unmet need, with a focus on cardiovascular indications. The Company’s portfolio of immune-modulating assets is based on strong biologic rationale or validated mechanisms, targets a spectrum of underserved cardiovascular and autoimmune conditions and offers the potential for differentiation.</w:t>
      </w:r>
    </w:p>
    <w:p>
      <w:pPr>
        <w:spacing w:after="0" w:line="180"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biopharmaceuticals industry including, but not limited to, commercialization of existing and new products, conducting clinical research and development, its current and future products and product candidates, risks from existing or new competition, protection of proprietary intellectual and other technology and compliance with United States and foreign regulations and approval requirements.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accounting principles generally accepted in the United States of America (“GAAP”) for interim financial information. The accompanying unaudited condensed consolidated financial statements do not include all of the information and footnotes required by GAAP for complete consolidated financial statements. The information included in this Quarterly Report on Form 10-Q should be read in conjunction with the Company’s audited consolidated financial statements and the accompanying notes included in the Company’s Annual Report on Form 10-K for the year ended December 31, 2025 (the “2025 Form 10-K”). The Company’s accounting policies are described in the Notes to Consolidated Financial Statements included in the Company’s 2025 Form 10-K and updated, as necessary, in this report. The accompanying year-end condensed consolidated balance sheet was derived from audited financial statements but does not include all disclosures required by GAAP.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2026 and the results of its operations for the three and nine months ended September 30, 2026 and 2025, the changes in its shareholders’ equity for the three and nine months ended September 30, 2026 and 2025 and its cash flows for the nine months ended September 30, 2026 and 2025. The results for the three and nine months ended September 30, 2026 are not necessarily indicative of results to be expected for the year ending December 31, 2026, any other interim periods or any future year or period.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23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requiring public entities to disclose additional information about specific expense categories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on its consolidated financial statements.</w:t>
      </w:r>
    </w:p>
    <w:p>
      <w:pPr>
        <w:spacing w:after="0" w:line="18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ASU 2025-06 amends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internal-use software costs by removing references to software development project stages and requiring an entity to begin capitalizing software costs when management has authorized and committed to funding the software project and it is probable that the project will be completed and the software will be used to perform its intended function. ASU 2025-06 is effective for fiscal years beginning after December 15, 2027, including interim periods within those fiscal years, with early adoption permitted. The amendments may be applied prospectively, retrospectively, or using a modified transition approach. The Company is currently evaluating the impact of ASU 2025-06 on its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23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w:t>
      </w:r>
      <w:r>
        <w:rPr>
          <w:rFonts w:ascii="Times New Roman" w:cs="Times New Roman" w:eastAsia="Times New Roman" w:hAnsi="Times New Roman"/>
          <w:sz w:val="18"/>
          <w:szCs w:val="18"/>
          <w:i w:val="1"/>
          <w:iCs w:val="1"/>
          <w:color w:val="auto"/>
        </w:rPr>
        <w:t>2025-07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(Topic 815) and 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(Topic 606): 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which refines the scope of derivative accounting and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certain share-based noncash consideration in revenue contracts. The Company adopted this ASU in the first quarter of 2026, prospectively. The adoption of this ASU did not have a material effect on the Company’s consolidated financial statements.</w:t>
      </w:r>
    </w:p>
    <w:p>
      <w:pPr>
        <w:spacing w:after="0" w:line="194" w:lineRule="exact"/>
        <w:rPr>
          <w:sz w:val="20"/>
          <w:szCs w:val="20"/>
          <w:color w:val="auto"/>
        </w:rPr>
      </w:pPr>
    </w:p>
    <w:p>
      <w:pPr>
        <w:ind w:left="680" w:hanging="630"/>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0"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40" w:right="71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measured at fair value on a recurring basis and indicate the level of the fair value hierarchy used to determine such fair values: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5"/>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 Using:</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3"/>
          </w:tcPr>
          <w:p>
            <w:pPr>
              <w:jc w:val="right"/>
              <w:ind w:right="144"/>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w w:val="99"/>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6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equivalents — U.S. Treasury Securities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 investments — U.S. Treasury</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487,098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5"/>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 Using:</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3"/>
          </w:tcPr>
          <w:p>
            <w:pPr>
              <w:jc w:val="right"/>
              <w:ind w:right="124"/>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w w:val="96"/>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6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 investments — U.S. Treasury</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325,769</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77" w:lineRule="auto"/>
        <w:rPr>
          <w:sz w:val="20"/>
          <w:szCs w:val="20"/>
          <w:color w:val="auto"/>
        </w:rPr>
      </w:pPr>
      <w:r>
        <w:rPr>
          <w:rFonts w:ascii="Times New Roman" w:cs="Times New Roman" w:eastAsia="Times New Roman" w:hAnsi="Times New Roman"/>
          <w:sz w:val="17"/>
          <w:szCs w:val="17"/>
          <w:color w:val="auto"/>
        </w:rPr>
        <w:t>During the nine months ended September 30, 2026, and the year ended December 31, 2025, there were no transfers between Level 1, Level 2 and Level 3. The money market funds were valued using quoted prices in active markets, which represent a Level 1 measurement in the fair value hierarchy. The Company’s cash equivalents and short-term investments as of September 30, 2026 and December 31, 2025, included U.S. Treasury Securities, which are not traded on a daily basis and, therefore, represent a Level 2 measurement in the fair value hierarchy at each period 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contractual maturities of short-term investments were as follows: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179,577</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224,549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487,098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0" w:type="dxa"/>
            <w:vAlign w:val="bottom"/>
          </w:tcPr>
          <w:p>
            <w:pPr>
              <w:spacing w:after="0"/>
              <w:rPr>
                <w:sz w:val="1"/>
                <w:szCs w:val="1"/>
                <w:color w:val="auto"/>
              </w:rPr>
            </w:pPr>
          </w:p>
        </w:tc>
      </w:tr>
      <w:tr>
        <w:trPr>
          <w:trHeight w:val="20"/>
        </w:trPr>
        <w:tc>
          <w:tcPr>
            <w:tcW w:w="478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short-term investments: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9"/>
                <w:szCs w:val="19"/>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 U.S. Treasury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Short-term investments — U.S. Treasury</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490,358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487,098</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497,939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494,679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9"/>
                <w:szCs w:val="19"/>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Short-term investments — U.S. 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248,354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68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248,354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248,478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considers the unrealized losses in its investment portfolio to be temporary in nature and not due to credit losses. The Company has the ability to hold such investments until recovery of the fair value. The Company utilizes the specific identification method in computing realized gains and losses. The Company had no realized gains and losses on its available-for-sale securities for the nine months ended September 30, 2026 or 2025.</w:t>
      </w:r>
    </w:p>
    <w:p>
      <w:pPr>
        <w:spacing w:after="0" w:line="179" w:lineRule="exact"/>
        <w:rPr>
          <w:sz w:val="20"/>
          <w:szCs w:val="20"/>
          <w:color w:val="auto"/>
        </w:rPr>
      </w:pPr>
    </w:p>
    <w:p>
      <w:pPr>
        <w:ind w:left="680" w:hanging="630"/>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Revenue, Net</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 derives substantially all of its product revenue, net from sales of ARCALYST in the United States, which was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3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210"/>
        </w:trPr>
        <w:tc>
          <w:tcPr>
            <w:tcW w:w="3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balances and activity in each of the product revenue allowance and reserve categories for the nine months ended September 30, 2026:</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40" w:type="dxa"/>
            <w:vAlign w:val="bottom"/>
          </w:tcPr>
          <w:p>
            <w:pPr>
              <w:spacing w:after="0"/>
              <w:rPr>
                <w:sz w:val="17"/>
                <w:szCs w:val="17"/>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w:t>
            </w: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Current provisions relating to sales in the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57,102</w:t>
            </w: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Payments/returns relating to sales in the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(26,693)</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(15,705)</w:t>
            </w:r>
          </w:p>
        </w:tc>
        <w:tc>
          <w:tcPr>
            <w:tcW w:w="2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(42,398)</w:t>
            </w:r>
          </w:p>
        </w:tc>
      </w:tr>
      <w:tr>
        <w:trPr>
          <w:trHeight w:val="198"/>
        </w:trPr>
        <w:tc>
          <w:tcPr>
            <w:tcW w:w="37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Payments/returns relating to sales in the prior</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(7,517)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w:t>
            </w: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Total revenue-related reserves as of September 30, 2026 and December 31, 2025, included in the Company’s condensed consolidated balance sheets, are summarized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5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Components of other current liabilities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19,566</w:t>
            </w: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trade accounts receivable arise from product revenue in the United States due from the Company’s third party logistics provider.</w:t>
      </w:r>
    </w:p>
    <w:p>
      <w:pPr>
        <w:spacing w:after="0" w:line="158" w:lineRule="exact"/>
        <w:rPr>
          <w:sz w:val="20"/>
          <w:szCs w:val="20"/>
          <w:color w:val="auto"/>
        </w:rPr>
      </w:pPr>
    </w:p>
    <w:p>
      <w:pPr>
        <w:ind w:left="680" w:hanging="630"/>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consisted of the following:</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4260" w:type="dxa"/>
            <w:vAlign w:val="bottom"/>
          </w:tcPr>
          <w:p>
            <w:pPr>
              <w:spacing w:after="0"/>
              <w:rPr>
                <w:sz w:val="17"/>
                <w:szCs w:val="17"/>
                <w:color w:val="auto"/>
              </w:rPr>
            </w:pPr>
          </w:p>
        </w:tc>
        <w:tc>
          <w:tcPr>
            <w:tcW w:w="2340" w:type="dxa"/>
            <w:vAlign w:val="bottom"/>
            <w:gridSpan w:val="2"/>
            <w:vMerge w:val="continue"/>
          </w:tcPr>
          <w:p>
            <w:pPr>
              <w:spacing w:after="0"/>
              <w:rPr>
                <w:sz w:val="17"/>
                <w:szCs w:val="17"/>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2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59,922</w:t>
            </w:r>
          </w:p>
        </w:tc>
        <w:tc>
          <w:tcPr>
            <w:tcW w:w="0" w:type="dxa"/>
            <w:vAlign w:val="bottom"/>
          </w:tcPr>
          <w:p>
            <w:pPr>
              <w:spacing w:after="0"/>
              <w:rPr>
                <w:sz w:val="1"/>
                <w:szCs w:val="1"/>
                <w:color w:val="auto"/>
              </w:rPr>
            </w:pP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Sheet Classification:</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9"/>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2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0"/>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456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vehicles</w:t>
            </w:r>
          </w:p>
        </w:tc>
        <w:tc>
          <w:tcPr>
            <w:tcW w:w="1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0"/>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09"/>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9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39" w:firstLine="648"/>
        <w:spacing w:after="0" w:line="312" w:lineRule="auto"/>
        <w:rPr>
          <w:sz w:val="20"/>
          <w:szCs w:val="20"/>
          <w:color w:val="auto"/>
        </w:rPr>
      </w:pPr>
      <w:r>
        <w:rPr>
          <w:rFonts w:ascii="Times New Roman" w:cs="Times New Roman" w:eastAsia="Times New Roman" w:hAnsi="Times New Roman"/>
          <w:sz w:val="17"/>
          <w:szCs w:val="17"/>
          <w:color w:val="auto"/>
        </w:rPr>
        <w:t>Depreciation expense was $181 and $27 during the three months ended September 30, 2026 and 2025, respectively, and $490 and $75 during the nine months ended September 30, 2026 and 2025, respectively.</w:t>
      </w:r>
    </w:p>
    <w:p>
      <w:pPr>
        <w:spacing w:after="0" w:line="149" w:lineRule="exact"/>
        <w:rPr>
          <w:sz w:val="20"/>
          <w:szCs w:val="20"/>
          <w:color w:val="auto"/>
        </w:rPr>
      </w:pPr>
    </w:p>
    <w:p>
      <w:pPr>
        <w:ind w:left="680" w:hanging="630"/>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Intangible assets, net of accumulated amortization as of September 30, 2026 and December 31, 2025, are summarized in the following table.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Amortization</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8"/>
                <w:szCs w:val="18"/>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Amortization</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Regulatory milestone</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 years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$250 during the three months ended September 30, 2026 and 2025, and $750 during the nine months ended September 30, 2026 and 2025.</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3"/>
        </w:trPr>
        <w:tc>
          <w:tcPr>
            <w:tcW w:w="5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and manufacturing</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commercial and professional fees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0"/>
        </w:trPr>
        <w:tc>
          <w:tcPr>
            <w:tcW w:w="5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22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42,020</w:t>
            </w:r>
          </w:p>
        </w:tc>
      </w:tr>
      <w:tr>
        <w:trPr>
          <w:trHeight w:val="20"/>
        </w:trPr>
        <w:tc>
          <w:tcPr>
            <w:tcW w:w="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80" w:hanging="630"/>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several equity compensation plans, including the 2018 Incentive Award Plan (the “2018 Plan”) and the 2018 Employee Share Purchase Plan (the “2018 ESPP”). Upon the effectiveness of the 2018 Plan, the Company ceased granting awards under its 2015 Equity Incentive Plan (as amended, the “2015 Plan” and together with the 2018 Plan, the “Plans”).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229"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77,247 Class A ordinary shares reserved for issuance pursuant to outstanding awards under the 2015 Plan that were granted prior to the effectiveness of the 2018 Plan.</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2018 Plan</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2018 Plan provides for the grant of incentive share options, nonqualified share options, share appreciation rights, restricted shares, dividend equivalents, restricted share units (“RSUs”), PSUs (as defined below) and other share- or cash- based awards. Pursuant to the 2018 Plan’s evergreen provision, the number of shares available for future issuance under the 2018 Plan, as of January 1, 2026, increased by 3,051,742 Class A ordinary shares. As of September 30, 2026, 7,226,845 shares remained available for future grant under the 2018 Plan.</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2018 ESPP</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December 2025, the Company’s board of directors approved an increase, as of January 1, 2026, of 110,000 Class A ordinary shares under the 2018 ESPP. As of September 30, 2026, 739,089 Class A ordinary shares were available for future issuance under the 2018 ESPP.</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RSUs with service conditions to eligible employees as part of its equity incentive compensation. Such RSUs typically vest 25% on each of the first, second, third and fourth anniversaries of the date of grant, subject to continued employment through such dates.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Market and Performance-Based Share Units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2024, the Company began periodically granting performance-based restricted share units to certain employees under the 2018 Plan that are earned based upon (i) the achievement of certain specified ARCALYST revenue targets (“Revenue PSUs”) and (ii) the Company’s total shareholder return (“TSR”) relative to the TSR of each member of a specified peer group (“TSR PSUs”). The TSR PSUs and Revenue PSUs are subject to a three-year service period.</w:t>
      </w:r>
    </w:p>
    <w:p>
      <w:pPr>
        <w:spacing w:after="0" w:line="180"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from time to time grants performance-based restricted share units to certain eligible employees pursuant to the 2018 Plan that are earned based upon certain development and regulatory milestones (“Development PSUs” and, together with the Revenue PSUs and TSR PSUs, “PSUs”). The Company’s currently outstanding Development PSUs are subject to earnout percentages based upon the date of applicable milestone achievement.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Options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2025, the Company began granting performance share options (“PSOs”) to certain eligible employees pursuant to the 2018 Plan representing the right to purchase shares of the Company’s Class A ordinary shares. Such PSOs vest, if at all, upon the achievement of certain specified development and regulatory milestones and are subject to earnout percentages based upon the date of applicable milestone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RSU and PSU activity for the nine months ended September 30, 2026:</w:t>
      </w: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PSUs</w:t>
            </w:r>
          </w:p>
        </w:tc>
        <w:tc>
          <w:tcPr>
            <w:tcW w:w="620" w:type="dxa"/>
            <w:vAlign w:val="bottom"/>
          </w:tcPr>
          <w:p>
            <w:pPr>
              <w:spacing w:after="0"/>
              <w:rPr>
                <w:sz w:val="16"/>
                <w:szCs w:val="16"/>
                <w:color w:val="auto"/>
              </w:rPr>
            </w:pPr>
          </w:p>
        </w:tc>
      </w:tr>
      <w:tr>
        <w:trPr>
          <w:trHeight w:val="230"/>
        </w:trPr>
        <w:tc>
          <w:tcPr>
            <w:tcW w:w="5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5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544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13"/>
        </w:trPr>
        <w:tc>
          <w:tcPr>
            <w:tcW w:w="54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671,289</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192,130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r>
      <w:tr>
        <w:trPr>
          <w:trHeight w:val="229"/>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(681,567)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(316,972)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09"/>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r>
      <w:tr>
        <w:trPr>
          <w:trHeight w:val="20"/>
        </w:trPr>
        <w:tc>
          <w:tcPr>
            <w:tcW w:w="5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share options and PSO activity for the nine months ended September 30, 2026:</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PSOs</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9,420,208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1,308,888</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(1,682,995)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(308,580)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(43,402)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8,737,521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 options exercisable as of September 30, 2026</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5,739,415</w:t>
            </w: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options vested and expected to vest as of September 30, 2026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 related to RSUs, Revenue PSUs, TSR PSUs, and share options was $145,286, which is expected to be recognized over a weighted average remaining period of 2.5 years. As of September 30, 2026, total unrecognized compensation cost related to outstanding Development PSUs and PSOs was $10,147, which will be recognized when the applicable milestones are deemed probable of achievement through the date the awards vest with a cumulative catch-up.</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classified in the condensed consolidated statements of operations and comprehensive income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74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8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Out-Licensing Agreements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Genentech License Agreement</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2022 (the “Genentech Effective Date”), the Company entered into a license agreement (the “Genentech License Agreement”) with Genentech, Inc. and F. Hoffmann-La Roche Ltd (collectively, “Genentech”), pursuant to which the Company granted Genentech exclusive worldwide rights to develop, manufacture and commercialize vixarelimab and related antibodies (each, a “Genentech Licensed Product”).</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Genentech License Agreement, the Company is eligible to receive a total of approximately $600,000 in contingent payments, including specified development, regulatory and sales-based milestones, before fulfilling the Company’s upstream financial obligations, of which approximately $570,000 remain as of September 30, 2026. The Company will also be eligible to receive tiered percentage royalties on a Genentech Licensed Product-by-Genentech Licensed Product basis ranging from low-double digits to mid-teens on annual net sales of each Genentech Licensed Product, subject to certain customary reductions, with an aggregate minimum floor, before fulfilling the Company’s upstream financial obligations. Royalties will be payable on a Genentech Licensed Product-by-Genentech Licensed Product and country-by-country basis until the latest to occur of the expiration of certain patents that cover a Genentech Licensed Product, the expiration of regulatory exclusivity for such Genentech Licensed Product, or the tenth anniversary of first commercial sale of such Genentech Licensed Product in such country.</w:t>
      </w:r>
    </w:p>
    <w:p>
      <w:pPr>
        <w:spacing w:after="0" w:line="194" w:lineRule="exact"/>
        <w:rPr>
          <w:sz w:val="20"/>
          <w:szCs w:val="20"/>
          <w:color w:val="auto"/>
        </w:rPr>
      </w:pPr>
    </w:p>
    <w:p>
      <w:pPr>
        <w:jc w:val="both"/>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Pursuant and subject to the terms of the Genentech License Agreement, Genentech has the exclusive worldwide right to conduct development and commercialization activities for Genentech Licensed Products at its sole cost. In 2024, the Company fulfilled its responsibility under the Genentech License Agreement with respect to completing its Phase 2b clinical trial assessing the efficacy, safety and tolerability of vixarelimab in reducing pruritus in prurigo nodularis.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Accounting for the Genentech License Agreement</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the Genentech Effective Date, the Company identified the following performance obligations in the Genentech License Agreement: (i) the delivery of the exclusive license for vixarelimab; (ii) an initial drug supply delivery; (iii) a drug product resupply delivery; and (iv) completion of the Phase 2b clinical trial for vixarelimab.</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in the Genentech License Agreement was determined based on the Company’s standalone selling price with the objective of determining the price at which it would sell such an item if it were to be sold regularly on a standalone basis. The Company allocated the transaction price to each of the four performance obligations noted above, all of which were satisfied as of June 30, 2024.</w:t>
      </w:r>
    </w:p>
    <w:p>
      <w:pPr>
        <w:spacing w:after="0" w:line="180"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determined that all other variable considerations related to the future development and regulatory milestones are deemed fully constrained and therefore excluded from the transaction price due to the high degree of uncertainty and risk associated with these potential payments, as the Company also determined that it could not assert that it was not probable that a significant reversal in the amount of cumulative revenue recognized would occur. The Company also determined that royalties and sales milestones relate solely to the license of intellectual property. Revenue related to these royalties and sales milestones will only be recognized when the associated sales occur, and relevant thresholds are met, under the sales or usage-based royalty exception of Topic 606.</w:t>
      </w:r>
    </w:p>
    <w:p>
      <w:pPr>
        <w:spacing w:after="0" w:line="18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collaboration revenue under the Genentech License Agreement during the three and nine months ended September 30, 2026 and 2025. As of September 30, 2026, the Company had recognized the entire transaction price under the Genentech License Agreement as revenue.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Huadong Collaboration Agreement</w:t>
      </w:r>
    </w:p>
    <w:p>
      <w:pPr>
        <w:spacing w:after="0" w:line="229"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In February 2022 (the “Effective Date”), the Company entered into a collaboration and license agreement (the “Huadong Collaboration Agreement”) with Hangzhou Zhongmei Huadong Pharmaceutical Co., Ltd. (“Huadong”), pursuant to which the Company granted Huadong exclusive rights to develop and commercialize ARCALYST in a territory, which currently includes the following countries: People’s Republic of China, Hong Kong SAR, Macao SAR,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Taiwan Region, Indonesia, The Philippines, Thailand, Bangladesh, Bhutan, Brunei, Burma, Cambodia, India, Laos, Malaysia, Maldives, Mongolia, Nepal, New Zealand, Sri Lanka, and Vietnam (collectively, the “Huadong Territory”). The Company otherwise retained its current rights to ARCALYST outside the Huadong Territory.</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Huadong Collaboration Agreement, the Company received a total upfront cash payment of $12,000 for the Huadong Territory license of ARCALYST. In 2024, following the achievement of a regulatory milestone under the Huadong Collaboration Agreement, Huadong became obligated to make an additional cash payment of $20,000 to the Company. The Company will be eligible to receive up to approximately $50,000 in contingent sales-based milestone payments for ARCALYST, all of which remain outstanding as of September 30, 2026. Huadong will also be obligated to pay the Company tiered percentage royalties ranging from the low-to-mid teens on annual net sales of ARCALYST in the Huadong Territory, subject to certain reductions tied to ARCALYST manufacturing costs and certain other customary reductions, with an aggregate minimum floor. Royalties will be payable on ARCALYST on a country-by-country or region-by-region basis until the later of (i) 12 years after the first commercial sale of ARCALYST in such country or region in the Huadong Territory, (ii) the date of expiration of the last valid patent claim of the Company’s patent rights or any joint collaboration patent rights that covers ARCALYST in such country or region in the Huadong Territory, and (iii) the expiration of the last regulatory exclusivity for ARCALYST in such country or region in the Huadong Territory.</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Accounting for the Huadong Collaboration Agreement</w:t>
      </w:r>
    </w:p>
    <w:p>
      <w:pPr>
        <w:spacing w:after="0" w:line="22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the Effective Date, the Company identified one performance obligation in the Huadong Collaboration Agreement: the exclusive license for ARCALYST and clinical and commercial manufacturing obligations for ARCALYST products in the Huadong Territory. Huadong cannot exploit the value of the exclusive license for ARCALYST products in the Huadong Territory without receipt of supply as the exclusive license for ARCALYST products in the Huadong Territory does not convey to Huadong the right to manufacture and therefore the Company has combined the exclusive license for ARCALYST products in the Huadong Territory and the manufacturing obligations into one performance obligation.</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the transaction price at the inception of the Huadong Collaboration Agreement, which includes $12,000, consisting of the upfront payment. In 2024, the Company added $20,000 to the transaction price following the achievement of a regulatory milestone. The Company also includes an estimate of variable consideration associated with the clinical and commercial manufacturing supply of certain materials when those materials are shipped. The Company determined that any variable consideration related to development and regulatory milestones, sales milestones and royalties are deemed fully constrained and therefore excluded from the transaction price due to the high degree of uncertainty and risk associated with these potential payments, as the Company determined that it could not assert that it was probable that a significant reversal in the amount of cumulative revenue recognized will not occur. Royalties and sales milestones will be recognized as the Company delivers the commercial manufactured product to Huadong. Any changes in estimates may result in a cumulative catch-up based on the number of units of manufactured product delivered.</w:t>
      </w:r>
    </w:p>
    <w:p>
      <w:pPr>
        <w:spacing w:after="0" w:line="19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for the single performance obligation in the Huadong Collaboration Agreement consisting of the exclusive license for ARCALYST and clinical and commercial manufacturing obligations for ARCALYST products in the Huadong Territory at a point in time, upon which control of materials are transferred to Huadong for each delivery of the associated materials. The Company currently expects to recognize the revenue over the life of the agreement. This estimate considers the timing of development and commercial activities under the Huadong Collaboration Agreement and may be reduced or increased based on changes in the various activities.</w:t>
      </w:r>
    </w:p>
    <w:p>
      <w:pPr>
        <w:spacing w:after="0" w:line="18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under the Huadong Collaboration Agreement during the three and nine months ended September 30, 2026 and 2025. As of September 30, 2026, $31,811 of the transaction price is recorded in non-current deferred revenue, based upon timing of anticipated future shipments.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contract liabilities in connection with license and collaboration agreements for the nine months ended September 30, 2026:</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w:t>
            </w:r>
          </w:p>
        </w:tc>
      </w:tr>
      <w:tr>
        <w:trPr>
          <w:trHeight w:val="199"/>
        </w:trPr>
        <w:tc>
          <w:tcPr>
            <w:tcW w:w="366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4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Huadong ARCALYST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80" w:hanging="730"/>
        <w:spacing w:after="0"/>
        <w:tabs>
          <w:tab w:leader="none" w:pos="7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Acquisition Agreements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Regeneron License Agreement</w:t>
      </w:r>
    </w:p>
    <w:p>
      <w:pPr>
        <w:spacing w:after="0" w:line="229" w:lineRule="exact"/>
        <w:rPr>
          <w:sz w:val="20"/>
          <w:szCs w:val="20"/>
          <w:color w:val="auto"/>
        </w:rPr>
      </w:pPr>
    </w:p>
    <w:p>
      <w:pPr>
        <w:jc w:val="both"/>
        <w:ind w:left="60" w:right="139" w:firstLine="648"/>
        <w:spacing w:after="0" w:line="270" w:lineRule="auto"/>
        <w:rPr>
          <w:sz w:val="20"/>
          <w:szCs w:val="20"/>
          <w:color w:val="auto"/>
        </w:rPr>
      </w:pPr>
      <w:r>
        <w:rPr>
          <w:rFonts w:ascii="Times New Roman" w:cs="Times New Roman" w:eastAsia="Times New Roman" w:hAnsi="Times New Roman"/>
          <w:sz w:val="17"/>
          <w:szCs w:val="17"/>
          <w:color w:val="auto"/>
        </w:rPr>
        <w:t>In September 2017, the Company entered into a license agreement (the “Regeneron Agreement”) with Regeneron Pharmaceuticals, Inc. (“Regeneron”), pursuant to which the Company has been granted an exclusive license under certain intellectual property rights controlled by Regeneron to develop and commercialize ARCALYST worldwide, excluding the Middle East and North Africa, for all indications other than those in oncology and local administration to the eye or ear.</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Upon receiving positive data in RHAPSODY, the Company’s pivotal Phase 3 clinical trial of ARCALYST, Regeneron transferred the biologics license application (“BLA”) for ARCALYST to the Company. In March 2021, when the U.S. Food and Drug Administration (the “FDA”) granted approval of ARCALYST for the treatment of recurrent pericarditis and reduction in risk of recurrence in adults and children 12 years and older, the Company assumed the sales and distribution of ARCALYST for Cryopyrin-Associated Periodic Syndromes and Deficiency of Interleukin-1 Receptor Antagonist in the United States.</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evenly splits profits on sales of ARCALYST with Regeneron, where profits are determined after deducting from net sales of ARCALYST certain costs related to the manufacturing and commercialization of ARCALYST. Such costs include but are not limited to (i) the Company’s cost of goods sold for product used, sold or otherwise distributed for patient use by the Company; (ii) customary commercialization expenses, including the cost of the Company’s field force, and (iii) the Company’s cost to market, advertise and otherwise promote ARCALYST, with such costs identified in subsection (iii) subject to specified limits.  To the extent permitted in accordance with the Regeneron Agreement, the fully-burdened costs incurred by each of the Company and Regeneron in performing (or having performed) the technology transfer of the manufacturing process for ARCALYST drug substance will also be deducted from net sales of ARCALYST to determine profit. The Company also evenly splits with Regeneron any proceeds received by the Company from any licensees, sublicensees and distributors in consideration for the sale, license or other disposition of rights with respect to ARCALYST, including upfront payments, milestone payments and royalties. For the three months ended September 30, 2026 and 2025, the Company recognized $105,821 and $63,282 respectively, of expenses related to the profit sharing agreement presented within collaboration expenses. For the nine months ended September 30, 2026 and 2025, the Company recognized $269,447 and $159,446 respectively, of expenses related to the profit sharing agreement presented within collaboration expenses.</w:t>
      </w:r>
    </w:p>
    <w:p>
      <w:pPr>
        <w:spacing w:after="0" w:line="19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a supply agreement with Regeneron pursuant to which the Company may order both clinical and commercial product. The supply agreement terminates upon the termination of the Regeneron Agreement or the date of completion of the transfer of technology related to the manufacture of ARCALYST. During the three and nine months ended September 30, 2026 and 2025, the Company did not incur any research and development expense related to the purchase of drug materials under the supply agreement. As of September 30, 2026 and December 31, 2025, the Company recorded inventory of $50,067 and $29,071, respectively, related to the purchase of commercial product under the supply agreement. As of September 30, 2026, the Company had non-cancelable purchase commitments under the supply agreement (see Note 13).</w:t>
      </w:r>
    </w:p>
    <w:p>
      <w:pPr>
        <w:spacing w:after="0" w:line="19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Regeneron Agreement will expire when the Company is no longer developing or commercializing any licensed product under the Regeneron Agreement. Either party may terminate the agreement upon the other party’s insolvency or bankruptcy or for material breach of the agreement by the other party that remains uncured for 90 days (or 30 days for payment related breaches). Regeneron has the right to terminate the agreement if the Company suspends its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development or commercialization activities for a consecutive 12 month period or does not grant a sublicense to a third party to perform such activities, or if the Company challenges any of the licensed patent rights. The Company may terminate the agreement at any time with one year’s written notice. The Company may also terminate the agreement with three months’ written notice if the licensed product is determined to have certain safety concerns.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license and acquisition agreement discussed above, the Company has license and acquisition agreements that are not individually significant to its operating results or financial condition at this time. Pursuant to the terms of those agreements, the Company may incur potential future development, regulatory and commercial milestone payments, royalty payments on future product sales and annual maintenance fees.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expenses of $507 and $7,028 respectively, in its condensed consolidated statements of operations and comprehensive income related to other research and discovery related arrangements. During the three months ended September 30, 2025, the Company did not record any expenses related to other research and discovery related arrangements. During the nine months ended September 30, 2025, the Company recorded $44 of expenses in its condensed consolidated statements of operations and comprehensive income related to these arrangements.</w:t>
      </w:r>
    </w:p>
    <w:p>
      <w:pPr>
        <w:spacing w:after="0" w:line="183" w:lineRule="exact"/>
        <w:rPr>
          <w:sz w:val="20"/>
          <w:szCs w:val="20"/>
          <w:color w:val="auto"/>
        </w:rPr>
      </w:pPr>
    </w:p>
    <w:p>
      <w:pPr>
        <w:ind w:left="680" w:hanging="630"/>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Class B, Class A1 and Class B1 ordinary shares are identical, except with respect to voting, transferability and conversion. As the liquidation and dividend rights are identical, losses are allocated on a proportionate basis and the resulting net income per share attributed to ordinary shareholders will, therefore, be the same for both Class A and Class B ordinary shares on an individual or combined basis.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income attributable to ordinary shareholders was calculated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7"/>
                <w:szCs w:val="17"/>
                <w:color w:val="auto"/>
              </w:rPr>
            </w:pPr>
          </w:p>
        </w:tc>
      </w:tr>
      <w:tr>
        <w:trPr>
          <w:trHeight w:val="196"/>
        </w:trPr>
        <w:tc>
          <w:tcPr>
            <w:tcW w:w="4220" w:type="dxa"/>
            <w:vAlign w:val="bottom"/>
          </w:tcPr>
          <w:p>
            <w:pPr>
              <w:spacing w:after="0"/>
              <w:rPr>
                <w:sz w:val="17"/>
                <w:szCs w:val="17"/>
                <w:color w:val="auto"/>
              </w:rPr>
            </w:pP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60" w:type="dxa"/>
            <w:vAlign w:val="bottom"/>
          </w:tcPr>
          <w:p>
            <w:pPr>
              <w:spacing w:after="0"/>
              <w:rPr>
                <w:sz w:val="22"/>
                <w:szCs w:val="22"/>
                <w:color w:val="auto"/>
              </w:rPr>
            </w:pPr>
          </w:p>
        </w:tc>
      </w:tr>
      <w:tr>
        <w:trPr>
          <w:trHeight w:val="196"/>
        </w:trPr>
        <w:tc>
          <w:tcPr>
            <w:tcW w:w="4220" w:type="dxa"/>
            <w:vAlign w:val="bottom"/>
            <w:tcBorders>
              <w:top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ordinary shares outstanding—basic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78,192,603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74,714,846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77,435,077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73,605,690</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5,307,505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4,135,876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4,911,764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3,489,094</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RSUs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857,156</w:t>
            </w:r>
          </w:p>
        </w:tc>
        <w:tc>
          <w:tcPr>
            <w:tcW w:w="60" w:type="dxa"/>
            <w:vAlign w:val="bottom"/>
          </w:tcPr>
          <w:p>
            <w:pPr>
              <w:spacing w:after="0"/>
              <w:rPr>
                <w:sz w:val="18"/>
                <w:szCs w:val="18"/>
                <w:color w:val="auto"/>
              </w:rPr>
            </w:pPr>
          </w:p>
        </w:tc>
      </w:tr>
      <w:tr>
        <w:trPr>
          <w:trHeight w:val="216"/>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Unvested PSUs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286,865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75,430</w:t>
            </w:r>
          </w:p>
        </w:tc>
        <w:tc>
          <w:tcPr>
            <w:tcW w:w="60" w:type="dxa"/>
            <w:vAlign w:val="bottom"/>
          </w:tcPr>
          <w:p>
            <w:pPr>
              <w:spacing w:after="0"/>
              <w:rPr>
                <w:sz w:val="18"/>
                <w:szCs w:val="18"/>
                <w:color w:val="auto"/>
              </w:rPr>
            </w:pPr>
          </w:p>
        </w:tc>
      </w:tr>
      <w:tr>
        <w:trPr>
          <w:trHeight w:val="210"/>
        </w:trPr>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ordinary shares outstanding—diluted</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84,920,060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80,035,400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83,713,015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78,027,370</w:t>
            </w:r>
          </w:p>
        </w:tc>
        <w:tc>
          <w:tcPr>
            <w:tcW w:w="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Pr>
          <w:p>
            <w:pPr>
              <w:spacing w:after="0"/>
              <w:rPr>
                <w:sz w:val="18"/>
                <w:szCs w:val="18"/>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For the three and nine months ended September 30, 2026 and 2025, diluted earnings per share includes the assumed exercise of dilutive options and the assumed issuance of ordinary shares for unvested RSUs and PSUs for which the market or performance condition has been met as of the date of determination, using the treasury stock method unless the effect is anti-dilutive. The treasury stock method assumes that proceeds, including cash received from the exercise of employee share options and the average unrecognized compensation expense for unvested share-based compensation awards, would be used to purchase the Company’s ordinary shares at the average market price during the period.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potential ordinary shares, presented based on amounts outstanding at each period end, from the computation of diluted earnings per share attributable to ordinary shareholders for the periods indicated because including them would have had an anti-dilutive effect:</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8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8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22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22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options to purchase ordinary shares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1,096,417</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2,333,366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1,436,120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3,327,181</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591,978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935,314</w:t>
            </w:r>
          </w:p>
        </w:tc>
      </w:tr>
      <w:tr>
        <w:trPr>
          <w:trHeight w:val="210"/>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4,262,495</w:t>
            </w: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20" w:firstLine="648"/>
        <w:spacing w:after="0" w:line="266" w:lineRule="auto"/>
        <w:rPr>
          <w:sz w:val="20"/>
          <w:szCs w:val="20"/>
          <w:color w:val="auto"/>
        </w:rPr>
      </w:pPr>
      <w:r>
        <w:rPr>
          <w:rFonts w:ascii="Times New Roman" w:cs="Times New Roman" w:eastAsia="Times New Roman" w:hAnsi="Times New Roman"/>
          <w:sz w:val="18"/>
          <w:szCs w:val="18"/>
          <w:color w:val="auto"/>
        </w:rPr>
        <w:t>PSUs and PSOs that are outstanding and contain performance-based or market-based vesting criteria for which the performance or market conditions have not been met are excluded from the presentation of ordinary share equivalents outstanding in the table above.</w:t>
      </w:r>
    </w:p>
    <w:p>
      <w:pPr>
        <w:spacing w:after="0" w:line="172" w:lineRule="exact"/>
        <w:rPr>
          <w:sz w:val="20"/>
          <w:szCs w:val="20"/>
          <w:color w:val="auto"/>
        </w:rPr>
      </w:pPr>
    </w:p>
    <w:p>
      <w:pPr>
        <w:ind w:left="680" w:hanging="630"/>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Company’s income is subject to the enacted UK statutory corporate tax rate. The Company’s wholly owned United States subsidiaries, including Kiniksa Pharmaceuticals Corp. (“Kiniksa US”), are subject to federal and state income taxes in the United States. The Company’s wholly owned subsidiary Kiniksa Pharmaceuticals (UK), Ltd. (“Kiniksa UK”), and Kiniksa UK’s wholly owned subsidiaries, including Kiniksa Pharmaceuticals, GmbH (“Kiniksa Switzerland”) and Kiniksa UK’s Swiss branch office, are subject to taxation in their respective countries. Certain of the Company’s subsidiaries operate under cost plus intercompany arrangements.</w:t>
      </w:r>
    </w:p>
    <w:p>
      <w:pPr>
        <w:spacing w:after="0" w:line="133" w:lineRule="exact"/>
        <w:rPr>
          <w:sz w:val="20"/>
          <w:szCs w:val="20"/>
          <w:color w:val="auto"/>
        </w:rPr>
      </w:pPr>
    </w:p>
    <w:p>
      <w:pPr>
        <w:ind w:left="60"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$11,712 and $27,514 for the three and nine months ended September 30, 2026, respectively. The provision for income taxes was driven primarily by income earned in Switzerland, UK and the United States as well as uncertain tax positions offset in part by tax benefits related to share-based compensation, and United States federal and state research and development credits (“R&amp;D Credits”).</w:t>
      </w:r>
    </w:p>
    <w:p>
      <w:pPr>
        <w:spacing w:after="0" w:line="180" w:lineRule="exact"/>
        <w:rPr>
          <w:sz w:val="20"/>
          <w:szCs w:val="20"/>
          <w:color w:val="auto"/>
        </w:rPr>
      </w:pPr>
    </w:p>
    <w:p>
      <w:pPr>
        <w:ind w:left="60" w:right="120" w:firstLine="648"/>
        <w:spacing w:after="0" w:line="281" w:lineRule="auto"/>
        <w:rPr>
          <w:sz w:val="20"/>
          <w:szCs w:val="20"/>
          <w:color w:val="auto"/>
        </w:rPr>
      </w:pPr>
      <w:r>
        <w:rPr>
          <w:rFonts w:ascii="Times New Roman" w:cs="Times New Roman" w:eastAsia="Times New Roman" w:hAnsi="Times New Roman"/>
          <w:sz w:val="17"/>
          <w:szCs w:val="17"/>
          <w:color w:val="auto"/>
        </w:rPr>
        <w:t>The Company recorded an income tax provision of $8,722 and $20,793 for the three and nine months ended September 30, 2025, respectively. The provision for income taxes was driven primarily by income earned in Switzerland, UK and the United States as well as uncertain tax positions offset in part by tax benefits related to share-based compensation, United State federal and state R&amp;D Credits, and the Foreign Derived Intangible Income (“FDII”) deduction.</w:t>
      </w:r>
    </w:p>
    <w:p>
      <w:pPr>
        <w:spacing w:after="0" w:line="164" w:lineRule="exact"/>
        <w:rPr>
          <w:sz w:val="20"/>
          <w:szCs w:val="20"/>
          <w:color w:val="auto"/>
        </w:rPr>
      </w:pPr>
    </w:p>
    <w:p>
      <w:pPr>
        <w:ind w:left="60" w:right="200" w:firstLine="648"/>
        <w:spacing w:after="0" w:line="255" w:lineRule="auto"/>
        <w:rPr>
          <w:sz w:val="20"/>
          <w:szCs w:val="20"/>
          <w:color w:val="auto"/>
        </w:rPr>
      </w:pPr>
      <w:r>
        <w:rPr>
          <w:rFonts w:ascii="Times New Roman" w:cs="Times New Roman" w:eastAsia="Times New Roman" w:hAnsi="Times New Roman"/>
          <w:sz w:val="18"/>
          <w:szCs w:val="18"/>
          <w:color w:val="auto"/>
        </w:rPr>
        <w:t>Management regularly assesses the need for a valuation allowance on the Company’s deferred income tax assets. Valuation allowances require an assessment of both positive and negative evidence when determining whether it is more likely than not that the Company will be able to recover its deferred tax assets. Such assessment is required on a jurisdiction-by-jurisdiction basis. The ultimate realization of deferred tax assets is dependent upon the generation of future taxable income during the periods in which those temporary differences become deductible. The Company maintains a valuation allowance on the full amount of the Kiniksa Switzerland deferred tax assets. There are no material deferred tax assets in the jurisdictions outside the United States, UK and Switzerland.</w:t>
      </w:r>
    </w:p>
    <w:p>
      <w:pPr>
        <w:spacing w:after="0" w:line="185" w:lineRule="exact"/>
        <w:rPr>
          <w:sz w:val="20"/>
          <w:szCs w:val="20"/>
          <w:color w:val="auto"/>
        </w:rPr>
      </w:pPr>
    </w:p>
    <w:p>
      <w:pPr>
        <w:ind w:left="700" w:right="5840" w:hanging="650"/>
        <w:spacing w:after="0" w:line="532" w:lineRule="auto"/>
        <w:tabs>
          <w:tab w:leader="none" w:pos="68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Agreements</w:t>
      </w:r>
    </w:p>
    <w:p>
      <w:pPr>
        <w:spacing w:after="0" w:line="1" w:lineRule="exact"/>
        <w:rPr>
          <w:sz w:val="20"/>
          <w:szCs w:val="20"/>
          <w:color w:val="auto"/>
        </w:rPr>
      </w:pPr>
    </w:p>
    <w:p>
      <w:pPr>
        <w:ind w:left="60"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license agreements with various parties under which it is obligated to make contingent and non-contingent payments (see Note 10).</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Commitments</w:t>
      </w:r>
    </w:p>
    <w:p>
      <w:pPr>
        <w:spacing w:after="0" w:line="229" w:lineRule="exact"/>
        <w:rPr>
          <w:sz w:val="20"/>
          <w:szCs w:val="20"/>
          <w:color w:val="auto"/>
        </w:rPr>
      </w:pPr>
    </w:p>
    <w:p>
      <w:pPr>
        <w:ind w:left="60" w:right="360" w:firstLine="648"/>
        <w:spacing w:after="0" w:line="312" w:lineRule="auto"/>
        <w:rPr>
          <w:sz w:val="20"/>
          <w:szCs w:val="20"/>
          <w:color w:val="auto"/>
        </w:rPr>
      </w:pPr>
      <w:r>
        <w:rPr>
          <w:rFonts w:ascii="Times New Roman" w:cs="Times New Roman" w:eastAsia="Times New Roman" w:hAnsi="Times New Roman"/>
          <w:sz w:val="17"/>
          <w:szCs w:val="17"/>
          <w:color w:val="auto"/>
        </w:rPr>
        <w:t>The Company has a supply agreement with Regeneron pursuant to which the Company may order both clinical and commercial product (see Note 10). In June 2024, the Company entered into a Master Services Agreement and a</w:t>
      </w:r>
    </w:p>
    <w:p>
      <w:pPr>
        <w:sectPr>
          <w:pgSz w:w="11900" w:h="16838" w:orient="portrait"/>
          <w:cols w:equalWidth="0" w:num="1">
            <w:col w:w="9060"/>
          </w:cols>
          <w:pgMar w:left="1440" w:top="513" w:right="1399" w:bottom="1440" w:gutter="0" w:footer="0" w:header="0"/>
        </w:sect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Product Specific Agreement with Samsung Biologics Co., Ltd. as part of its technology transfer of the manufacturing process for ARCALYST drug substance. The Company has additionally entered into agreements with several contract development and manufacturing organizations to provide the Company with preclinical and clinical trial materials for its non-ARCALYST assets. As of September 30, 2026, the Company had committed to minimum purchase commitments under all of these agreements totaling $215,633, of which $77,628 is due within one year.</w:t>
      </w:r>
    </w:p>
    <w:p>
      <w:pPr>
        <w:spacing w:after="0" w:line="18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termination notices to contract development and manufacturing organizations in February 2025 to terminate the clinical supply agreements for the production of abiprubart. During the nine months ended September 30, 2025, the Company recorded and paid $2,500 in research and development expenses because of these terminations. During the three months ended September 30, 2025, the Company did not record any expenses in connection with these terminations. The Company does not expect to incur any additional expenses because of these terminations.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Performance Cash Awards</w:t>
      </w:r>
    </w:p>
    <w:p>
      <w:pPr>
        <w:spacing w:after="0" w:line="22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Beginning in the second quarter of 2025, the Company began granting cash awards (“Performance Cash Awards”) to certain eligible employees pursuant to the 2018 Plan, which were eligible to be received upon the achievement of certain specified development and regulatory milestones and that are subject to earnout percentages based upon the date of applicable milestone achievement. As of September 30, 2026, the Company estimates the future cash payments under such Performance Cash Awards to be $24,585 if the milestones are achieved at target. The Performance Cash Awards will be recognized when the applicable milestones are deemed probable of achievement with a cumulative catch-up and recognized over the remaining term. The Company has not deemed any of the Performance Cash Award development or regulatory milestones as probable as of September 30, 2026, and no expense has been recognized related to such awards.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aware of any claims under indemnification arrangements that are expected to have a material effect on its financial position, results of operations or cash flows, and it has not accrued any liabilities related to such obligations in its condensed consolidated financial statements as of September 30, 2026 or December 31, 2025.</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litigation and does not have contingency reserves established for any litigation liabilities.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14. Segment Information and Geographic Data</w:t>
      </w:r>
    </w:p>
    <w:p>
      <w:pPr>
        <w:spacing w:after="0" w:line="229"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Company manages its operations as a single operating segment for the purposes of assessing performance and making operating decisions. The Company’s singular focus is on developing and commercializing novel therapies that target cardiovascular diseases with significant unmet medical need. The Company’s Chief Operating Decision Maker (“CODM”) is the Chief Executive Officer. The Company’s CODM reviews consolidated operating results and decides how to allocate resources based on net income that also is reported on the income statement as consolidated net income. The measure of segment assets is reported on the balance sheet as total consolidated assets. The CODM utilizes net income to make key decisions about how to allocate resources across the Company’s commercial product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nine months ended September 30, 2026 and 2025:</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620" w:type="dxa"/>
            <w:vAlign w:val="bottom"/>
          </w:tcPr>
          <w:p>
            <w:pPr>
              <w:spacing w:after="0"/>
              <w:rPr>
                <w:sz w:val="17"/>
                <w:szCs w:val="17"/>
                <w:color w:val="auto"/>
              </w:rPr>
            </w:pPr>
          </w:p>
        </w:tc>
        <w:tc>
          <w:tcPr>
            <w:tcW w:w="62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28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475,437</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475,437</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56,728</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159,515</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ARCALYST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KPL-387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KPL-1161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Abiprubart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139,497</w:t>
            </w:r>
          </w:p>
        </w:tc>
      </w:tr>
      <w:tr>
        <w:trPr>
          <w:trHeight w:val="209"/>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417,984</w:t>
            </w:r>
          </w:p>
        </w:tc>
      </w:tr>
      <w:tr>
        <w:trPr>
          <w:trHeight w:val="21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 (1)</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r>
      <w:tr>
        <w:trPr>
          <w:trHeight w:val="21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r>
      <w:tr>
        <w:trPr>
          <w:trHeight w:val="20"/>
        </w:trPr>
        <w:tc>
          <w:tcPr>
            <w:tcW w:w="4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26,768</w:t>
            </w: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3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r>
    </w:tbl>
    <w:p>
      <w:pPr>
        <w:spacing w:after="0" w:line="179" w:lineRule="exact"/>
        <w:rPr>
          <w:sz w:val="20"/>
          <w:szCs w:val="20"/>
          <w:color w:val="auto"/>
        </w:rPr>
      </w:pPr>
    </w:p>
    <w:p>
      <w:pPr>
        <w:ind w:left="380" w:right="79" w:firstLine="318"/>
        <w:spacing w:after="0" w:line="266" w:lineRule="auto"/>
        <w:tabs>
          <w:tab w:leader="none" w:pos="13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$4,990 and $12,355 for the three and nine months ended September 30, 2026, respectively. Includes interest income of $3,149 and $8,170 for the three and nine months ended September 30, 2025, respectively.</w:t>
      </w:r>
    </w:p>
    <w:p>
      <w:pPr>
        <w:spacing w:after="0" w:line="17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revenue by geographic region of the customer for the three and nine months ended September 30, 2026 and 2025:</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474,811</w:t>
            </w: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1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475,437</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property and equipment, net by geographic region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0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0"/>
        </w:trPr>
        <w:tc>
          <w:tcPr>
            <w:tcW w:w="6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and our audited consolidated financial statements and related notes for the year ended December 31, 2025 included in the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risks identified in Part I, Item 1A of the Annual Report, as updated by any information appearing in Part II, Item 1A of any of our subsequent Quarterly Reports on Form 10-Q, and our other filings with the Securities and Exchange Commission (the “SEC”) our actual results could differ materially from the results, performance or achievements expressed in or implied by these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developing and commercializing novel therapies for diseases with unmet need, with a focus on cardiovascular indications. Our portfolio of assets is based on strong biologic rationale or validated mechanisms and offers the potential for differentiation.</w:t>
      </w:r>
    </w:p>
    <w:p>
      <w:pPr>
        <w:spacing w:after="0" w:line="6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ARCALYST is an interleukin-1α (“IL-1α”) and interleukin-1β (“IL-1β”) cytokine trap. In 2017, we licensed ARCALYST from Regeneron, which discovered and initially developed the drug. Our exclusive license to ARCALYST from Regeneron includes worldwide rights, excluding the Middle East and North Africa, for all applications other than those in oncology and local administration to the eye or ear. We received U.S. Food and Drug Administration (the “FDA”) approval of ARCALYST for the treatment of recurrent pericarditis and reduction in risk of recurrence in adults and children 12 years and older in March 2021. Recurrent pericarditis is a painful inflammatory cardiovascular disease with an estimated United States prevalent population of approximately 40,000 patients seeking and receiving medical treatment. ARCALYST is also approved in the United States for the treatment of Cryopyrin-Associated Periodic Syndromes (“CAPS”), including Familial Cold Autoinflammatory Syndrome and Muckle-Wells Syndrome in adults and children 12 years and older, and the maintenance of remission in Deficiency of Interleukin-1 Receptor Antagonist (“DIRA”) in adults and children weighing 10 kg or more. ARCALYST is commercially available across the United States through a select network of specialty pharmacies. We are responsible for sales and distribution of ARCALYST in all approved indications in the United States, and evenly split profits on sales, as well as third party proceeds, with Regeneron. In 2022, we granted Hangzhou Zhongmei Huadong Pharmaceutical Co., Ltd. (“Huadong”) exclusive rights to develop and commercialize ARCALYST in the Huadong Territory (as defined below). In 2023, Regeneron initiated a technology transfer of the manufacturing process for ARCALYST drug substance, and in June 2026 the FDA approved Samsung Biologics Co., Ltd. (“Samsung”) as our replacement contract development and manufacturing organization (“CDMO”). In December 2024, we initiated a collaborative study agreement with The Mayo Clinic (together with Johns Hopkins University) to investigate the effects of ARCALYST in the treatment of cardiac sarcoidosis.</w:t>
      </w:r>
    </w:p>
    <w:p>
      <w:pPr>
        <w:spacing w:after="0" w:line="83"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KPL-387 is an investigational, fully human immunoglobulin G2 monoclonal antibody that binds human interleukin-1 receptor 1 (“IL-1R1”), inhibiting IL-1α- and IL-1β-mediated signaling. KPL-387 is an independently developed asset that we believe may expand the recurrent pericarditis market and provide an additional treatment option for patients, with the potential to add the convenience of monthly subcutaneous self-administration with a liquid formulation. In July 2026, we announced that the pivotal Phase 3 trial of KPL-387 in recurrent pericarditis, PASTORALE, had begun enrolling and dosing patients, supported by Phase 2 data at the 300 mg subcutaneous monthly dose level. We expect data from such trial in the second half of 2027. In addition, we announced that we expect to begin commercializing KPL-387 in 2028 or 2029. We are also conducting a supplemental Phase 2 transition to KPL-387 monotherapy dosing and administration study to evaluate the efficacy and safety of dosing regimens used to transition patients from standard therapies to KPL-387 monotherapy. The FDA previously granted Orphan Drug Designation to KPL-387 for the treatment of pericarditis.</w:t>
      </w:r>
    </w:p>
    <w:p>
      <w:pPr>
        <w:spacing w:after="0" w:line="19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KPL-1161 is an independently developed, pre-clinical, Fc-modified immunoglobulin G2 monoclonal antibody that binds IL-1R1, inhibiting IL-1α- and IL-1β-mediated signaling. KPL-1161 is a modified version of KPL-387 designed to have an increased drug half-life that we believe could support quarterly subcutaneous dosing. We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currently conducting preclinical activities with respect to this asset, and expect to initiate a Phase 1 first-in-human clinical trial by the end of 2026.</w:t>
      </w:r>
    </w:p>
    <w:p>
      <w:pPr>
        <w:spacing w:after="0" w:line="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Abiprubart is an investigational monoclonal antibody inhibitor of CD40-CD154 costimulatory interaction, which we believe to be an attractive approach to address multiple autoimmune disease pathologies. We hold an exclusive worldwide license to abiprubart from Beth Israel Deaconess Medical Center, Inc. (“BIDMC”). In February 2025, we announced our plans to discontinue development of abiprubart in Sjögren's Disease and to explore strategic alternatives for the asset.</w:t>
      </w:r>
    </w:p>
    <w:p>
      <w:pPr>
        <w:spacing w:after="0" w:line="75"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our pipeline includes a number of unannounced pre-clinical assets, each of which holds the potential to impact the lives of patients in need.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have been generating product revenue from sales of ARCALYST since April 2021. ARCALYST is sold through a third party logistics provider that distributes primarily through a select network of specialty pharmacies (collectively, “customers”), which deliver the medication to patients by mail. ARCALYST is currently only approved for sale in the United States, and, therefore, we expect to derive substantially all of our product revenue from the United States for the foreseeable future.</w:t>
      </w:r>
    </w:p>
    <w:p>
      <w:pPr>
        <w:spacing w:after="0" w:line="183" w:lineRule="exact"/>
        <w:rPr>
          <w:sz w:val="20"/>
          <w:szCs w:val="20"/>
          <w:color w:val="auto"/>
        </w:rPr>
      </w:pPr>
    </w:p>
    <w:p>
      <w:pPr>
        <w:jc w:val="both"/>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Net revenue from product sales is recognized at the transaction price when the customer obtains control of our product, which occurs at a point in time, typically upon shipment of the product from the third party logistics provider.</w:t>
      </w:r>
    </w:p>
    <w:p>
      <w:pPr>
        <w:spacing w:after="0" w:line="14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net revenues represent total revenues adjusted for discounts and allowances, including estimated cash discounts, chargebacks, rebates, returns, copay assistance, and specialty pharmacy and distributor fees. These adjustments represent variable consideration under ASC 606 and are estimated using the expected value method and are recorded when revenue is recognized on the sale of the product.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includes amounts recognized related to upfront payments, royalty revenue, milestone payments and products sold under collaboration agreements.</w:t>
      </w:r>
    </w:p>
    <w:p>
      <w:pPr>
        <w:spacing w:after="0" w:line="162"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In February 2022, we entered into a collaboration and license agreement (the “Huadong Collaboration Agreement”) with Huadong, pursuant to which we granted Huadong exclusive rights to develop and commercialize ARCALYST in a specified territory, which currently includes the following countries: People’s Republic of China, Hong Kong SAR, Macao SAR, Taiwan Region, Indonesia, The Philippines, Thailand, Bangladesh, Bhutan, Brunei, Burma, Cambodia, India, Laos, Malaysia, Maldives, Mongolia, Nepal, New Zealand, Sri Lanka, and Vietnam (collectively, the “Huadong Territory”).</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Huadong Collaboration Agreement, we received a total upfront cash payment of $12.0 million for the Huadong Territory license of ARCALYST. In the fourth quarter of 2024, following the achievement of a regulatory milestone under the Huadong Collaboration Agreement, Huadong became obligated to make an additional cash payment of $20.0 million, which was received in the first quarter of 2025. In addition, we will be eligible to receive additional contingent sales-based milestones payments related to ARCALYST. Huadong will also be obligated to pay us tiered percentage royalties on ARCALYST ranging from the low-to-mid teens on annual net sales in the Huadong Territory, subject to certain reductions tied to ARCALYST manufacturing costs and certain other customary reductions, with an aggregate minimum floor. Royalties will be payable on a country-by-country or region-by-region basis until the later of (i) 12 years after the first commercial sale of ARCALYST in such country or region in the Huadong Territory, (ii)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of expiration of the last valid patent claim of our patent rights or any joint collaboration patent rights that covers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ARCALYST in such country or region in the Huadong Territory, and (iii) the expiration of the last regulatory exclusivity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ARCALYST in such country or region in the Huadong Territory. We have recognized $0.2 million of revenue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$32.0 million transaction price under the Huadong Collaboration Agreement as of September 30, 2026, and will recognize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remaining revenue as materials are shipped.</w:t>
      </w:r>
    </w:p>
    <w:p>
      <w:pPr>
        <w:spacing w:after="0" w:line="20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2022, we entered into a license agreement (the “Genentech License Agreement”) with Genentech, pursuant to which we granted Genentech exclusive worldwide rights to develop and commercialize vixarelimab and related antibodies (each, a “Genentech Licensed Product”).</w:t>
      </w:r>
    </w:p>
    <w:p>
      <w:pPr>
        <w:spacing w:after="0" w:line="176"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Under the Genentech License Agreement, we will be eligible to receive up to a total of approximately $600.0 million in contingent payments, including specified development, regulatory and sales-based milestones, of which approximately $570.0 million remains as of September 30, 2026. We will also be eligible to receive tiered percentage royalties on a Genentech Licensed Product-by-Genentech Licensed Product basis ranging from low-double digits to mid-teens on annual net sales of each Genentech Licensed Product, subject to certain customary reductions, with an aggregate minimum floor, before fulfilling our upstream financial obligations. Royalties will be payable on a Genentech Licensed Product-by-Genentech Licensed Product and country-by-country basis until the latest to occur of the expiration of certain patents that cover a Genentech Licensed Product, the expiration of regulatory exclusivity for such Genentech Licensed Product, or the tenth anniversary of first commercial sale of such Genentech Licensed Product in such country.</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Cost of goods sold includes production and distribution costs of ARCALYST, amortization of the $20.0 million payment we made to Regeneron in the first quarter of 2021 upon achievement of a regulatory milestone and other miscellaneous product costs associated with ARCALYST. Cost of goods sold also includes labor and overhead costs associated with the production of ARCALYST associated with supply chain, quality, and regulatory activities, and the technology transfer of the manufacturing process for ARCALYST.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expenses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Collaboration expenses consist of Regeneron’s share of the profit related to ARCALYST sales under the Regeneron Agreement and the cost of products sold under collaboration agreements. We evenly split profits on sales of ARCALYST with Regeneron, where profits are determined after deducting from net sales of ARCALYST certain costs related to the manufacturing and commercialization of ARCALYST. Such costs include but are not limited to (i) our cost of goods sold for product used, sold or otherwise distributed for patient use by us; (ii) customary commercialization expenses, including the cost of our field force, and (iii) our cost to market, advertise and otherwise promote ARCALYST, with such costs identified in subsection (iii) subject to specified limits. With respect to the technology transfer of ARCALYST drug substance manufacturing initiated by Regeneron in March 2023, to the extent permitted by the Regeneron Agreement, the fully-burdened costs of each of us and Regeneron incurred in performing such technology transfer shall also be deducted from net sales of ARCALYST to determine profit. We also evenly split with Regeneron any proceeds received by us from any licensees, sublicensees and distributors in consideration for the sale, license or other disposition of rights with respect to ARCALYST, including upfront payments, milestone payments and royalties.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We expense research and development costs as incurred. These expenses may include:</w:t>
      </w:r>
    </w:p>
    <w:p>
      <w:pPr>
        <w:spacing w:after="0" w:line="176" w:lineRule="exact"/>
        <w:rPr>
          <w:sz w:val="20"/>
          <w:szCs w:val="20"/>
          <w:color w:val="auto"/>
        </w:rPr>
      </w:pPr>
    </w:p>
    <w:p>
      <w:pPr>
        <w:ind w:left="1020" w:right="159" w:hanging="322"/>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79" w:hanging="322"/>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that are primarily engaged in the oversight and conduct of our clinical trials and CDMOs that are primarily engaged to provide preclinical and clinical drug substance and product for our research and development programs for our product candidates;</w:t>
      </w:r>
    </w:p>
    <w:p>
      <w:pPr>
        <w:spacing w:after="0" w:line="179"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preclinical and clinical trial materials, including manufacturing validation batches, as well as investigative sites and consultants that conduct our clinical trials, preclinical studies and other scientific development services;</w:t>
      </w:r>
    </w:p>
    <w:p>
      <w:pPr>
        <w:spacing w:after="0" w:line="175" w:lineRule="exact"/>
        <w:rPr>
          <w:rFonts w:ascii="Times New Roman" w:cs="Times New Roman" w:eastAsia="Times New Roman" w:hAnsi="Times New Roman"/>
          <w:sz w:val="18"/>
          <w:szCs w:val="18"/>
          <w:color w:val="auto"/>
        </w:rPr>
      </w:pPr>
    </w:p>
    <w:p>
      <w:pPr>
        <w:ind w:left="1020" w:right="81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 party licensing, acquisition and other similar agreements;</w:t>
      </w:r>
    </w:p>
    <w:p>
      <w:pPr>
        <w:spacing w:after="0" w:line="161" w:lineRule="exact"/>
        <w:rPr>
          <w:rFonts w:ascii="Times New Roman" w:cs="Times New Roman" w:eastAsia="Times New Roman" w:hAnsi="Times New Roman"/>
          <w:sz w:val="18"/>
          <w:szCs w:val="18"/>
          <w:color w:val="auto"/>
        </w:rPr>
      </w:pPr>
    </w:p>
    <w:p>
      <w:pPr>
        <w:ind w:left="1020" w:right="15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share-based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which include rent and utilities, depreciation and other expenses.</w:t>
      </w:r>
    </w:p>
    <w:p>
      <w:pPr>
        <w:spacing w:after="0" w:line="22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for our product candidates and consist primarily of external costs, such as fees paid to outside consultants, CROs, CDMOs and research laboratories in connection with our preclinical development, process development, manufacturing and clinical development activities. Our direct research and development expenses by program also include fees incurred under license, acquisition and other similar agreements. We do not allocate employee costs or facility expenses,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and clinical development, process development and manufacturing clinical and preclinical materials.</w:t>
      </w:r>
    </w:p>
    <w:p>
      <w:pPr>
        <w:spacing w:after="0" w:line="188"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Product candidates in later stages of clinical development generally have higher costs than those in earlier stages of clinical development, primarily due to the increased size and duration of later-stage clinical trials. As a result, we expect that our research and development expenses will be substantial over the next several years as we conduct our ongoing and/or planned clinical trials for our product candidates, as well as conduct other preclinical and clinical development, and make regulatory filings for our product candidates.</w:t>
      </w:r>
    </w:p>
    <w:p>
      <w:pPr>
        <w:spacing w:after="0" w:line="1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costs of the efforts that will be necessary to complete the clinical development of our current or future product candidates or when, if ever, we will realize revenue from the sale of our current or future product candidates.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and benefits, including share based compensation expense for personnel in selling, marketing, medical, executive, business development, finance, human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resources, legal and support personnel functions. Selling, general and administrative expenses also include external commercialization, marketing, and professional fees for legal, patent, and accounting services.</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as we continue to expand our infrastructure related to the commercialization of ARCALYST and our other product candidates, if approved.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recognized from investments in money market funds, United States Treasury Securities and other miscellaneous income offset by expenses related to investments.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income is subject to the enacted United Kingdom statutory corporate tax rate. Our wholly owned United States subsidiaries, including Kiniksa Pharmaceuticals Corp. (“Kiniksa US”), are subject to federal and state income taxes in the United States. Our wholly owned subsidiary Kiniksa Pharmaceuticals (UK), Ltd. (“Kiniksa UK”), its Swiss branch office, and Kiniksa UK’s wholly owned subsidiaries, including Kiniksa Pharmaceuticals, GmbH (“Kiniksa Switzerland”) are subject to taxation in their respective countries.</w:t>
      </w:r>
    </w:p>
    <w:p>
      <w:pPr>
        <w:spacing w:after="0" w:line="183"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On July 4, 2025, new U.S. tax legislation was signed into law (known as the "One Big Beautiful Bill Act" or "OBBBA") which makes permanent many of the tax provisions enacted in 2017 as part of the Tax Cuts and Jobs Act that were set to expire at the end of 2025. The tax provisions of the legislation did not have a material impact on our operations.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2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8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220" w:type="dxa"/>
            <w:vAlign w:val="bottom"/>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285,970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105,115</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expenses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700" w:type="dxa"/>
            <w:vAlign w:val="bottom"/>
            <w:vMerge w:val="restart"/>
          </w:tcPr>
          <w:p>
            <w:pPr>
              <w:jc w:val="right"/>
              <w:ind w:right="1556"/>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recognized net revenue from the sale of ARCALYST of $286.0 million for the three months ended September 30, 2026, compared to $180.9 million for the three months ended September 30, 2025, an increase of $105.1 million. The increase in product revenue was driven primarily by an increase in patients on therapy.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We recognized cost of goods sold of $27.8 million for the three months ended September 30, 2026, compared to $20.3 million for the three months ended September 30, 2025, an increase of $7.5 million. The increase in cost of goods sold relates primarily to the increase in sales of ARCALYST partially offset by a reduction in technology transfer costs.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expenses</w:t>
      </w:r>
    </w:p>
    <w:p>
      <w:pPr>
        <w:spacing w:after="0" w:line="22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Collaboration expenses were $105.8 million for the three months ended September 30, 2026, compared to $63.3 million for the three months ended September 30, 2025, an increase of $42.5 million. The increase in collaboration expenses relates primarily to increased revenue from sales of ARCALYST.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24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ARCALYST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KPL-387</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KPL-1161</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Abiprubart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$32.8 million for the three months ended September 30, 2026, compared to $24.2 million for the three months ended September 30, 2025, an increase of $8.6 million.</w:t>
      </w:r>
    </w:p>
    <w:p>
      <w:pPr>
        <w:spacing w:after="0" w:line="162"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Direct costs for our KPL-387 program were $17.3 million during the three months ended September 30, 2026, compared to $11.4 million during the three months ended September 30, 2025. The increase in expenses incurred primarily related to (i) the enrollment and continuation of the Phase 2 portion of our Phase 2/3 clinical trial in recurrent pericarditis,</w:t>
      </w:r>
    </w:p>
    <w:p>
      <w:pPr>
        <w:spacing w:after="0" w:line="2" w:lineRule="exact"/>
        <w:rPr>
          <w:sz w:val="20"/>
          <w:szCs w:val="20"/>
          <w:color w:val="auto"/>
        </w:rPr>
      </w:pPr>
    </w:p>
    <w:p>
      <w:pPr>
        <w:ind w:left="60" w:right="79" w:hanging="10"/>
        <w:spacing w:after="0" w:line="253" w:lineRule="auto"/>
        <w:tabs>
          <w:tab w:leader="none" w:pos="3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enrollment of the Phase 3 portion of such Phase 2/3 clinical trial and (iii) the start-up and enrollment of our supplemental Phase 2 transition to KPL-387 monotherapy dosing and administration study, in each case during the three months ended September 30, 2026. During the three months ended September 30, 2025, expenses primarily related to the start-up of our Phase 2/3 clinical trial.</w:t>
      </w:r>
    </w:p>
    <w:p>
      <w:pPr>
        <w:spacing w:after="0" w:line="189"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Direct costs for our KPL-1161 program were $1.6 million for the three months ended September 30, 2026, compared to $1.8 million during the three months ended September 30, 2025. For the three months ended September 30, 2026 and 2025, expenses incurred primarily related to pre-clinical development.</w:t>
      </w:r>
    </w:p>
    <w:p>
      <w:pPr>
        <w:spacing w:after="0" w:line="1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Unallocated research and development expenses were $13.7 million and $10.0 million for the three months ended September 30, 2026 and September 30, 2025, respectively. The increase was primarily due to an increase of $3.3 million in personnel-related costs largely attributable to an increase in headcount. Personnel-related costs for the three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months ended September 30, 2026 and 2025 included share-based compensation of $3.0 million and $1.7 million,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$65.4 million for the three months ended September 30, 2026, compared to $49.1 million for the three months ended September 30, 2025. The increase of $16.3 million was primarily due to an increase of $7.6 million in personnel-related costs largely attributable to an increase in headcount and an increase in sales and marketing expenses of $6.7 million largely attributable to increased promotional activities, including our direct-to-consumer advertising campaign. Personnel-related costs for the three months ended September 30, 2026 and 2025 included share-based compensation of $9.5 million and $7.9 million,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$4.8 million and $3.1 million for the three months ended September 30, 2026 and September 30, 2025, respectively. The year-over-year increase was driven primarily by higher interest income generated by increased average holdings of cash, cash equivalents, and short-term investments.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recorded an income tax provision of $11.7 million and $8.7 million for the three months ended</w:t>
      </w:r>
    </w:p>
    <w:p>
      <w:pPr>
        <w:spacing w:after="0" w:line="27"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September 30, 2026 and September 30, 2025, respectively. The provision for income taxes was driven primarily by income earned in Switzerland, UK and the United States as well as uncertain tax positions offset in part by tax benefits related to share-based compensation, United States federal and state research and development credits (“R&amp;D Credits”) and Foreign Derived Intangible Income (“FDII”) deduction. The increase in the provision for income taxes was driven primarily by an increase in taxable income partially offset by an increase in the tax benefits related to share-based compensation.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2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8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475,437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expenses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417,984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700" w:type="dxa"/>
            <w:vAlign w:val="bottom"/>
            <w:vMerge w:val="restart"/>
          </w:tcPr>
          <w:p>
            <w:pPr>
              <w:jc w:val="right"/>
              <w:ind w:right="155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We recognized net revenue from the sale of ARCALYST of $743.8 million for the nine months ended September 30, 2026, compared to $475.4 million for the nine months ended September 30, 2025, an increase of $268.4 million. The increase in product revenue was primarily driven by an increase in patients on therapy.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recognized cost of goods sold of $72.1 million for the nine months ended September 30, 2026, compared to $56.7 million for the nine months ended September 30, 2025, an increase of $15.4 million. The increase in cost of goods sold relates primarily to the increase in sales of ARCALYST partially offset by favorable production variances.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Expenses</w:t>
      </w:r>
    </w:p>
    <w:p>
      <w:pPr>
        <w:spacing w:after="0" w:line="22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Collaboration expenses were $269.5 million for the nine months ended September 30, 2026, compared to $159.5 million for the nine months ended September 30, 2025, an increase of $110.0 million. The increase in collaboration expenses relates primarily to increased revenue from sales of ARCALYST.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ARCALYST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KPL-387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KPL-1161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Abiprubart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0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$101.2 million for the nine months ended September 30, 2026, compared to $62.2 million for the nine months ended September 30, 2025, an increase of $38.9 million.</w:t>
      </w:r>
    </w:p>
    <w:p>
      <w:pPr>
        <w:spacing w:after="0" w:line="162"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Direct costs for our KPL-387 program were $54.8 million during the nine months ended September 30, 2026, compared to $25.0 million during the nine months ended September 30, 2025. The increase in expenses incurred primarily related to (i) the enrollment and continuation of the Phase 2 portion of our Phase 2/3 clinical trial in recurrent pericarditis,</w:t>
      </w:r>
    </w:p>
    <w:p>
      <w:pPr>
        <w:spacing w:after="0" w:line="2" w:lineRule="exact"/>
        <w:rPr>
          <w:sz w:val="20"/>
          <w:szCs w:val="20"/>
          <w:color w:val="auto"/>
        </w:rPr>
      </w:pPr>
    </w:p>
    <w:p>
      <w:pPr>
        <w:ind w:left="60" w:right="59" w:hanging="10"/>
        <w:spacing w:after="0" w:line="253"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enrollment of the Phase 3 portion of such Phase 2/3 clinical trial, (iii) the start-up and enrollment of our supplemental Phase 2 transition to KPL-387 monotherapy dosing and administration study and (iv) increased manufacturing cost associated with such trials, in each case during the nine months ended September 30, 2026. During the nine months ended September 30, 2025, expenses primarily related to the Phase 1 clinical trial in normal healthy volunteers and the start-up of our Phase 2/3 clinical trial.</w:t>
      </w:r>
    </w:p>
    <w:p>
      <w:pPr>
        <w:spacing w:after="0" w:line="187" w:lineRule="exact"/>
        <w:rPr>
          <w:sz w:val="20"/>
          <w:szCs w:val="20"/>
          <w:color w:val="auto"/>
        </w:rPr>
      </w:pPr>
    </w:p>
    <w:p>
      <w:pPr>
        <w:ind w:left="60" w:right="699" w:firstLine="648"/>
        <w:spacing w:after="0" w:line="266" w:lineRule="auto"/>
        <w:rPr>
          <w:sz w:val="20"/>
          <w:szCs w:val="20"/>
          <w:color w:val="auto"/>
        </w:rPr>
      </w:pPr>
      <w:r>
        <w:rPr>
          <w:rFonts w:ascii="Times New Roman" w:cs="Times New Roman" w:eastAsia="Times New Roman" w:hAnsi="Times New Roman"/>
          <w:sz w:val="18"/>
          <w:szCs w:val="18"/>
          <w:color w:val="auto"/>
        </w:rPr>
        <w:t>Direct costs for our KPL-1161 program were $3.3 million for the nine months ended September 30, 2026, compared to $2.3 million during the nine months ended September 30, 2025. For the nine months ended September 30, 2026 and 2025, expenses incurred primarily related to pre-clinical development.</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direct costs for our abiprubart program were $0.3 million during the nine months ended September 30, 2026, compared to $5.7 million during the nine months ended September 30, 2025, a decrease of $5.4 million. For the nine months ended September 30, 2025, expenses incurred primarily related to the close-out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39"/>
        <w:spacing w:after="0" w:line="282" w:lineRule="auto"/>
        <w:rPr>
          <w:sz w:val="20"/>
          <w:szCs w:val="20"/>
          <w:color w:val="auto"/>
        </w:rPr>
      </w:pPr>
      <w:r>
        <w:rPr>
          <w:rFonts w:ascii="Times New Roman" w:cs="Times New Roman" w:eastAsia="Times New Roman" w:hAnsi="Times New Roman"/>
          <w:sz w:val="18"/>
          <w:szCs w:val="18"/>
          <w:color w:val="auto"/>
        </w:rPr>
        <w:t>Phase 2b clinical trial in Sjögren’s Disease and $2.5 million of termination expenses associated with cancelled manufacturing agreements.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Unallocated research and development expenses were $41.8 million for the nine months ended</w:t>
      </w:r>
    </w:p>
    <w:p>
      <w:pPr>
        <w:spacing w:after="0" w:line="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September 30, 2026, compared to $28.4 million for the nine months ended September 30, 2025. The increase was primarily due to an increase of $6.7 million in pre-clinical development expenses and an increase in personnel-related costs of $5.1 million largely attributable to an increase in headcount. Personnel-related costs for the nine months ended September 30, 2026 and 2025 included share-based compensation of $7.2 million and $4.9 million,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$190.4 million for the nine months ended September 30, 2026, compared to $139.5 million for the nine months ended September 30, 2025. The increase of $50.9 million was primarily due to an increase of $28.0 million in personnel-related costs largely attributable to an increase in headcount and an increase in sales and marketing costs of $16.7 million largely attributable to promotional activities, including our direct-to-consumer advertising campaign. Personnel-related costs for the nine months ended September 30, 2026 and 2025 included share-based compensation of $26.0 million and $20.3 million,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$12.2 million and $8.1 million for the nine months ended September 30, 2026 and September 30, 2025, respectively. The year-over-year increase was driven primarily by higher interest income generated by increased average holdings of cash, cash equivalents, and short-term investments.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recorded an income tax provision of $27.5 million and $20.8 million for the nine months ended</w:t>
      </w:r>
    </w:p>
    <w:p>
      <w:pPr>
        <w:spacing w:after="0" w:line="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September 30, 2026 and September 30, 2025, respectively. The provision for income taxes was driven primarily by income earned in Switzerland, UK and the United States as well as uncertain tax positions offset in part by tax benefits related to share-based compensation, R&amp;D Credits and FDII deduction. The increase in the provision for income taxes was driven primarily by an increase in taxable income partially offset by an increase in the tax benefits related to share-based compensation.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our principal source of liquidity was cash, cash equivalents and short-term investments, which totaled $568.8 million. Net income was $95.4 million and $44.8 million for the nine months ended September 30, 2026 and 2025, respectively. We expect our cash balance and our expected cash inflows from operations to allow us to meet our current operating plan.</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Under various agreements with third parties, we have agreed to make milestone payments, pay royalties, pay annual maintenance fees and to meet due diligence requirements, each based upon specified events. Pursuant to the Regeneron Agreement, we have entered into a supply agreement with Regeneron to purchase both clinical and commercial product. We have committed to minimum payments to Regeneron of $26.6 million, all of which are due within one year. We have entered into lease agreements for office and laboratory space, and vehicles, with total future lease payments of $8.4 million, $4.3 million of which are due within one year. We are also party to a Master Services Agreement and a Product Specific Agreement with Samsung related to the manufacture of ARCALYST drug substance. Our commitments under such agreements, which include the purchase of raw materials and related service fees, obligate us to minimum payments of $179.1 million, $41.1 million of which are due within one year. We have additionally entered into agreements with several CDMOs to provide us with preclinical and clinical trial materials for our non-ARCALYST assets, which obligate us to minimum payments of $10.0 million all of which are due within one year. We have long-term incentive plans for our employees that may result in cash award payments of $24.6 million, based upon the achievement of certain regulatory milestones, none of which are expected to be achieved in the next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Under various agreements with third parties, we are entitled to receive upfront payments, milestone payments, and royalties, each based upon specified milestones. In 2025, we received a $20.0 million milestone payment related to Huadong’s achievement of a regulatory milestone under the Huadong Collaboration Agreement, $10.0 million of which was paid to Regeneron in 2025 as part of the Regeneron Agreement.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agreements impact our short-term and long-term liquidity and capital needs.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86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0" w:type="dxa"/>
            <w:vAlign w:val="bottom"/>
          </w:tcPr>
          <w:p>
            <w:pPr>
              <w:spacing w:after="0"/>
              <w:rPr>
                <w:sz w:val="1"/>
                <w:szCs w:val="1"/>
                <w:color w:val="auto"/>
              </w:rPr>
            </w:pPr>
          </w:p>
        </w:tc>
      </w:tr>
      <w:tr>
        <w:trPr>
          <w:trHeight w:val="210"/>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(83,936)</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provided by operations was $144.9 million and $84.1 million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 respectively. The increase in cash provided by operating activities is primarily due to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net contribution from higher ARCALYST sales.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19" w:firstLine="648"/>
        <w:spacing w:after="0" w:line="263" w:lineRule="auto"/>
        <w:rPr>
          <w:sz w:val="20"/>
          <w:szCs w:val="20"/>
          <w:color w:val="auto"/>
        </w:rPr>
      </w:pPr>
      <w:r>
        <w:rPr>
          <w:rFonts w:ascii="Times New Roman" w:cs="Times New Roman" w:eastAsia="Times New Roman" w:hAnsi="Times New Roman"/>
          <w:sz w:val="18"/>
          <w:szCs w:val="18"/>
          <w:color w:val="auto"/>
        </w:rPr>
        <w:t>Net cash used in investing activities was $244.1 million and $118.2 million for the nine months ended September 30, 2026 and 2025, respectively. The increase in net cash used in investing activities was driven by managing our cash and short-term investment portfolio mix as we deployed higher levels of cash into Treasury Securities with longer terms.</w:t>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net cash provided by financing activities was $15.2 million and $25.4 million, respectively, consisting of proceeds from the exercise of share options offset by payments in connection with ordinary shares tendered for employee tax obligations.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We expect to incur significant expenses in connection with our ongoing and planned activities as we continue to commercialize ARCALYST and advance our current and future product candidates through preclinical and clinical development, seek regulatory approval and commercialize one or more of our current or future product candidates, if approved. We may also incur expenses in connection with collaboration, licensing or other strategic transactions. Further, we may incur expenses related to milestone, royalty and other payments payable to third parties with whom we have entered into license, acquisition and other similar agreements to acquire the rights to our product candidates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will enable us to fund our operating expenses and capital expenditure requirements for at least the next 12 months. The future viability of our company is dependent on our ability to fund our operations through sales of ARCALYST and/or raise additional capital, such as through debt or equity offerings, as needed. We anticipate that we may require additional capital if we choose to pursue collaboration, licensing or other strategic transactions. We expect to continue to incur significant expenses related to product manufacturing, sales, marketing and distribution of ARCALYST. In addition, if we obtain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approval for any of our current or future product candidates, pursue additional indications or additional territories for our products or any of our current or future product candidates, we expect to incur significant expenses related to product development and manufacturing, sales, marketing and distribution, depending on where we choose to commercialize.</w:t>
      </w:r>
    </w:p>
    <w:p>
      <w:pPr>
        <w:spacing w:after="0" w:line="15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products, we are unable to estimate the exact amount of our working capital requirements. Our future funding requirements may be impacted by a number of factors, including those described in Part I, Item 1A of the Annual Report, as updated by any information appearing in Part II, Item 1A of any of our subsequent Quarterly Reports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Annual Report and the notes to the consolidated financial statements included in Item 1, “Financial Statements (Unaudited)” included in this Quarterly Report. We believe that of our critical accounting policies, the following accounting policies involve the most judgment and complexity:</w:t>
      </w:r>
    </w:p>
    <w:p>
      <w:pPr>
        <w:spacing w:after="0" w:line="183"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research and development expenses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realizability of deferred tax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related to our short-term investments. There were no material changes to our quantitative and qualitative disclosures about market risk related to our investment activities during the nine months ended September 30, 2026 as disclosed in “Item 7A. Quantitative and Qualitative Disclosures About Market Risks” of the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Securities Exchange Act of 1934, as amended (the “Exchange Act”)). Based on that evaluation, our principal executive officer and principal financial officer concluded that our disclosure controls and procedures were effective at the reasonable assurance level as of September 30,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the three months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262626"/>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information discussed elsewhere in this Quarterly Report, you should carefully review and consider the risk factors disclosed in Part I, Item 1A of the Annual Report, as updated by any information appearing in Part II, Item 1A of any of our subsequent Quarterly Reports on Form 10-Q. These risks could materially and adversely affect our business, results of operations, financial condition and prospects. The risks and uncertainties described therein are not the only ones we face. Additional risks and uncertainties not currently known to us or that we deem immaterial also may impair our business, results of operations, financial condition and prospects.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3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shows the “Rule 10b5-1 trading arrangements” or “non-Rule 10b5-1 trading arrangements” (as such terms are defined under Item 408 of Regulation S-K) adopted, amended or terminated by our directors and officers during the three months ended September 30, 2026:</w:t>
      </w:r>
    </w:p>
    <w:p>
      <w:pPr>
        <w:spacing w:after="0" w:line="1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Trading</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22860</wp:posOffset>
            </wp:positionV>
            <wp:extent cx="8915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Scheduled</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Maximum Shares</w:t>
            </w:r>
          </w:p>
        </w:tc>
      </w:tr>
      <w:tr>
        <w:trPr>
          <w:trHeight w:val="208"/>
        </w:trPr>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Effective</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 of</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Subject to</w:t>
            </w:r>
          </w:p>
        </w:tc>
      </w:tr>
      <w:tr>
        <w:trPr>
          <w:trHeight w:val="269"/>
        </w:trPr>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3"/>
                <w:szCs w:val="23"/>
                <w:color w:val="auto"/>
              </w:rPr>
            </w:pPr>
          </w:p>
        </w:tc>
        <w:tc>
          <w:tcPr>
            <w:tcW w:w="12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Action</w:t>
            </w:r>
          </w:p>
        </w:tc>
        <w:tc>
          <w:tcPr>
            <w:tcW w:w="18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00" w:type="dxa"/>
            <w:vAlign w:val="bottom"/>
          </w:tcPr>
          <w:p>
            <w:pPr>
              <w:spacing w:after="0"/>
              <w:rPr>
                <w:sz w:val="23"/>
                <w:szCs w:val="2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10b5-1</w:t>
            </w:r>
          </w:p>
        </w:tc>
        <w:tc>
          <w:tcPr>
            <w:tcW w:w="200" w:type="dxa"/>
            <w:vAlign w:val="bottom"/>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10b5-1</w:t>
            </w:r>
          </w:p>
        </w:tc>
        <w:tc>
          <w:tcPr>
            <w:tcW w:w="180" w:type="dxa"/>
            <w:vAlign w:val="bottom"/>
          </w:tcPr>
          <w:p>
            <w:pPr>
              <w:spacing w:after="0"/>
              <w:rPr>
                <w:sz w:val="23"/>
                <w:szCs w:val="23"/>
                <w:color w:val="auto"/>
              </w:rPr>
            </w:pPr>
          </w:p>
        </w:tc>
        <w:tc>
          <w:tcPr>
            <w:tcW w:w="14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4"/>
              </w:rPr>
              <w:t>Trading Plan</w:t>
            </w:r>
            <w:r>
              <w:rPr>
                <w:rFonts w:ascii="Times New Roman" w:cs="Times New Roman" w:eastAsia="Times New Roman" w:hAnsi="Times New Roman"/>
                <w:sz w:val="26"/>
                <w:szCs w:val="26"/>
                <w:color w:val="auto"/>
                <w:w w:val="94"/>
                <w:vertAlign w:val="superscript"/>
              </w:rPr>
              <w:t>(1)</w:t>
            </w:r>
          </w:p>
        </w:tc>
        <w:tc>
          <w:tcPr>
            <w:tcW w:w="20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Plan</w:t>
            </w:r>
          </w:p>
        </w:tc>
      </w:tr>
      <w:tr>
        <w:trPr>
          <w:trHeight w:val="39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Ross</w:t>
            </w:r>
          </w:p>
        </w:tc>
        <w:tc>
          <w:tcPr>
            <w:tcW w:w="1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EVP, Chief</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w:t>
            </w:r>
          </w:p>
        </w:tc>
        <w:tc>
          <w:tcPr>
            <w:tcW w:w="2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2027</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117,286</w:t>
            </w:r>
            <w:r>
              <w:rPr>
                <w:rFonts w:ascii="Times New Roman" w:cs="Times New Roman" w:eastAsia="Times New Roman" w:hAnsi="Times New Roman"/>
                <w:sz w:val="26"/>
                <w:szCs w:val="26"/>
                <w:color w:val="auto"/>
                <w:vertAlign w:val="superscript"/>
              </w:rPr>
              <w:t>(2)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Moat</w:t>
            </w:r>
          </w:p>
        </w:tc>
        <w:tc>
          <w:tcPr>
            <w:tcW w:w="1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John F.</w:t>
            </w:r>
          </w:p>
        </w:tc>
        <w:tc>
          <w:tcPr>
            <w:tcW w:w="1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EVP, Chief</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w:t>
            </w:r>
          </w:p>
        </w:tc>
        <w:tc>
          <w:tcPr>
            <w:tcW w:w="2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31, 2027</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193,405</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Paolini</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Medical Officer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Mark</w:t>
            </w:r>
          </w:p>
        </w:tc>
        <w:tc>
          <w:tcPr>
            <w:tcW w:w="1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EVP, Chief</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8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w:t>
            </w:r>
          </w:p>
        </w:tc>
        <w:tc>
          <w:tcPr>
            <w:tcW w:w="2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2027</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84,128</w:t>
            </w:r>
            <w:r>
              <w:rPr>
                <w:rFonts w:ascii="Times New Roman" w:cs="Times New Roman" w:eastAsia="Times New Roman" w:hAnsi="Times New Roman"/>
                <w:sz w:val="26"/>
                <w:szCs w:val="26"/>
                <w:color w:val="auto"/>
                <w:vertAlign w:val="superscript"/>
              </w:rPr>
              <w:t>(2)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Ragosa</w:t>
            </w:r>
          </w:p>
        </w:tc>
        <w:tc>
          <w:tcPr>
            <w:tcW w:w="1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2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Michael</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SVP, Chief</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30,</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October 28, 2027</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1"/>
              </w:rPr>
              <w:t>103,650</w:t>
            </w:r>
            <w:r>
              <w:rPr>
                <w:rFonts w:ascii="Times New Roman" w:cs="Times New Roman" w:eastAsia="Times New Roman" w:hAnsi="Times New Roman"/>
                <w:sz w:val="26"/>
                <w:szCs w:val="26"/>
                <w:color w:val="auto"/>
                <w:w w:val="91"/>
                <w:vertAlign w:val="superscript"/>
              </w:rPr>
              <w:t>(2)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Megna</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w:t>
            </w:r>
          </w:p>
        </w:tc>
        <w:tc>
          <w:tcPr>
            <w:tcW w:w="9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Sanj K.</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and</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30,</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553,794</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Patel</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CEO</w:t>
            </w:r>
          </w:p>
        </w:tc>
        <w:tc>
          <w:tcPr>
            <w:tcW w:w="98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20"/>
                <w:szCs w:val="20"/>
                <w:color w:val="auto"/>
              </w:rPr>
            </w:pPr>
          </w:p>
        </w:tc>
        <w:tc>
          <w:tcPr>
            <w:tcW w:w="2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20"/>
                <w:szCs w:val="20"/>
                <w:color w:val="auto"/>
              </w:rPr>
            </w:pP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Richard</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w:t>
            </w: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25,</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2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March 8, 2028</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37,965</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Levy</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98" w:lineRule="exact"/>
        <w:rPr>
          <w:sz w:val="20"/>
          <w:szCs w:val="20"/>
          <w:color w:val="auto"/>
        </w:rPr>
      </w:pPr>
    </w:p>
    <w:p>
      <w:pPr>
        <w:ind w:left="440" w:right="239" w:hanging="322"/>
        <w:spacing w:after="0" w:line="257"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trading arrangement may expire on an earlier date if all contemplated transactions are completed before such trading arrangement’s expiration date, upon termination by the broker or the holder of the trading arrangement or as otherwise provided in the trading arrangement.</w:t>
      </w:r>
    </w:p>
    <w:p>
      <w:pPr>
        <w:spacing w:after="0" w:line="1" w:lineRule="exact"/>
        <w:rPr>
          <w:rFonts w:ascii="Times New Roman" w:cs="Times New Roman" w:eastAsia="Times New Roman" w:hAnsi="Times New Roman"/>
          <w:sz w:val="18"/>
          <w:szCs w:val="18"/>
          <w:color w:val="auto"/>
        </w:rPr>
      </w:pPr>
    </w:p>
    <w:p>
      <w:pPr>
        <w:ind w:left="440" w:right="359" w:hanging="322"/>
        <w:spacing w:after="0" w:line="260"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Class A ordinary shares to be received upon the vesting of outstanding RSUs. The final amount of shares available for sale will be lower due to our net vesting policy for employee RSUs.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54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4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Form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40" w:type="dxa"/>
            <w:vAlign w:val="bottom"/>
            <w:gridSpan w:val="5"/>
            <w:vMerge w:val="continue"/>
          </w:tcPr>
          <w:p>
            <w:pPr>
              <w:spacing w:after="0"/>
              <w:rPr>
                <w:sz w:val="15"/>
                <w:szCs w:val="15"/>
                <w:color w:val="auto"/>
              </w:rPr>
            </w:pPr>
          </w:p>
        </w:tc>
        <w:tc>
          <w:tcPr>
            <w:tcW w:w="2640" w:type="dxa"/>
            <w:vAlign w:val="bottom"/>
            <w:gridSpan w:val="11"/>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File No.   ​​​Exhibit ​​​   Date</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40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0000EE"/>
                <w:w w:val="99"/>
              </w:rPr>
              <w:t>First Amendment to Product Specific Agreement, dated</w:t>
            </w: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as of August 13, 2025, by and between Kiniksa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Pharmaceuticals (UK), Ltd. and Samsung Biologics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Co., Ltd.</w:t>
            </w:r>
          </w:p>
        </w:tc>
        <w:tc>
          <w:tcPr>
            <w:tcW w:w="740" w:type="dxa"/>
            <w:vAlign w:val="bottom"/>
            <w:tcBorders>
              <w:top w:val="single" w:sz="8" w:color="0000EE"/>
            </w:tcBorders>
            <w:gridSpan w:val="3"/>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3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Second Amendment to Product Specific Agreement,</w:t>
            </w:r>
          </w:p>
        </w:tc>
        <w:tc>
          <w:tcPr>
            <w:tcW w:w="2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dated as of September 22, 2026, by and between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Kiniksa Pharmaceuticals (UK), Ltd. and Samsung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Biologics Co., Ltd.</w:t>
            </w:r>
          </w:p>
        </w:tc>
        <w:tc>
          <w:tcPr>
            <w:tcW w:w="1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Insider Trading Compliance Program</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 / 15d-14(a) Certification of Chief</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w:t>
            </w:r>
          </w:p>
        </w:tc>
        <w:tc>
          <w:tcPr>
            <w:tcW w:w="1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 / 15d-14(a) Certification of Chief</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c>
          <w:tcPr>
            <w:tcW w:w="13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3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Chief Executive Officer</w:t>
            </w:r>
          </w:p>
        </w:tc>
        <w:tc>
          <w:tcPr>
            <w:tcW w:w="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of Chief Financial Officer</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38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2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3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3080" w:type="dxa"/>
            <w:vAlign w:val="bottom"/>
            <w:gridSpan w:val="8"/>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Form  ​​​  File No.   ​​​Exhibit ​​​   Date</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191"/>
        </w:trPr>
        <w:tc>
          <w:tcPr>
            <w:tcW w:w="8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6"/>
                <w:szCs w:val="16"/>
                <w:color w:val="auto"/>
              </w:rPr>
            </w:pPr>
          </w:p>
        </w:tc>
        <w:tc>
          <w:tcPr>
            <w:tcW w:w="40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and contained in Exhibit 101) - The cover page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interactive data file does not appear in the Interactive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141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7"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9"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Portions of the exhibit have been redacted in compliance with Regulation S-K Item 601(b)(10)(iv)</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4"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KINIKSA PHARMACEUTICALS INTERNATIONAL, PLC</w:t>
      </w:r>
    </w:p>
    <w:p>
      <w:pPr>
        <w:spacing w:after="0" w:line="229" w:lineRule="exact"/>
        <w:rPr>
          <w:sz w:val="20"/>
          <w:szCs w:val="20"/>
          <w:color w:val="auto"/>
        </w:rPr>
      </w:pPr>
    </w:p>
    <w:p>
      <w:pPr>
        <w:ind w:left="60"/>
        <w:spacing w:after="0"/>
        <w:tabs>
          <w:tab w:leader="none" w:pos="390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By:/s/ Mark Ragosa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wp:posOffset>
            </wp:positionV>
            <wp:extent cx="30175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Mark Ragosa</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SAMSUNG BIOLOGICS CO., LTD.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PRODUCT SPECIFIC AGREEMENT – ARCALYST DRUG SUBSTANCE</w:t>
      </w:r>
    </w:p>
    <w:p>
      <w:pPr>
        <w:spacing w:after="0" w:line="200" w:lineRule="exact"/>
        <w:rPr>
          <w:sz w:val="20"/>
          <w:szCs w:val="20"/>
          <w:color w:val="auto"/>
        </w:rPr>
      </w:pPr>
    </w:p>
    <w:p>
      <w:pPr>
        <w:spacing w:after="0" w:line="30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THIS AMENDMENT NO. 1 TO PRODUCT SPECIFIC AGREEMENT - ARCALYST DRUG SUBSTANCE (this “</w:t>
      </w:r>
      <w:r>
        <w:rPr>
          <w:rFonts w:ascii="Times New Roman" w:cs="Times New Roman" w:eastAsia="Times New Roman" w:hAnsi="Times New Roman"/>
          <w:sz w:val="20"/>
          <w:szCs w:val="20"/>
          <w:b w:val="1"/>
          <w:bCs w:val="1"/>
          <w:color w:val="auto"/>
        </w:rPr>
        <w:t>AMENDMENT NO. 1</w:t>
      </w:r>
      <w:r>
        <w:rPr>
          <w:rFonts w:ascii="Times New Roman" w:cs="Times New Roman" w:eastAsia="Times New Roman" w:hAnsi="Times New Roman"/>
          <w:sz w:val="20"/>
          <w:szCs w:val="20"/>
          <w:color w:val="auto"/>
        </w:rPr>
        <w:t>”) is made effective as of August 18, 2025 (the “</w:t>
      </w:r>
      <w:r>
        <w:rPr>
          <w:rFonts w:ascii="Times New Roman" w:cs="Times New Roman" w:eastAsia="Times New Roman" w:hAnsi="Times New Roman"/>
          <w:sz w:val="20"/>
          <w:szCs w:val="20"/>
          <w:b w:val="1"/>
          <w:bCs w:val="1"/>
          <w:color w:val="auto"/>
        </w:rPr>
        <w:t>AMENDMENT NO. 1 Effective Date</w:t>
      </w:r>
      <w:r>
        <w:rPr>
          <w:rFonts w:ascii="Times New Roman" w:cs="Times New Roman" w:eastAsia="Times New Roman" w:hAnsi="Times New Roman"/>
          <w:sz w:val="20"/>
          <w:szCs w:val="20"/>
          <w:color w:val="auto"/>
        </w:rPr>
        <w:t>”) by and between Kiniksa Pharmaceuticals (UK), Ltd., a private company organized under the laws of England and Wales with a Swiss branch office located at Grafenaustrasse 5, 6300 Zug, Switzerland (“</w:t>
      </w:r>
      <w:r>
        <w:rPr>
          <w:rFonts w:ascii="Times New Roman" w:cs="Times New Roman" w:eastAsia="Times New Roman" w:hAnsi="Times New Roman"/>
          <w:sz w:val="20"/>
          <w:szCs w:val="20"/>
          <w:b w:val="1"/>
          <w:bCs w:val="1"/>
          <w:color w:val="auto"/>
        </w:rPr>
        <w:t>Client</w:t>
      </w:r>
      <w:r>
        <w:rPr>
          <w:rFonts w:ascii="Times New Roman" w:cs="Times New Roman" w:eastAsia="Times New Roman" w:hAnsi="Times New Roman"/>
          <w:sz w:val="20"/>
          <w:szCs w:val="20"/>
          <w:color w:val="auto"/>
        </w:rPr>
        <w:t>”), and Samsung Biologics Co., Ltd., a Korean corporation having its principal place of business at 300, Songdo bio-daero, Yeonsu-gu, Incheon, 21987, Republic of Korea (“</w:t>
      </w:r>
      <w:r>
        <w:rPr>
          <w:rFonts w:ascii="Times New Roman" w:cs="Times New Roman" w:eastAsia="Times New Roman" w:hAnsi="Times New Roman"/>
          <w:sz w:val="20"/>
          <w:szCs w:val="20"/>
          <w:b w:val="1"/>
          <w:bCs w:val="1"/>
          <w:color w:val="auto"/>
        </w:rPr>
        <w:t>SBL</w:t>
      </w:r>
      <w:r>
        <w:rPr>
          <w:rFonts w:ascii="Times New Roman" w:cs="Times New Roman" w:eastAsia="Times New Roman" w:hAnsi="Times New Roman"/>
          <w:sz w:val="20"/>
          <w:szCs w:val="20"/>
          <w:color w:val="auto"/>
        </w:rPr>
        <w:t>”). Client and SBL are sometimes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SBL entered into the Master Services Agreement effective as of June 21, 2024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MSA</w:t>
      </w:r>
      <w:r>
        <w:rPr>
          <w:rFonts w:ascii="Times New Roman" w:cs="Times New Roman" w:eastAsia="Times New Roman" w:hAnsi="Times New Roman"/>
          <w:sz w:val="20"/>
          <w:szCs w:val="20"/>
          <w:color w:val="auto"/>
        </w:rPr>
        <w:t>”); and</w:t>
      </w:r>
    </w:p>
    <w:p>
      <w:pPr>
        <w:spacing w:after="0" w:line="20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SBL entered into the Product Specific Agreement for ARCALYST Drug Substance,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June 21, 2024 (the “</w:t>
      </w:r>
      <w:r>
        <w:rPr>
          <w:rFonts w:ascii="Times New Roman" w:cs="Times New Roman" w:eastAsia="Times New Roman" w:hAnsi="Times New Roman"/>
          <w:sz w:val="20"/>
          <w:szCs w:val="20"/>
          <w:b w:val="1"/>
          <w:bCs w:val="1"/>
          <w:color w:val="auto"/>
        </w:rPr>
        <w:t>PSA</w:t>
      </w:r>
      <w:r>
        <w:rPr>
          <w:rFonts w:ascii="Times New Roman" w:cs="Times New Roman" w:eastAsia="Times New Roman" w:hAnsi="Times New Roman"/>
          <w:sz w:val="20"/>
          <w:szCs w:val="20"/>
          <w:color w:val="auto"/>
        </w:rPr>
        <w:t>”); 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SBL now desire to enter into this Amendment No.1 to amend certain aspects of the PSA.</w:t>
      </w:r>
    </w:p>
    <w:p>
      <w:pPr>
        <w:spacing w:after="0" w:line="297" w:lineRule="exact"/>
        <w:rPr>
          <w:sz w:val="20"/>
          <w:szCs w:val="20"/>
          <w:color w:val="auto"/>
        </w:rPr>
      </w:pPr>
    </w:p>
    <w:p>
      <w:pPr>
        <w:ind w:right="600"/>
        <w:spacing w:after="0" w:line="32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premises and the mutual covenants and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hereinafter set forth, and intending to be legally bound hereby, the Parties hereto agree as follows:</w:t>
      </w:r>
    </w:p>
    <w:p>
      <w:pPr>
        <w:spacing w:after="0" w:line="200" w:lineRule="exact"/>
        <w:rPr>
          <w:sz w:val="20"/>
          <w:szCs w:val="20"/>
          <w:color w:val="auto"/>
        </w:rPr>
      </w:pPr>
    </w:p>
    <w:p>
      <w:pPr>
        <w:spacing w:after="0" w:line="258" w:lineRule="exact"/>
        <w:rPr>
          <w:sz w:val="20"/>
          <w:szCs w:val="20"/>
          <w:color w:val="auto"/>
        </w:rPr>
      </w:pPr>
    </w:p>
    <w:p>
      <w:pPr>
        <w:ind w:left="380" w:hanging="377"/>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ind w:left="1000" w:hanging="322"/>
        <w:spacing w:after="0" w:line="269" w:lineRule="auto"/>
        <w:tabs>
          <w:tab w:leader="none" w:pos="10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but not otherwise defined in this AMENDMENT NO. 1 shall have the same meanings ascribed to them in the MSA and the PSA.</w:t>
      </w:r>
    </w:p>
    <w:p>
      <w:pPr>
        <w:spacing w:after="0" w:line="375" w:lineRule="exact"/>
        <w:rPr>
          <w:rFonts w:ascii="Times New Roman" w:cs="Times New Roman" w:eastAsia="Times New Roman" w:hAnsi="Times New Roman"/>
          <w:sz w:val="20"/>
          <w:szCs w:val="20"/>
          <w:color w:val="auto"/>
        </w:rPr>
      </w:pPr>
    </w:p>
    <w:p>
      <w:pPr>
        <w:jc w:val="both"/>
        <w:ind w:left="1000" w:hanging="322"/>
        <w:spacing w:after="0" w:line="253" w:lineRule="auto"/>
        <w:tabs>
          <w:tab w:leader="none" w:pos="10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from the AMENDMENT NO. 1 Effective Date, all references in the PSA to </w:t>
      </w:r>
      <w:r>
        <w:rPr>
          <w:rFonts w:ascii="Arial" w:cs="Arial" w:eastAsia="Arial" w:hAnsi="Arial"/>
          <w:sz w:val="20"/>
          <w:szCs w:val="20"/>
          <w:color w:val="auto"/>
        </w:rPr>
        <w:t>“</w:t>
      </w:r>
      <w:r>
        <w:rPr>
          <w:rFonts w:ascii="Times New Roman" w:cs="Times New Roman" w:eastAsia="Times New Roman" w:hAnsi="Times New Roman"/>
          <w:sz w:val="20"/>
          <w:szCs w:val="20"/>
          <w:color w:val="auto"/>
        </w:rPr>
        <w:t>this PSA</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all references to the ARCALYST Drug Substance PSA contained in any other documents, including but not limited to the MSA and any Decision Memo entered into by and between the Parties, shall be construed to refer to the PSA as amended by this AMENDMENT NO. 1.</w:t>
      </w:r>
    </w:p>
    <w:p>
      <w:pPr>
        <w:spacing w:after="0" w:line="271" w:lineRule="exact"/>
        <w:rPr>
          <w:rFonts w:ascii="Times New Roman" w:cs="Times New Roman" w:eastAsia="Times New Roman" w:hAnsi="Times New Roman"/>
          <w:sz w:val="20"/>
          <w:szCs w:val="20"/>
          <w:color w:val="auto"/>
        </w:rPr>
      </w:pPr>
    </w:p>
    <w:p>
      <w:pPr>
        <w:ind w:left="380" w:hanging="377"/>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Additional Term from Exhibit C and Exhibit D.</w:t>
      </w:r>
    </w:p>
    <w:p>
      <w:pPr>
        <w:spacing w:after="0" w:line="269" w:lineRule="exact"/>
        <w:rPr>
          <w:rFonts w:ascii="Times New Roman" w:cs="Times New Roman" w:eastAsia="Times New Roman" w:hAnsi="Times New Roman"/>
          <w:sz w:val="20"/>
          <w:szCs w:val="20"/>
          <w:color w:val="auto"/>
        </w:rPr>
      </w:pPr>
    </w:p>
    <w:p>
      <w:pPr>
        <w:ind w:left="1000" w:hanging="322"/>
        <w:spacing w:after="0"/>
        <w:tabs>
          <w:tab w:leader="none" w:pos="10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PSA is hereby amended to incorporate the following additional terms:</w:t>
      </w:r>
    </w:p>
    <w:p>
      <w:pPr>
        <w:spacing w:after="0" w:line="291" w:lineRule="exact"/>
        <w:rPr>
          <w:rFonts w:ascii="Times New Roman" w:cs="Times New Roman" w:eastAsia="Times New Roman" w:hAnsi="Times New Roman"/>
          <w:sz w:val="20"/>
          <w:szCs w:val="20"/>
          <w:color w:val="auto"/>
        </w:rPr>
      </w:pPr>
    </w:p>
    <w:p>
      <w:pPr>
        <w:jc w:val="both"/>
        <w:ind w:left="1440" w:right="80" w:hanging="357"/>
        <w:spacing w:after="0" w:line="296" w:lineRule="auto"/>
        <w:tabs>
          <w:tab w:leader="none" w:pos="144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 set forth in Annex A (which shall be deemed an addition to Exhibit C) are hereby incorporated into and made part of Exhibit C to the PSA. For clarity, Exhibit C of the PSA is hereby amended by replacing the current title, </w:t>
      </w:r>
      <w:r>
        <w:rPr>
          <w:rFonts w:ascii="Arial" w:cs="Arial" w:eastAsia="Arial" w:hAnsi="Arial"/>
          <w:sz w:val="22"/>
          <w:szCs w:val="22"/>
          <w:color w:val="auto"/>
        </w:rPr>
        <w:t>“</w:t>
      </w: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584644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6445" cy="26035"/>
                    </a:xfrm>
                    <a:prstGeom prst="rect">
                      <a:avLst/>
                    </a:prstGeom>
                    <a:noFill/>
                  </pic:spPr>
                </pic:pic>
              </a:graphicData>
            </a:graphic>
          </wp:anchor>
        </w:drawing>
      </w:r>
    </w:p>
    <w:p>
      <w:pPr>
        <w:sectPr>
          <w:pgSz w:w="11900" w:h="16838" w:orient="portrait"/>
          <w:cols w:equalWidth="0" w:num="1">
            <w:col w:w="9200"/>
          </w:cols>
          <w:pgMar w:left="1340" w:top="122" w:right="1359" w:bottom="1440" w:gutter="0" w:footer="0" w:header="0"/>
        </w:sectPr>
      </w:pPr>
    </w:p>
    <w:bookmarkStart w:id="40" w:name="page41"/>
    <w:bookmarkEnd w:id="40"/>
    <w:p>
      <w:pPr>
        <w:ind w:left="1440" w:right="80"/>
        <w:spacing w:after="0" w:line="309" w:lineRule="auto"/>
        <w:rPr>
          <w:sz w:val="20"/>
          <w:szCs w:val="20"/>
          <w:color w:val="auto"/>
        </w:rPr>
      </w:pPr>
      <w:r>
        <w:rPr>
          <w:rFonts w:ascii="Times New Roman" w:cs="Times New Roman" w:eastAsia="Times New Roman" w:hAnsi="Times New Roman"/>
          <w:sz w:val="22"/>
          <w:szCs w:val="22"/>
          <w:color w:val="auto"/>
        </w:rPr>
        <w:t>Service Fees,</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with </w:t>
      </w:r>
      <w:r>
        <w:rPr>
          <w:rFonts w:ascii="Arial" w:cs="Arial" w:eastAsia="Arial" w:hAnsi="Arial"/>
          <w:sz w:val="22"/>
          <w:szCs w:val="22"/>
          <w:color w:val="auto"/>
        </w:rPr>
        <w:t>“</w:t>
      </w:r>
      <w:r>
        <w:rPr>
          <w:rFonts w:ascii="Times New Roman" w:cs="Times New Roman" w:eastAsia="Times New Roman" w:hAnsi="Times New Roman"/>
          <w:sz w:val="22"/>
          <w:szCs w:val="22"/>
          <w:color w:val="auto"/>
        </w:rPr>
        <w:t>Exhibit C: Service Fees and EQUIPMENT INVESTMENT,</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and all references in the PSA to </w:t>
      </w:r>
      <w:r>
        <w:rPr>
          <w:rFonts w:ascii="Arial" w:cs="Arial" w:eastAsia="Arial" w:hAnsi="Arial"/>
          <w:sz w:val="22"/>
          <w:szCs w:val="22"/>
          <w:color w:val="auto"/>
        </w:rPr>
        <w:t>“</w:t>
      </w:r>
      <w:r>
        <w:rPr>
          <w:rFonts w:ascii="Times New Roman" w:cs="Times New Roman" w:eastAsia="Times New Roman" w:hAnsi="Times New Roman"/>
          <w:sz w:val="22"/>
          <w:szCs w:val="22"/>
          <w:color w:val="auto"/>
        </w:rPr>
        <w:t>Exhibit C</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shall be deemed to refer to the same.</w:t>
      </w:r>
    </w:p>
    <w:p>
      <w:pPr>
        <w:spacing w:after="0" w:line="237" w:lineRule="exact"/>
        <w:rPr>
          <w:sz w:val="20"/>
          <w:szCs w:val="20"/>
          <w:color w:val="auto"/>
        </w:rPr>
      </w:pPr>
    </w:p>
    <w:p>
      <w:pPr>
        <w:ind w:left="1440" w:right="120" w:hanging="357"/>
        <w:spacing w:after="0" w:line="309" w:lineRule="auto"/>
        <w:tabs>
          <w:tab w:leader="none" w:pos="14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set forth in Annex B (which shall be deemed an addition to Exhibit D) are hereby incorporated into and made part of Exhibit D to the PSA.</w:t>
      </w:r>
    </w:p>
    <w:p>
      <w:pPr>
        <w:spacing w:after="0" w:line="190" w:lineRule="exact"/>
        <w:rPr>
          <w:rFonts w:ascii="Times New Roman" w:cs="Times New Roman" w:eastAsia="Times New Roman" w:hAnsi="Times New Roman"/>
          <w:sz w:val="22"/>
          <w:szCs w:val="22"/>
          <w:color w:val="auto"/>
        </w:rPr>
      </w:pPr>
    </w:p>
    <w:p>
      <w:pPr>
        <w:jc w:val="both"/>
        <w:ind w:left="380" w:hanging="377"/>
        <w:spacing w:after="0" w:line="258"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Effect of the PSA.</w:t>
      </w:r>
      <w:r>
        <w:rPr>
          <w:rFonts w:ascii="Times New Roman" w:cs="Times New Roman" w:eastAsia="Times New Roman" w:hAnsi="Times New Roman"/>
          <w:sz w:val="20"/>
          <w:szCs w:val="20"/>
          <w:color w:val="auto"/>
        </w:rPr>
        <w:t xml:space="preserve"> Except as specifically amended by this AMENDMENT NO. 1, the PSA shall continue in full force and effect in accordance with its terms. For clarity, this AMENDMENT NO. 1 and the PSA shall also be governed by and construed in accordance with the laws of the State of New York, United States, without regard to principles of conflict of laws.</w:t>
      </w:r>
    </w:p>
    <w:p>
      <w:pPr>
        <w:spacing w:after="0" w:line="239" w:lineRule="exact"/>
        <w:rPr>
          <w:rFonts w:ascii="Times New Roman" w:cs="Times New Roman" w:eastAsia="Times New Roman" w:hAnsi="Times New Roman"/>
          <w:sz w:val="20"/>
          <w:szCs w:val="20"/>
          <w:color w:val="auto"/>
        </w:rPr>
      </w:pPr>
    </w:p>
    <w:p>
      <w:pPr>
        <w:jc w:val="both"/>
        <w:ind w:left="380" w:hanging="377"/>
        <w:spacing w:after="0" w:line="251"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AMENDMENT NO. 1 may be executed in one or more counterparts, each of which shall be deemed to be an original, and all of which, when taken together, shall be deemed to constitute one and the same instrument. The exchange of copies of this AMENDMENT NO. 1 and signed signature pages by facsimile transmission, e-mail or other electronic means shall constitute effective execution and delivery of this AMENDMENT NO. 1 as to the Parties and such copies exchanged may be used in lieu of the original AMENDMENT NO. 1 for all purposes.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516890</wp:posOffset>
            </wp:positionV>
            <wp:extent cx="584644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6445" cy="25400"/>
                    </a:xfrm>
                    <a:prstGeom prst="rect">
                      <a:avLst/>
                    </a:prstGeom>
                    <a:noFill/>
                  </pic:spPr>
                </pic:pic>
              </a:graphicData>
            </a:graphic>
          </wp:anchor>
        </w:drawing>
      </w:r>
    </w:p>
    <w:p>
      <w:pPr>
        <w:sectPr>
          <w:pgSz w:w="11900" w:h="16838" w:orient="portrait"/>
          <w:cols w:equalWidth="0" w:num="1">
            <w:col w:w="9200"/>
          </w:cols>
          <w:pgMar w:left="1340" w:top="936" w:right="1359" w:bottom="1440" w:gutter="0" w:footer="0" w:header="0"/>
        </w:sectPr>
      </w:pPr>
    </w:p>
    <w:bookmarkStart w:id="41" w:name="page42"/>
    <w:bookmarkEnd w:id="41"/>
    <w:p>
      <w:pPr>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1 as of the AMENDMENT NO. 1 Effective Date.</w:t>
      </w: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SBL</w:t>
            </w:r>
          </w:p>
        </w:tc>
        <w:tc>
          <w:tcPr>
            <w:tcW w:w="34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lient</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1"/>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Samsung Biologics Co., Ltd.</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Kiniksa Pharmaceuticals (UK), Ltd.</w:t>
            </w:r>
          </w:p>
        </w:tc>
        <w:tc>
          <w:tcPr>
            <w:tcW w:w="0" w:type="dxa"/>
            <w:vAlign w:val="bottom"/>
          </w:tcPr>
          <w:p>
            <w:pPr>
              <w:spacing w:after="0"/>
              <w:rPr>
                <w:sz w:val="1"/>
                <w:szCs w:val="1"/>
                <w:color w:val="auto"/>
              </w:rPr>
            </w:pPr>
          </w:p>
        </w:tc>
      </w:tr>
      <w:tr>
        <w:trPr>
          <w:trHeight w:val="62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John Rim</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3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Daniel Palmqvist</w:t>
            </w:r>
          </w:p>
        </w:tc>
        <w:tc>
          <w:tcPr>
            <w:tcW w:w="0" w:type="dxa"/>
            <w:vAlign w:val="bottom"/>
          </w:tcPr>
          <w:p>
            <w:pPr>
              <w:spacing w:after="0"/>
              <w:rPr>
                <w:sz w:val="1"/>
                <w:szCs w:val="1"/>
                <w:color w:val="auto"/>
              </w:rPr>
            </w:pPr>
          </w:p>
        </w:tc>
      </w:tr>
      <w:tr>
        <w:trPr>
          <w:trHeight w:val="89"/>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400" w:type="dxa"/>
            <w:vAlign w:val="bottom"/>
            <w:tcBorders>
              <w:bottom w:val="single" w:sz="8" w:color="auto"/>
            </w:tcBorders>
          </w:tcPr>
          <w:p>
            <w:pPr>
              <w:spacing w:after="0"/>
              <w:rPr>
                <w:sz w:val="7"/>
                <w:szCs w:val="7"/>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3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60" w:type="dxa"/>
            <w:vAlign w:val="bottom"/>
            <w:vMerge w:val="continue"/>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John Rim</w:t>
            </w:r>
          </w:p>
        </w:tc>
        <w:tc>
          <w:tcPr>
            <w:tcW w:w="820" w:type="dxa"/>
            <w:vAlign w:val="bottom"/>
            <w:vMerge w:val="continue"/>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Daniel Palmqvist</w:t>
            </w:r>
          </w:p>
        </w:tc>
        <w:tc>
          <w:tcPr>
            <w:tcW w:w="0" w:type="dxa"/>
            <w:vAlign w:val="bottom"/>
          </w:tcPr>
          <w:p>
            <w:pPr>
              <w:spacing w:after="0"/>
              <w:rPr>
                <w:sz w:val="1"/>
                <w:szCs w:val="1"/>
                <w:color w:val="auto"/>
              </w:rPr>
            </w:pPr>
          </w:p>
        </w:tc>
      </w:tr>
      <w:tr>
        <w:trPr>
          <w:trHeight w:val="75"/>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400" w:type="dxa"/>
            <w:vAlign w:val="bottom"/>
            <w:tcBorders>
              <w:bottom w:val="single" w:sz="8" w:color="auto"/>
            </w:tcBorders>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660" w:type="dxa"/>
            <w:vAlign w:val="bottom"/>
            <w:vMerge w:val="continue"/>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CEO</w:t>
            </w:r>
          </w:p>
        </w:tc>
        <w:tc>
          <w:tcPr>
            <w:tcW w:w="820" w:type="dxa"/>
            <w:vAlign w:val="bottom"/>
            <w:vMerge w:val="continue"/>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Branch Manager of the Swiss branch office</w:t>
            </w:r>
          </w:p>
        </w:tc>
        <w:tc>
          <w:tcPr>
            <w:tcW w:w="0" w:type="dxa"/>
            <w:vAlign w:val="bottom"/>
          </w:tcPr>
          <w:p>
            <w:pPr>
              <w:spacing w:after="0"/>
              <w:rPr>
                <w:sz w:val="1"/>
                <w:szCs w:val="1"/>
                <w:color w:val="auto"/>
              </w:rPr>
            </w:pPr>
          </w:p>
        </w:tc>
      </w:tr>
      <w:tr>
        <w:trPr>
          <w:trHeight w:val="75"/>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w:t>
            </w:r>
          </w:p>
        </w:tc>
        <w:tc>
          <w:tcPr>
            <w:tcW w:w="3400" w:type="dxa"/>
            <w:vAlign w:val="bottom"/>
            <w:tcBorders>
              <w:bottom w:val="single" w:sz="8" w:color="auto"/>
            </w:tcBorders>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3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660" w:type="dxa"/>
            <w:vAlign w:val="bottom"/>
            <w:vMerge w:val="continue"/>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August 19, 2025</w:t>
            </w:r>
          </w:p>
        </w:tc>
        <w:tc>
          <w:tcPr>
            <w:tcW w:w="820" w:type="dxa"/>
            <w:vAlign w:val="bottom"/>
            <w:vMerge w:val="continue"/>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August 13, 2025</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516890</wp:posOffset>
            </wp:positionV>
            <wp:extent cx="58464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ectPr>
          <w:pgSz w:w="11900" w:h="16838" w:orient="portrait"/>
          <w:cols w:equalWidth="0" w:num="1">
            <w:col w:w="9200"/>
          </w:cols>
          <w:pgMar w:left="1340" w:top="913" w:right="1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C: Service Fees and EQUIPMENT INVESTMENT)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882650</wp:posOffset>
            </wp:positionV>
            <wp:extent cx="5452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D: Estimated Timeline &amp; DS Scope of Work (10,000L))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44" w:name="page45"/>
    <w:bookmarkEnd w:id="4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54" w:lineRule="exact"/>
        <w:rPr>
          <w:sz w:val="20"/>
          <w:szCs w:val="20"/>
          <w:color w:val="auto"/>
        </w:rPr>
      </w:pPr>
    </w:p>
    <w:p>
      <w:pPr>
        <w:jc w:val="center"/>
        <w:ind w:left="200" w:right="219"/>
        <w:spacing w:after="0" w:line="383" w:lineRule="auto"/>
        <w:rPr>
          <w:sz w:val="20"/>
          <w:szCs w:val="20"/>
          <w:color w:val="auto"/>
        </w:rPr>
      </w:pPr>
      <w:r>
        <w:rPr>
          <w:rFonts w:ascii="Times New Roman" w:cs="Times New Roman" w:eastAsia="Times New Roman" w:hAnsi="Times New Roman"/>
          <w:sz w:val="20"/>
          <w:szCs w:val="20"/>
          <w:b w:val="1"/>
          <w:bCs w:val="1"/>
          <w:color w:val="auto"/>
        </w:rPr>
        <w:t>SAMSUNG BIOLOGICS CO., LTD. AMENDMENT NO. 2 TO PRODUCT SPECIFIC AGREEMENT – ARCALYST DRUG SUBSTANCE</w:t>
      </w:r>
    </w:p>
    <w:p>
      <w:pPr>
        <w:spacing w:after="0" w:line="347" w:lineRule="exact"/>
        <w:rPr>
          <w:sz w:val="20"/>
          <w:szCs w:val="20"/>
          <w:color w:val="auto"/>
        </w:rPr>
      </w:pPr>
    </w:p>
    <w:p>
      <w:pPr>
        <w:jc w:val="both"/>
        <w:ind w:left="200" w:right="219"/>
        <w:spacing w:after="0" w:line="285" w:lineRule="auto"/>
        <w:rPr>
          <w:sz w:val="20"/>
          <w:szCs w:val="20"/>
          <w:color w:val="auto"/>
        </w:rPr>
      </w:pPr>
      <w:r>
        <w:rPr>
          <w:rFonts w:ascii="Times New Roman" w:cs="Times New Roman" w:eastAsia="Times New Roman" w:hAnsi="Times New Roman"/>
          <w:sz w:val="20"/>
          <w:szCs w:val="20"/>
          <w:color w:val="auto"/>
        </w:rPr>
        <w:t>THIS AMENDMENT NO. 2 TO PRODUCT SPECIFIC AGREEMENT - ARCALYST DRUG SUBSTANCE (this “</w:t>
      </w:r>
      <w:r>
        <w:rPr>
          <w:rFonts w:ascii="Times New Roman" w:cs="Times New Roman" w:eastAsia="Times New Roman" w:hAnsi="Times New Roman"/>
          <w:sz w:val="20"/>
          <w:szCs w:val="20"/>
          <w:b w:val="1"/>
          <w:bCs w:val="1"/>
          <w:color w:val="auto"/>
        </w:rPr>
        <w:t>AMENDMENT NO. 2</w:t>
      </w:r>
      <w:r>
        <w:rPr>
          <w:rFonts w:ascii="Times New Roman" w:cs="Times New Roman" w:eastAsia="Times New Roman" w:hAnsi="Times New Roman"/>
          <w:sz w:val="20"/>
          <w:szCs w:val="20"/>
          <w:color w:val="auto"/>
        </w:rPr>
        <w:t>”) is made effective as of September 22, 2026 (the “</w:t>
      </w:r>
      <w:r>
        <w:rPr>
          <w:rFonts w:ascii="Times New Roman" w:cs="Times New Roman" w:eastAsia="Times New Roman" w:hAnsi="Times New Roman"/>
          <w:sz w:val="20"/>
          <w:szCs w:val="20"/>
          <w:b w:val="1"/>
          <w:bCs w:val="1"/>
          <w:color w:val="auto"/>
        </w:rPr>
        <w:t>AMENDMENT NO. 2 Effective Date</w:t>
      </w:r>
      <w:r>
        <w:rPr>
          <w:rFonts w:ascii="Times New Roman" w:cs="Times New Roman" w:eastAsia="Times New Roman" w:hAnsi="Times New Roman"/>
          <w:sz w:val="20"/>
          <w:szCs w:val="20"/>
          <w:color w:val="auto"/>
        </w:rPr>
        <w:t>”) by and between Kiniksa Pharmaceuticals (UK), Ltd., a private company organized under the laws of England and Wales with a Swiss branch office located at Grafenaustrasse 5, 6300 Zug, Switzerland (“</w:t>
      </w:r>
      <w:r>
        <w:rPr>
          <w:rFonts w:ascii="Times New Roman" w:cs="Times New Roman" w:eastAsia="Times New Roman" w:hAnsi="Times New Roman"/>
          <w:sz w:val="20"/>
          <w:szCs w:val="20"/>
          <w:b w:val="1"/>
          <w:bCs w:val="1"/>
          <w:color w:val="auto"/>
        </w:rPr>
        <w:t>Client</w:t>
      </w:r>
      <w:r>
        <w:rPr>
          <w:rFonts w:ascii="Times New Roman" w:cs="Times New Roman" w:eastAsia="Times New Roman" w:hAnsi="Times New Roman"/>
          <w:sz w:val="20"/>
          <w:szCs w:val="20"/>
          <w:color w:val="auto"/>
        </w:rPr>
        <w:t>”), and Samsung Biologics Co., Ltd., a Korean corporation having its principal place of business at 300, Songdo bio-daero, Yeonsu-gu, Incheon, 21987, Republic of Korea (“</w:t>
      </w:r>
      <w:r>
        <w:rPr>
          <w:rFonts w:ascii="Times New Roman" w:cs="Times New Roman" w:eastAsia="Times New Roman" w:hAnsi="Times New Roman"/>
          <w:sz w:val="20"/>
          <w:szCs w:val="20"/>
          <w:b w:val="1"/>
          <w:bCs w:val="1"/>
          <w:color w:val="auto"/>
        </w:rPr>
        <w:t>SBL</w:t>
      </w:r>
      <w:r>
        <w:rPr>
          <w:rFonts w:ascii="Times New Roman" w:cs="Times New Roman" w:eastAsia="Times New Roman" w:hAnsi="Times New Roman"/>
          <w:sz w:val="20"/>
          <w:szCs w:val="20"/>
          <w:color w:val="auto"/>
        </w:rPr>
        <w:t>”). Client and SBL are sometimes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41" w:lineRule="exact"/>
        <w:rPr>
          <w:sz w:val="20"/>
          <w:szCs w:val="20"/>
          <w:color w:val="auto"/>
        </w:rPr>
      </w:pPr>
    </w:p>
    <w:p>
      <w:pPr>
        <w:jc w:val="both"/>
        <w:ind w:left="200" w:right="219"/>
        <w:spacing w:after="0" w:line="32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SBL entered into the Master Services Agreement effective as of June 21, 2024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MSA</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200" w:right="219"/>
        <w:spacing w:after="0" w:line="29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Client and SBL entered into the Product Specific Agreement for ARCALYST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Substance, effective as of June 21, 2024, as amended by Amendment No. 1 to the Product Specific Agreement dated August 13, 2025 (as amended, the “</w:t>
      </w:r>
      <w:r>
        <w:rPr>
          <w:rFonts w:ascii="Times New Roman" w:cs="Times New Roman" w:eastAsia="Times New Roman" w:hAnsi="Times New Roman"/>
          <w:sz w:val="20"/>
          <w:szCs w:val="20"/>
          <w:b w:val="1"/>
          <w:bCs w:val="1"/>
          <w:color w:val="auto"/>
        </w:rPr>
        <w:t>PSA</w:t>
      </w:r>
      <w:r>
        <w:rPr>
          <w:rFonts w:ascii="Times New Roman" w:cs="Times New Roman" w:eastAsia="Times New Roman" w:hAnsi="Times New Roman"/>
          <w:sz w:val="20"/>
          <w:szCs w:val="20"/>
          <w:color w:val="auto"/>
        </w:rPr>
        <w:t>”); and</w:t>
      </w:r>
    </w:p>
    <w:p>
      <w:pPr>
        <w:spacing w:after="0" w:line="223" w:lineRule="exact"/>
        <w:rPr>
          <w:sz w:val="20"/>
          <w:szCs w:val="20"/>
          <w:color w:val="auto"/>
        </w:rPr>
      </w:pPr>
    </w:p>
    <w:p>
      <w:pPr>
        <w:jc w:val="both"/>
        <w:ind w:left="200" w:right="219"/>
        <w:spacing w:after="0" w:line="29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amend the Product Purchase Commitment specified in the PSA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 Product for the Years [***], increasing the annual manufacturing volumes from [***] Batches per year ([***] Batches in aggregate) to [***] Batches for [***] and [***] Batches for [***] ([***] Batches in aggregate), representing a total increase of [***] Batches.</w:t>
      </w:r>
    </w:p>
    <w:p>
      <w:pPr>
        <w:spacing w:after="0" w:line="227" w:lineRule="exact"/>
        <w:rPr>
          <w:sz w:val="20"/>
          <w:szCs w:val="20"/>
          <w:color w:val="auto"/>
        </w:rPr>
      </w:pPr>
    </w:p>
    <w:p>
      <w:pPr>
        <w:jc w:val="both"/>
        <w:ind w:left="200" w:right="219"/>
        <w:spacing w:after="0" w:line="315"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premises and the mutual covenants and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hereinafter set forth, and intending to be legally bound hereby, the Parties hereto agree as follows:</w:t>
      </w:r>
    </w:p>
    <w:p>
      <w:pPr>
        <w:spacing w:after="0" w:line="200" w:lineRule="exact"/>
        <w:rPr>
          <w:sz w:val="20"/>
          <w:szCs w:val="20"/>
          <w:color w:val="auto"/>
        </w:rPr>
      </w:pPr>
    </w:p>
    <w:p>
      <w:pPr>
        <w:spacing w:after="0" w:line="284" w:lineRule="exact"/>
        <w:rPr>
          <w:sz w:val="20"/>
          <w:szCs w:val="20"/>
          <w:color w:val="auto"/>
        </w:rPr>
      </w:pPr>
    </w:p>
    <w:p>
      <w:pPr>
        <w:ind w:left="580" w:hanging="371"/>
        <w:spacing w:after="0"/>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1200" w:right="239" w:hanging="316"/>
        <w:spacing w:after="0" w:line="283" w:lineRule="auto"/>
        <w:tabs>
          <w:tab w:leader="none" w:pos="12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but not otherwise defined in this AMENDMENT NO. 2 shall have the same meanings ascribed to them in the MSA and the PSA.</w:t>
      </w:r>
    </w:p>
    <w:p>
      <w:pPr>
        <w:spacing w:after="0" w:line="348" w:lineRule="exact"/>
        <w:rPr>
          <w:rFonts w:ascii="Times New Roman" w:cs="Times New Roman" w:eastAsia="Times New Roman" w:hAnsi="Times New Roman"/>
          <w:sz w:val="20"/>
          <w:szCs w:val="20"/>
          <w:color w:val="auto"/>
        </w:rPr>
      </w:pPr>
    </w:p>
    <w:p>
      <w:pPr>
        <w:jc w:val="both"/>
        <w:ind w:left="1200" w:right="219" w:hanging="316"/>
        <w:spacing w:after="0" w:line="276" w:lineRule="auto"/>
        <w:tabs>
          <w:tab w:leader="none" w:pos="120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and from the AMENDMENT NO. 2 Effective Date, all references in the PSA to “this PSA” and all references to the ARCALYST Drug Substance PSA contained in any other documents, including but not limited to the MSA and any Decision Memo entered into by and between the Parties, shall be construed to refer to the PSA as amended by this AMENDMENT NO. 2.</w:t>
      </w:r>
    </w:p>
    <w:p>
      <w:pPr>
        <w:spacing w:after="0" w:line="223" w:lineRule="exact"/>
        <w:rPr>
          <w:rFonts w:ascii="Times New Roman" w:cs="Times New Roman" w:eastAsia="Times New Roman" w:hAnsi="Times New Roman"/>
          <w:sz w:val="19"/>
          <w:szCs w:val="19"/>
          <w:color w:val="auto"/>
        </w:rPr>
      </w:pPr>
    </w:p>
    <w:p>
      <w:pPr>
        <w:ind w:left="580" w:right="239" w:hanging="371"/>
        <w:spacing w:after="0" w:line="269" w:lineRule="auto"/>
        <w:tabs>
          <w:tab w:leader="none" w:pos="5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the PSA.</w:t>
      </w:r>
      <w:r>
        <w:rPr>
          <w:rFonts w:ascii="Times New Roman" w:cs="Times New Roman" w:eastAsia="Times New Roman" w:hAnsi="Times New Roman"/>
          <w:sz w:val="20"/>
          <w:szCs w:val="20"/>
          <w:color w:val="auto"/>
        </w:rPr>
        <w:t xml:space="preserve"> Section 5(D)(ii) of the PSA shall be deleted in its entirety and replaced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664210</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20"/>
          <w:szCs w:val="20"/>
          <w:color w:val="auto"/>
        </w:rPr>
        <w:t>“  ii.</w:t>
      </w:r>
      <w:r>
        <w:rPr>
          <w:rFonts w:ascii="Times New Roman" w:cs="Times New Roman" w:eastAsia="Times New Roman" w:hAnsi="Times New Roman"/>
          <w:sz w:val="19"/>
          <w:szCs w:val="19"/>
          <w:u w:val="single" w:color="auto"/>
          <w:color w:val="auto"/>
        </w:rPr>
        <w:t>Product Purchase Commitment for Commercial Product.</w:t>
      </w:r>
    </w:p>
    <w:p>
      <w:pPr>
        <w:spacing w:after="0" w:line="283" w:lineRule="exact"/>
        <w:rPr>
          <w:sz w:val="20"/>
          <w:szCs w:val="20"/>
          <w:color w:val="auto"/>
        </w:rPr>
      </w:pPr>
    </w:p>
    <w:p>
      <w:pPr>
        <w:jc w:val="both"/>
        <w:ind w:left="2400" w:right="219" w:hanging="787"/>
        <w:spacing w:after="0" w:line="251" w:lineRule="auto"/>
        <w:tabs>
          <w:tab w:leader="none" w:pos="240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Client’s Product Purchase Commitment for Commercial Product is [***] Batches for Year [***], [***] Batches for Year [***], and [***] Batches for Year [***].</w:t>
      </w:r>
    </w:p>
    <w:p>
      <w:pPr>
        <w:spacing w:after="0" w:line="2" w:lineRule="exact"/>
        <w:rPr>
          <w:rFonts w:ascii="Times New Roman" w:cs="Times New Roman" w:eastAsia="Times New Roman" w:hAnsi="Times New Roman"/>
          <w:sz w:val="20"/>
          <w:szCs w:val="20"/>
          <w:color w:val="auto"/>
        </w:rPr>
      </w:pPr>
    </w:p>
    <w:p>
      <w:pPr>
        <w:ind w:left="2420" w:hanging="798"/>
        <w:spacing w:after="0"/>
        <w:tabs>
          <w:tab w:leader="none" w:pos="24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Client’s Product Purchase Commitment for Years [***] and [***] is [***]</w:t>
      </w:r>
    </w:p>
    <w:p>
      <w:pPr>
        <w:ind w:left="2420"/>
        <w:spacing w:after="0"/>
        <w:tabs>
          <w:tab w:leader="none" w:pos="6020" w:val="left"/>
        </w:tabs>
        <w:rPr>
          <w:sz w:val="20"/>
          <w:szCs w:val="20"/>
          <w:color w:val="auto"/>
        </w:rPr>
      </w:pPr>
      <w:r>
        <w:rPr>
          <w:rFonts w:ascii="Times New Roman" w:cs="Times New Roman" w:eastAsia="Times New Roman" w:hAnsi="Times New Roman"/>
          <w:sz w:val="20"/>
          <w:szCs w:val="20"/>
          <w:color w:val="auto"/>
        </w:rPr>
        <w:t>Batches of Commercial Product.</w:t>
      </w:r>
      <w:r>
        <w:rPr>
          <w:sz w:val="20"/>
          <w:szCs w:val="20"/>
          <w:color w:val="auto"/>
        </w:rPr>
        <w:tab/>
      </w:r>
      <w:r>
        <w:rPr>
          <w:rFonts w:ascii="Times New Roman" w:cs="Times New Roman" w:eastAsia="Times New Roman" w:hAnsi="Times New Roman"/>
          <w:sz w:val="19"/>
          <w:szCs w:val="19"/>
          <w:color w:val="auto"/>
        </w:rPr>
        <w:t>"</w:t>
      </w:r>
    </w:p>
    <w:p>
      <w:pPr>
        <w:spacing w:after="0" w:line="261" w:lineRule="exact"/>
        <w:rPr>
          <w:sz w:val="20"/>
          <w:szCs w:val="20"/>
          <w:color w:val="auto"/>
        </w:rPr>
      </w:pPr>
    </w:p>
    <w:p>
      <w:pPr>
        <w:jc w:val="both"/>
        <w:ind w:left="580" w:right="219" w:hanging="371"/>
        <w:spacing w:after="0" w:line="249"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Effect of the PSA.</w:t>
      </w:r>
      <w:r>
        <w:rPr>
          <w:rFonts w:ascii="Times New Roman" w:cs="Times New Roman" w:eastAsia="Times New Roman" w:hAnsi="Times New Roman"/>
          <w:sz w:val="20"/>
          <w:szCs w:val="20"/>
          <w:color w:val="auto"/>
        </w:rPr>
        <w:t xml:space="preserve"> Except as specifically amended by this AMENDMENT NO. 2, the PSA shall continue in full force and effect in accordance with its terms. For clarity, this AMENDMENT NO. 2 and the PSA shall also be governed by and construed in accordance with the laws of the State of New York, United States, without regard to principles of conflict of laws. For the avoidance of doubt, nothing in this AMENDMENT NO. 2 shall alter, diminish, or otherwise affect the binding nature of any Product Purchase Commitment established pursuant to the forecasting mechanism set forth in the PSA, whether such commitment was determined prior to the AMENDMENT NO. 2 Effective Date or is determined thereafter.</w:t>
      </w:r>
    </w:p>
    <w:p>
      <w:pPr>
        <w:spacing w:after="0" w:line="251" w:lineRule="exact"/>
        <w:rPr>
          <w:rFonts w:ascii="Times New Roman" w:cs="Times New Roman" w:eastAsia="Times New Roman" w:hAnsi="Times New Roman"/>
          <w:sz w:val="20"/>
          <w:szCs w:val="20"/>
          <w:color w:val="auto"/>
        </w:rPr>
      </w:pPr>
    </w:p>
    <w:p>
      <w:pPr>
        <w:ind w:left="580" w:right="239" w:hanging="371"/>
        <w:spacing w:after="0" w:line="269"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Representative.</w:t>
      </w:r>
      <w:r>
        <w:rPr>
          <w:rFonts w:ascii="Times New Roman" w:cs="Times New Roman" w:eastAsia="Times New Roman" w:hAnsi="Times New Roman"/>
          <w:sz w:val="20"/>
          <w:szCs w:val="20"/>
          <w:color w:val="auto"/>
        </w:rPr>
        <w:t xml:space="preserve"> Each Party represents and warrants to the other that this AMENDMENT NO. 2 has been duly executed and delivered by its duly authorized representative.</w:t>
      </w:r>
    </w:p>
    <w:p>
      <w:pPr>
        <w:spacing w:after="0" w:line="226" w:lineRule="exact"/>
        <w:rPr>
          <w:rFonts w:ascii="Times New Roman" w:cs="Times New Roman" w:eastAsia="Times New Roman" w:hAnsi="Times New Roman"/>
          <w:sz w:val="20"/>
          <w:szCs w:val="20"/>
          <w:color w:val="auto"/>
        </w:rPr>
      </w:pPr>
    </w:p>
    <w:p>
      <w:pPr>
        <w:jc w:val="both"/>
        <w:ind w:left="580" w:right="219" w:hanging="371"/>
        <w:spacing w:after="0" w:line="251" w:lineRule="auto"/>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AMENDMENT NO. 2 may be executed in one or more counterparts, each of which shall be deemed to be an original, and all of which, when taken together, shall be deemed to constitute one and the same instrument. The exchange of copies of this AMENDMENT NO. 2 and signed signature pages by facsimile transmission, e-mail or other electronic means shall constitute effective execution and delivery of this AMENDMENT NO. 2 as to the Parties and such copies exchanged may be used in lieu of the original AMENDMENT NO. 2 for all purposes.</w:t>
      </w:r>
    </w:p>
    <w:p>
      <w:pPr>
        <w:spacing w:after="0" w:line="200" w:lineRule="exact"/>
        <w:rPr>
          <w:sz w:val="20"/>
          <w:szCs w:val="20"/>
          <w:color w:val="auto"/>
        </w:rPr>
      </w:pPr>
    </w:p>
    <w:p>
      <w:pPr>
        <w:spacing w:after="0" w:line="328" w:lineRule="exact"/>
        <w:rPr>
          <w:sz w:val="20"/>
          <w:szCs w:val="20"/>
          <w:color w:val="auto"/>
        </w:rPr>
      </w:pPr>
    </w:p>
    <w:p>
      <w:pPr>
        <w:ind w:left="200" w:right="21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2 as of the AMENDMENT NO. 2 Effective Date.</w:t>
      </w: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7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SBL</w:t>
            </w:r>
          </w:p>
        </w:tc>
        <w:tc>
          <w:tcPr>
            <w:tcW w:w="3300" w:type="dxa"/>
            <w:vAlign w:val="bottom"/>
          </w:tcPr>
          <w:p>
            <w:pPr>
              <w:spacing w:after="0"/>
              <w:rPr>
                <w:sz w:val="22"/>
                <w:szCs w:val="22"/>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lient</w:t>
            </w:r>
          </w:p>
        </w:tc>
        <w:tc>
          <w:tcPr>
            <w:tcW w:w="35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648"/>
        </w:trPr>
        <w:tc>
          <w:tcPr>
            <w:tcW w:w="4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Samsung Biologics Co., Ltd.</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Kiniksa Pharmaceuticals (UK), Ltd.</w:t>
            </w:r>
          </w:p>
        </w:tc>
      </w:tr>
      <w:tr>
        <w:trPr>
          <w:trHeight w:val="723"/>
        </w:trPr>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By:</w:t>
            </w:r>
          </w:p>
        </w:tc>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John Rim</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Daniel Palmqvist</w:t>
            </w:r>
          </w:p>
        </w:tc>
        <w:tc>
          <w:tcPr>
            <w:tcW w:w="240" w:type="dxa"/>
            <w:vAlign w:val="bottom"/>
          </w:tcPr>
          <w:p>
            <w:pPr>
              <w:spacing w:after="0"/>
              <w:rPr>
                <w:sz w:val="24"/>
                <w:szCs w:val="24"/>
                <w:color w:val="auto"/>
              </w:rPr>
            </w:pPr>
          </w:p>
        </w:tc>
      </w:tr>
      <w:tr>
        <w:trPr>
          <w:trHeight w:val="385"/>
        </w:trPr>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John Rim</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Daniel Palmqvist</w:t>
            </w:r>
          </w:p>
        </w:tc>
        <w:tc>
          <w:tcPr>
            <w:tcW w:w="240" w:type="dxa"/>
            <w:vAlign w:val="bottom"/>
          </w:tcPr>
          <w:p>
            <w:pPr>
              <w:spacing w:after="0"/>
              <w:rPr>
                <w:sz w:val="24"/>
                <w:szCs w:val="24"/>
                <w:color w:val="auto"/>
              </w:rPr>
            </w:pPr>
          </w:p>
        </w:tc>
      </w:tr>
      <w:tr>
        <w:trPr>
          <w:trHeight w:val="385"/>
        </w:trPr>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3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CEO</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3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Branch Manager of Swiss Branch Office</w:t>
            </w:r>
          </w:p>
        </w:tc>
        <w:tc>
          <w:tcPr>
            <w:tcW w:w="240" w:type="dxa"/>
            <w:vAlign w:val="bottom"/>
          </w:tcPr>
          <w:p>
            <w:pPr>
              <w:spacing w:after="0"/>
              <w:rPr>
                <w:sz w:val="24"/>
                <w:szCs w:val="24"/>
                <w:color w:val="auto"/>
              </w:rPr>
            </w:pPr>
          </w:p>
        </w:tc>
      </w:tr>
      <w:tr>
        <w:trPr>
          <w:trHeight w:val="385"/>
        </w:trPr>
        <w:tc>
          <w:tcPr>
            <w:tcW w:w="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Date:</w:t>
            </w:r>
          </w:p>
        </w:tc>
        <w:tc>
          <w:tcPr>
            <w:tcW w:w="3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October 2, 2026</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September 30, 2026</w:t>
            </w:r>
          </w:p>
        </w:tc>
      </w:tr>
      <w:tr>
        <w:trPr>
          <w:trHeight w:val="1242"/>
        </w:trPr>
        <w:tc>
          <w:tcPr>
            <w:tcW w:w="740" w:type="dxa"/>
            <w:vAlign w:val="bottom"/>
            <w:tcBorders>
              <w:bottom w:val="single" w:sz="8" w:color="auto"/>
            </w:tcBorders>
          </w:tcPr>
          <w:p>
            <w:pPr>
              <w:spacing w:after="0"/>
              <w:rPr>
                <w:sz w:val="24"/>
                <w:szCs w:val="24"/>
                <w:color w:val="auto"/>
              </w:rPr>
            </w:pPr>
          </w:p>
        </w:tc>
        <w:tc>
          <w:tcPr>
            <w:tcW w:w="330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3" w:right="1440" w:bottom="1440" w:gutter="0" w:footer="0" w:header="0"/>
        </w:sectPr>
      </w:pPr>
    </w:p>
    <w:bookmarkStart w:id="46" w:name="page47"/>
    <w:bookmarkEnd w:id="4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270510</wp:posOffset>
            </wp:positionV>
            <wp:extent cx="5452110" cy="1183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32"/>
          <w:szCs w:val="32"/>
          <w:b w:val="1"/>
          <w:bCs w:val="1"/>
          <w:color w:val="auto"/>
        </w:rPr>
        <w:t>I</w:t>
      </w:r>
      <w:r>
        <w:rPr>
          <w:rFonts w:ascii="Times New Roman" w:cs="Times New Roman" w:eastAsia="Times New Roman" w:hAnsi="Times New Roman"/>
          <w:sz w:val="22"/>
          <w:szCs w:val="22"/>
          <w:b w:val="1"/>
          <w:bCs w:val="1"/>
          <w:color w:val="auto"/>
        </w:rPr>
        <w:t>nsider</w:t>
      </w:r>
      <w:r>
        <w:rPr>
          <w:rFonts w:ascii="Times New Roman" w:cs="Times New Roman" w:eastAsia="Times New Roman" w:hAnsi="Times New Roman"/>
          <w:sz w:val="32"/>
          <w:szCs w:val="32"/>
          <w:b w:val="1"/>
          <w:bCs w:val="1"/>
          <w:color w:val="auto"/>
        </w:rPr>
        <w:t xml:space="preserve"> T</w:t>
      </w:r>
      <w:r>
        <w:rPr>
          <w:rFonts w:ascii="Times New Roman" w:cs="Times New Roman" w:eastAsia="Times New Roman" w:hAnsi="Times New Roman"/>
          <w:sz w:val="22"/>
          <w:szCs w:val="22"/>
          <w:b w:val="1"/>
          <w:bCs w:val="1"/>
          <w:color w:val="auto"/>
        </w:rPr>
        <w:t>rading</w:t>
      </w:r>
      <w:r>
        <w:rPr>
          <w:rFonts w:ascii="Times New Roman" w:cs="Times New Roman" w:eastAsia="Times New Roman" w:hAnsi="Times New Roman"/>
          <w:sz w:val="32"/>
          <w:szCs w:val="32"/>
          <w:b w:val="1"/>
          <w:bCs w:val="1"/>
          <w:color w:val="auto"/>
        </w:rPr>
        <w:t xml:space="preserve"> C</w:t>
      </w:r>
      <w:r>
        <w:rPr>
          <w:rFonts w:ascii="Times New Roman" w:cs="Times New Roman" w:eastAsia="Times New Roman" w:hAnsi="Times New Roman"/>
          <w:sz w:val="22"/>
          <w:szCs w:val="22"/>
          <w:b w:val="1"/>
          <w:bCs w:val="1"/>
          <w:color w:val="auto"/>
        </w:rPr>
        <w:t>ompliance</w:t>
      </w:r>
      <w:r>
        <w:rPr>
          <w:rFonts w:ascii="Times New Roman" w:cs="Times New Roman" w:eastAsia="Times New Roman" w:hAnsi="Times New Roman"/>
          <w:sz w:val="32"/>
          <w:szCs w:val="32"/>
          <w:b w:val="1"/>
          <w:bCs w:val="1"/>
          <w:color w:val="auto"/>
        </w:rPr>
        <w:t xml:space="preserve"> P</w:t>
      </w:r>
      <w:r>
        <w:rPr>
          <w:rFonts w:ascii="Times New Roman" w:cs="Times New Roman" w:eastAsia="Times New Roman" w:hAnsi="Times New Roman"/>
          <w:sz w:val="22"/>
          <w:szCs w:val="22"/>
          <w:b w:val="1"/>
          <w:bCs w:val="1"/>
          <w:color w:val="auto"/>
        </w:rPr>
        <w:t>olicy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POL-0029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1.  Purpose</w:t>
      </w:r>
    </w:p>
    <w:p>
      <w:pPr>
        <w:spacing w:after="0" w:line="21"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0"/>
          <w:szCs w:val="20"/>
          <w:color w:val="auto"/>
        </w:rPr>
        <w:t>This global policy describes Kiniksa Pharmaceuticals’ (“</w:t>
      </w:r>
      <w:r>
        <w:rPr>
          <w:rFonts w:ascii="Times New Roman" w:cs="Times New Roman" w:eastAsia="Times New Roman" w:hAnsi="Times New Roman"/>
          <w:sz w:val="20"/>
          <w:szCs w:val="20"/>
          <w:b w:val="1"/>
          <w:bCs w:val="1"/>
          <w:color w:val="auto"/>
        </w:rPr>
        <w:t>Kiniksa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requirements for the prevention of insider trading. Preventing insider trading is necessary to comply with securities laws and to preserve the reputation and integrity of the Company as well as that of all persons affiliated with the Company. Insider trading is a crime. The penalties for violating insider trading laws include imprisonment, disgorgement of profits, civil fines, and significant criminal fines.</w:t>
      </w:r>
    </w:p>
    <w:p>
      <w:pPr>
        <w:spacing w:after="0" w:line="253"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This Policy is based on the guiding principles established in Kiniksa’s Code of Business Conduct and Ethics, which outlines our commitment, as a Company and individuals, to adhere to the highest standards of integrity and stewardship in service to patients, colleagues, the medical community, and shareholders.</w:t>
      </w:r>
    </w:p>
    <w:p>
      <w:pPr>
        <w:spacing w:after="0" w:line="235"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U.S. applicable laws, and internal Kiniksa standards facilitating compliance with such laws, may be stricter and should also be respected. Refer to local Policies and SOPs and consult country-specific guidance.</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2.  Scope</w:t>
      </w:r>
    </w:p>
    <w:p>
      <w:pPr>
        <w:spacing w:after="0" w:line="21"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This Policy applies to all officers, directors, contractors and employees of the Company. Individuals subject to this Policy are responsible for ensuring that they, and members of their households, comply with this Policy. This Policy also applies to any entities controlled by individuals subject to the Policy, including any corporations, limited liability companies, partnerships or trusts (such entities, together with all officers, directors, contractors and employees of the Company, are referred to as the “Covered Persons”), and transactions by these entities should be treated for the purposes of this Policy and applicable securities laws as if they were for the individual’s own account, except that this policy does not apply to an entity controlled by or affiliated with a person covered under this policy if the entity’s principal business is the investment of securities (an investment fund or partnership) and the entity has established its own insider trading controls and procedures in compliance with applicable securities laws. This Policy extends to all activities within and outside an individual’s Company duties.</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3.  Definitions</w:t>
      </w:r>
    </w:p>
    <w:p>
      <w:pPr>
        <w:spacing w:after="0" w:line="21"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Insider trading </w:t>
      </w:r>
      <w:r>
        <w:rPr>
          <w:rFonts w:ascii="Times New Roman" w:cs="Times New Roman" w:eastAsia="Times New Roman" w:hAnsi="Times New Roman"/>
          <w:sz w:val="20"/>
          <w:szCs w:val="20"/>
          <w:color w:val="auto"/>
        </w:rPr>
        <w:t>– the purchase or sale of a security while in possession of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relating to the security or its issuer.</w:t>
      </w:r>
    </w:p>
    <w:p>
      <w:pPr>
        <w:spacing w:after="0" w:line="245" w:lineRule="exact"/>
        <w:rPr>
          <w:sz w:val="20"/>
          <w:szCs w:val="20"/>
          <w:color w:val="auto"/>
        </w:rPr>
      </w:pPr>
    </w:p>
    <w:p>
      <w:pPr>
        <w:jc w:val="both"/>
        <w:ind w:left="200" w:right="2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Securities </w:t>
      </w:r>
      <w:r>
        <w:rPr>
          <w:rFonts w:ascii="Times New Roman" w:cs="Times New Roman" w:eastAsia="Times New Roman" w:hAnsi="Times New Roman"/>
          <w:sz w:val="20"/>
          <w:szCs w:val="20"/>
          <w:color w:val="auto"/>
        </w:rPr>
        <w:t>– include (but are not limited to) shares, bonds, notes, debentures, options, warrants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convertible securities, as well as derivative instruments.</w:t>
      </w:r>
    </w:p>
    <w:p>
      <w:pPr>
        <w:spacing w:after="0" w:line="219"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Prediction Markets </w:t>
      </w:r>
      <w:r>
        <w:rPr>
          <w:rFonts w:ascii="Times New Roman" w:cs="Times New Roman" w:eastAsia="Times New Roman" w:hAnsi="Times New Roman"/>
          <w:sz w:val="20"/>
          <w:szCs w:val="20"/>
          <w:color w:val="auto"/>
        </w:rPr>
        <w:t>– Also known as betting markets, information markets, decision markets, idea futures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event derivatives. Prediction Markets (e.g., Kalshi or Polymarket) allow participants to buy and sell contracts (often framed as “bets”) tied to whether a specified future event will occur. Many contracts are binary. In a simplified form, a “Yes” contract pays a specified amount if the event occurs and nothing if it does not. Such contracts often reference confidential information, such as merger timing, earnings metrics, executive departures, product launches, regulatory approvals, cybersecurity incidents and litigation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503555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7" w:name="page48"/>
    <w:bookmarkEnd w:id="47"/>
    <w:p>
      <w:pPr>
        <w:jc w:val="both"/>
        <w:ind w:left="200" w:right="21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Purchase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Sale </w:t>
      </w:r>
      <w:r>
        <w:rPr>
          <w:rFonts w:ascii="Times New Roman" w:cs="Times New Roman" w:eastAsia="Times New Roman" w:hAnsi="Times New Roman"/>
          <w:sz w:val="20"/>
          <w:szCs w:val="20"/>
          <w:color w:val="auto"/>
        </w:rPr>
        <w:t>are defined broadly under the federal securities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Purchase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not only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purchase of a security, but any contract to purchase or otherwise acquire a security. “</w:t>
      </w:r>
      <w:r>
        <w:rPr>
          <w:rFonts w:ascii="Times New Roman" w:cs="Times New Roman" w:eastAsia="Times New Roman" w:hAnsi="Times New Roman"/>
          <w:sz w:val="20"/>
          <w:szCs w:val="20"/>
          <w:i w:val="1"/>
          <w:iCs w:val="1"/>
          <w:color w:val="auto"/>
        </w:rPr>
        <w:t>Sale</w:t>
      </w:r>
      <w:r>
        <w:rPr>
          <w:rFonts w:ascii="Times New Roman" w:cs="Times New Roman" w:eastAsia="Times New Roman" w:hAnsi="Times New Roman"/>
          <w:sz w:val="20"/>
          <w:szCs w:val="20"/>
          <w:color w:val="auto"/>
        </w:rPr>
        <w:t>” includes not only the actual sale of a security, but any contract to sell or otherwise dispose of a security. These definitions extend to a broad range of transactions, including conventional cash-for-shares transactions, conversions, the exercise of share options, and acquisitions and exercises of warrants or puts, calls or other derivative securities. In addition, for purposes of this policy, usage of a Prediction Market to place bets or contracts on any matters related to Kiniksa, including, but not limited to, clinical trial timing and outcomes; earnings, results of operations or commercial performance; and business development transactions, shall be treated as a derivative “Purchase” of a Security related to Kiniksa.</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Trading day </w:t>
      </w:r>
      <w:r>
        <w:rPr>
          <w:rFonts w:ascii="Times New Roman" w:cs="Times New Roman" w:eastAsia="Times New Roman" w:hAnsi="Times New Roman"/>
          <w:sz w:val="20"/>
          <w:szCs w:val="20"/>
          <w:color w:val="auto"/>
        </w:rPr>
        <w:t>– a day on which national stock exchanges are open for trading.</w:t>
      </w:r>
    </w:p>
    <w:p>
      <w:pPr>
        <w:spacing w:after="0" w:line="292" w:lineRule="exact"/>
        <w:rPr>
          <w:sz w:val="20"/>
          <w:szCs w:val="20"/>
          <w:color w:val="auto"/>
        </w:rPr>
      </w:pPr>
    </w:p>
    <w:p>
      <w:pPr>
        <w:ind w:left="540" w:hanging="331"/>
        <w:spacing w:after="0"/>
        <w:tabs>
          <w:tab w:leader="none" w:pos="5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of Insider Trading</w:t>
      </w:r>
    </w:p>
    <w:p>
      <w:pPr>
        <w:spacing w:after="0" w:line="20" w:lineRule="exact"/>
        <w:rPr>
          <w:rFonts w:ascii="Times New Roman" w:cs="Times New Roman" w:eastAsia="Times New Roman" w:hAnsi="Times New Roman"/>
          <w:sz w:val="22"/>
          <w:szCs w:val="22"/>
          <w:b w:val="1"/>
          <w:bCs w:val="1"/>
          <w:color w:val="auto"/>
        </w:rPr>
      </w:pPr>
    </w:p>
    <w:p>
      <w:pPr>
        <w:ind w:left="920" w:right="219" w:hanging="378"/>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4.1. No officer, director or employee shall purchase or sell any type of security while in possession of material, non-public information relating to the security or its issuer, whether the issuer of such security is the Company or any other company. In addition, if an officer, director or employee is in possession of material non-public information about other publicly traded companies, such as suppliers, customers, competitors, potential acquisition targets, or potential acquirers, such person may not trade in such other companies’ securities until the information becomes public or is no longer material. Further, no officer, director or employee shall purchase or sell any security of any other company, including another company in the Company’s industry, while in possession of material non-public information if such information is obtained in the course of such person’s employment or service with the Company.</w:t>
      </w:r>
    </w:p>
    <w:p>
      <w:pPr>
        <w:spacing w:after="0" w:line="1" w:lineRule="exact"/>
        <w:rPr>
          <w:rFonts w:ascii="Times New Roman" w:cs="Times New Roman" w:eastAsia="Times New Roman" w:hAnsi="Times New Roman"/>
          <w:sz w:val="22"/>
          <w:szCs w:val="22"/>
          <w:b w:val="1"/>
          <w:bCs w:val="1"/>
          <w:color w:val="auto"/>
        </w:rPr>
      </w:pPr>
    </w:p>
    <w:p>
      <w:pPr>
        <w:ind w:left="920" w:right="219" w:hanging="378"/>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9"/>
          <w:szCs w:val="19"/>
          <w:color w:val="auto"/>
        </w:rPr>
        <w:t>4.2. No officer, director or other employee designated from time to time by the Board of Directors, the Chief Legal Officer, or the General Counsel as being subject to quarterly blackout periods shall purchase or sell any security of the Company during the period beginning at 11:59 p.m., Eastern time, on the fourteenth calendar day before the end of any fiscal quarter of the Company and ending upon the completion of the first full trading day after the public release of earnings data for such fiscal quarter or during any other trading suspension period declared by the Company. For example, if the Company’s fourth fiscal quarter ends at 11:59 p.m., Eastern time, on December 31, the corresponding blackout period would begin at 11:59 p.m., Eastern time, on December 17.</w:t>
      </w:r>
    </w:p>
    <w:p>
      <w:pPr>
        <w:spacing w:after="0" w:line="4"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4.2.1.  These prohibitions do not apply to:</w:t>
      </w:r>
    </w:p>
    <w:p>
      <w:pPr>
        <w:spacing w:after="0" w:line="6" w:lineRule="exact"/>
        <w:rPr>
          <w:rFonts w:ascii="Times New Roman" w:cs="Times New Roman" w:eastAsia="Times New Roman" w:hAnsi="Times New Roman"/>
          <w:sz w:val="22"/>
          <w:szCs w:val="22"/>
          <w:b w:val="1"/>
          <w:bCs w:val="1"/>
          <w:color w:val="auto"/>
        </w:rPr>
      </w:pPr>
    </w:p>
    <w:p>
      <w:pPr>
        <w:ind w:left="1760" w:right="219" w:hanging="583"/>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4.2.1.1.purchases of the Company’s securities by a Covered Person from the Company or sales of the Company’s securities by a Covered Person to the Company;</w:t>
      </w:r>
    </w:p>
    <w:p>
      <w:pPr>
        <w:spacing w:after="0" w:line="1" w:lineRule="exact"/>
        <w:rPr>
          <w:rFonts w:ascii="Times New Roman" w:cs="Times New Roman" w:eastAsia="Times New Roman" w:hAnsi="Times New Roman"/>
          <w:sz w:val="22"/>
          <w:szCs w:val="22"/>
          <w:b w:val="1"/>
          <w:bCs w:val="1"/>
          <w:color w:val="auto"/>
        </w:rPr>
      </w:pPr>
    </w:p>
    <w:p>
      <w:pPr>
        <w:ind w:left="1760" w:right="219" w:hanging="583"/>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4.2.1.2.exercises of share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share option through a broker does involve a market sale of the Company’s securities, and therefore would not qualify under this exception);</w:t>
      </w:r>
    </w:p>
    <w:p>
      <w:pPr>
        <w:spacing w:after="0" w:line="3" w:lineRule="exact"/>
        <w:rPr>
          <w:rFonts w:ascii="Times New Roman" w:cs="Times New Roman" w:eastAsia="Times New Roman" w:hAnsi="Times New Roman"/>
          <w:sz w:val="22"/>
          <w:szCs w:val="22"/>
          <w:b w:val="1"/>
          <w:bCs w:val="1"/>
          <w:color w:val="auto"/>
        </w:rPr>
      </w:pPr>
    </w:p>
    <w:p>
      <w:pPr>
        <w:ind w:left="1760" w:right="219" w:hanging="583"/>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4.2.1.3.bona fide gifts of the Company’s securities, unless the person making the gift has reason to believe that the recipient intends to sell the securities while the donor is in possession of material, non-public information about the Company; or</w:t>
      </w:r>
    </w:p>
    <w:p>
      <w:pPr>
        <w:spacing w:after="0" w:line="1" w:lineRule="exact"/>
        <w:rPr>
          <w:rFonts w:ascii="Times New Roman" w:cs="Times New Roman" w:eastAsia="Times New Roman" w:hAnsi="Times New Roman"/>
          <w:sz w:val="22"/>
          <w:szCs w:val="22"/>
          <w:b w:val="1"/>
          <w:bCs w:val="1"/>
          <w:color w:val="auto"/>
        </w:rPr>
      </w:pPr>
    </w:p>
    <w:p>
      <w:pPr>
        <w:ind w:left="1760" w:right="219" w:hanging="583"/>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4.2.1.4.purchases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0"/>
          <w:szCs w:val="20"/>
          <w:b w:val="1"/>
          <w:bCs w:val="1"/>
          <w:color w:val="auto"/>
        </w:rPr>
        <w:t>Rule 10b5-1</w:t>
      </w:r>
      <w:r>
        <w:rPr>
          <w:rFonts w:ascii="Times New Roman" w:cs="Times New Roman" w:eastAsia="Times New Roman" w:hAnsi="Times New Roman"/>
          <w:sz w:val="20"/>
          <w:szCs w:val="20"/>
          <w:color w:val="auto"/>
        </w:rPr>
        <w:t>”) promulgated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(ii) was pre-cleared in advance pursuant to this Policy and (iii) has not been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jc w:val="both"/>
        <w:ind w:left="1760" w:right="219"/>
        <w:spacing w:after="0" w:line="251" w:lineRule="auto"/>
        <w:rPr>
          <w:sz w:val="20"/>
          <w:szCs w:val="20"/>
          <w:color w:val="auto"/>
        </w:rPr>
      </w:pPr>
      <w:r>
        <w:rPr>
          <w:rFonts w:ascii="Times New Roman" w:cs="Times New Roman" w:eastAsia="Times New Roman" w:hAnsi="Times New Roman"/>
          <w:sz w:val="20"/>
          <w:szCs w:val="20"/>
          <w:color w:val="auto"/>
        </w:rPr>
        <w:t xml:space="preserve">amended or modified in any respect after such initial pre-clearance without such amendment or modification being pre-cleared in advance pursuant to this Policy. For more information about Rule 10b5-1 trading plans, see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below.</w:t>
      </w:r>
    </w:p>
    <w:p>
      <w:pPr>
        <w:spacing w:after="0" w:line="2" w:lineRule="exact"/>
        <w:rPr>
          <w:sz w:val="20"/>
          <w:szCs w:val="20"/>
          <w:color w:val="auto"/>
        </w:rPr>
      </w:pPr>
    </w:p>
    <w:p>
      <w:pPr>
        <w:jc w:val="both"/>
        <w:ind w:left="920" w:right="219" w:hanging="377"/>
        <w:spacing w:after="0" w:line="248" w:lineRule="auto"/>
        <w:rPr>
          <w:sz w:val="20"/>
          <w:szCs w:val="20"/>
          <w:color w:val="auto"/>
        </w:rPr>
      </w:pPr>
      <w:r>
        <w:rPr>
          <w:rFonts w:ascii="Times New Roman" w:cs="Times New Roman" w:eastAsia="Times New Roman" w:hAnsi="Times New Roman"/>
          <w:sz w:val="20"/>
          <w:szCs w:val="20"/>
          <w:color w:val="auto"/>
        </w:rPr>
        <w:t>4.3. No officer, director or employee shall directly or indirectly communicate (or “tip”) material, non-public information to anyone outside of the Company (except in accordance with the Company’s policies regarding the protection or authorized external disclosure of Company information, including the Company’s Policy Statement Guidelines for Corporate Disclosure) or to anyone within the Company other than on a need-to-know basis.</w:t>
      </w:r>
    </w:p>
    <w:p>
      <w:pPr>
        <w:spacing w:after="0" w:line="253" w:lineRule="exact"/>
        <w:rPr>
          <w:sz w:val="20"/>
          <w:szCs w:val="20"/>
          <w:color w:val="auto"/>
        </w:rPr>
      </w:pPr>
    </w:p>
    <w:p>
      <w:pPr>
        <w:ind w:left="540" w:hanging="331"/>
        <w:spacing w:after="0"/>
        <w:tabs>
          <w:tab w:leader="none" w:pos="54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Explanation of Insider Trading</w:t>
      </w:r>
    </w:p>
    <w:p>
      <w:pPr>
        <w:spacing w:after="0" w:line="20" w:lineRule="exact"/>
        <w:rPr>
          <w:rFonts w:ascii="Times New Roman" w:cs="Times New Roman" w:eastAsia="Times New Roman" w:hAnsi="Times New Roman"/>
          <w:sz w:val="22"/>
          <w:szCs w:val="22"/>
          <w:b w:val="1"/>
          <w:bCs w:val="1"/>
          <w:color w:val="auto"/>
        </w:rPr>
      </w:pPr>
    </w:p>
    <w:p>
      <w:pPr>
        <w:ind w:left="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color w:val="auto"/>
        </w:rPr>
        <w:t>What Facts are Material?</w:t>
      </w:r>
    </w:p>
    <w:p>
      <w:pPr>
        <w:ind w:left="1320" w:right="219" w:hanging="454"/>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5.1.1.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5.1.2.  Examples of material information include (but are not limited to) information about:</w:t>
      </w:r>
    </w:p>
    <w:p>
      <w:pPr>
        <w:spacing w:after="0" w:line="6" w:lineRule="exact"/>
        <w:rPr>
          <w:rFonts w:ascii="Times New Roman" w:cs="Times New Roman" w:eastAsia="Times New Roman" w:hAnsi="Times New Roman"/>
          <w:sz w:val="22"/>
          <w:szCs w:val="22"/>
          <w:b w:val="1"/>
          <w:bCs w:val="1"/>
          <w:color w:val="auto"/>
        </w:rPr>
      </w:pP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 or earnings forecasts;</w:t>
      </w:r>
    </w:p>
    <w:p>
      <w:pPr>
        <w:spacing w:after="0" w:line="6" w:lineRule="exact"/>
        <w:rPr>
          <w:rFonts w:ascii="Times New Roman" w:cs="Times New Roman" w:eastAsia="Times New Roman" w:hAnsi="Times New Roman"/>
          <w:sz w:val="20"/>
          <w:szCs w:val="20"/>
          <w:color w:val="auto"/>
        </w:rPr>
      </w:pP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or dispositions;</w:t>
      </w: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ind w:left="1760" w:right="219" w:hanging="579"/>
        <w:spacing w:after="0" w:line="243" w:lineRule="auto"/>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developments regarding acquisitions of product candidates or strategic collaborations;</w:t>
      </w:r>
    </w:p>
    <w:p>
      <w:pPr>
        <w:ind w:left="1760" w:right="219" w:hanging="579"/>
        <w:spacing w:after="0" w:line="246" w:lineRule="auto"/>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product candidate developments, such as the results of clinical trials or the status of regulatory submissions, including communications with regulatory authorities;</w:t>
      </w:r>
    </w:p>
    <w:p>
      <w:pPr>
        <w:spacing w:after="0" w:line="1" w:lineRule="exact"/>
        <w:rPr>
          <w:rFonts w:ascii="Times New Roman" w:cs="Times New Roman" w:eastAsia="Times New Roman" w:hAnsi="Times New Roman"/>
          <w:sz w:val="20"/>
          <w:szCs w:val="20"/>
          <w:color w:val="auto"/>
        </w:rPr>
      </w:pP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6" w:lineRule="exact"/>
        <w:rPr>
          <w:rFonts w:ascii="Times New Roman" w:cs="Times New Roman" w:eastAsia="Times New Roman" w:hAnsi="Times New Roman"/>
          <w:sz w:val="20"/>
          <w:szCs w:val="20"/>
          <w:color w:val="auto"/>
        </w:rPr>
      </w:pPr>
    </w:p>
    <w:p>
      <w:pPr>
        <w:ind w:left="1760" w:right="239" w:hanging="579"/>
        <w:spacing w:after="0" w:line="243" w:lineRule="auto"/>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financing developments including pending public sales or offerings of debt or equity securities;</w:t>
      </w: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breaches;</w:t>
      </w:r>
    </w:p>
    <w:p>
      <w:pPr>
        <w:spacing w:after="0" w:line="6" w:lineRule="exact"/>
        <w:rPr>
          <w:rFonts w:ascii="Times New Roman" w:cs="Times New Roman" w:eastAsia="Times New Roman" w:hAnsi="Times New Roman"/>
          <w:sz w:val="20"/>
          <w:szCs w:val="20"/>
          <w:color w:val="auto"/>
        </w:rPr>
      </w:pP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 and</w:t>
      </w:r>
    </w:p>
    <w:p>
      <w:pPr>
        <w:ind w:left="1760" w:hanging="579"/>
        <w:spacing w:after="0"/>
        <w:tabs>
          <w:tab w:leader="none" w:pos="17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jc w:val="both"/>
        <w:ind w:left="1320" w:right="219" w:hanging="453"/>
        <w:spacing w:after="0" w:line="241" w:lineRule="auto"/>
        <w:tabs>
          <w:tab w:leader="none" w:pos="1300" w:val="left"/>
        </w:tabs>
        <w:rPr>
          <w:sz w:val="20"/>
          <w:szCs w:val="20"/>
          <w:color w:val="auto"/>
        </w:rPr>
      </w:pPr>
      <w:r>
        <w:rPr>
          <w:rFonts w:ascii="Times New Roman" w:cs="Times New Roman" w:eastAsia="Times New Roman" w:hAnsi="Times New Roman"/>
          <w:sz w:val="20"/>
          <w:szCs w:val="20"/>
          <w:color w:val="auto"/>
        </w:rPr>
        <w:t>5.1.3.</w:t>
        <w:tab/>
        <w:t>Moreover, material information does not have to be related to a company’s business. For example, the contents of a forthcoming newspaper column that is expected to affect the market price of a security can be material.</w:t>
      </w:r>
    </w:p>
    <w:p>
      <w:pPr>
        <w:spacing w:after="0" w:line="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5.1.4.</w:t>
        <w:tab/>
        <w:t xml:space="preserve">A good general rule of thumb: </w:t>
      </w:r>
      <w:r>
        <w:rPr>
          <w:rFonts w:ascii="Times New Roman" w:cs="Times New Roman" w:eastAsia="Times New Roman" w:hAnsi="Times New Roman"/>
          <w:sz w:val="20"/>
          <w:szCs w:val="20"/>
          <w:b w:val="1"/>
          <w:bCs w:val="1"/>
          <w:color w:val="auto"/>
        </w:rPr>
        <w:t>When in doubt, do not trade</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color w:val="auto"/>
        </w:rPr>
        <w:t>What is Non-Public?</w:t>
      </w: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5.2.1.</w:t>
        <w:tab/>
        <w:t>Information is “non-public” if it is not available to the general public. In order for information to be considered public, it must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that are available on the SEC’s web site.</w:t>
      </w:r>
    </w:p>
    <w:p>
      <w:pPr>
        <w:spacing w:after="0" w:line="5" w:lineRule="exact"/>
        <w:rPr>
          <w:sz w:val="20"/>
          <w:szCs w:val="20"/>
          <w:color w:val="auto"/>
        </w:rPr>
      </w:pPr>
    </w:p>
    <w:p>
      <w:pPr>
        <w:jc w:val="both"/>
        <w:ind w:left="1320" w:right="219" w:hanging="453"/>
        <w:spacing w:after="0" w:line="249" w:lineRule="auto"/>
        <w:tabs>
          <w:tab w:leader="none" w:pos="1300" w:val="left"/>
        </w:tabs>
        <w:rPr>
          <w:sz w:val="20"/>
          <w:szCs w:val="20"/>
          <w:color w:val="auto"/>
        </w:rPr>
      </w:pPr>
      <w:r>
        <w:rPr>
          <w:rFonts w:ascii="Times New Roman" w:cs="Times New Roman" w:eastAsia="Times New Roman" w:hAnsi="Times New Roman"/>
          <w:sz w:val="20"/>
          <w:szCs w:val="20"/>
          <w:color w:val="auto"/>
        </w:rPr>
        <w:t>5.2.2.</w:t>
        <w:tab/>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ind w:left="540"/>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color w:val="auto"/>
        </w:rPr>
        <w:t>Who is an Insider?</w:t>
      </w:r>
    </w:p>
    <w:p>
      <w:pPr>
        <w:spacing w:after="0" w:line="25" w:lineRule="exact"/>
        <w:rPr>
          <w:sz w:val="20"/>
          <w:szCs w:val="20"/>
          <w:color w:val="auto"/>
        </w:rPr>
      </w:pP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5.3.1.</w:t>
        <w:tab/>
        <w:t>“Insiders” include officers, directors and employees of a company and anyone else who has material inside information about a company. Insiders have independent fiduciary duties to their company and its shareholders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in possession of material, non-public information relating to the Company, nor may they disclose such information to anyone outside the Company (except in accordance with the Company’s policies regarding the protection or authorized external disclosure of Company information, including the Company’s Policy Statement Guidelines for Corporate Disclosure) or to anyone within the Company other than on a need-to-know basis.</w:t>
      </w:r>
    </w:p>
    <w:p>
      <w:pPr>
        <w:spacing w:after="0" w:line="4" w:lineRule="exact"/>
        <w:rPr>
          <w:sz w:val="20"/>
          <w:szCs w:val="20"/>
          <w:color w:val="auto"/>
        </w:rPr>
      </w:pP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5.3.2.</w:t>
        <w:tab/>
        <w:t>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 except that this policy does not apply to an entity controlled by or affiliated with a person covered under this policy if the entity’s principal business is the investment of securities (an investment fund or partnership) and the entity has established its own insider trading controls and procedures in compliance with applicable securities laws.</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color w:val="auto"/>
        </w:rPr>
        <w:t>Trading by Persons Other than Insiders</w:t>
      </w: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5.4.1.</w:t>
        <w:tab/>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 w:lineRule="exact"/>
        <w:rPr>
          <w:sz w:val="20"/>
          <w:szCs w:val="20"/>
          <w:color w:val="auto"/>
        </w:rPr>
      </w:pPr>
    </w:p>
    <w:p>
      <w:pPr>
        <w:jc w:val="both"/>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5.4.2.</w:t>
        <w:tab/>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color w:val="auto"/>
        </w:rPr>
        <w:t>Penalties for Engaging in Insider Trading</w:t>
      </w: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5.5.1.</w:t>
        <w:tab/>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ind w:left="1760" w:hanging="579"/>
        <w:spacing w:after="0"/>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administrative sanctions;</w:t>
      </w:r>
    </w:p>
    <w:p>
      <w:pPr>
        <w:ind w:left="1760" w:hanging="579"/>
        <w:spacing w:after="0"/>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industry self-regulatory organization sanctions;</w:t>
      </w:r>
    </w:p>
    <w:p>
      <w:pPr>
        <w:ind w:left="1760" w:hanging="579"/>
        <w:spacing w:after="0"/>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w:t>
      </w:r>
    </w:p>
    <w:p>
      <w:pPr>
        <w:ind w:left="1760" w:hanging="579"/>
        <w:spacing w:after="0"/>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awards to private plaintiffs;</w:t>
      </w:r>
    </w:p>
    <w:p>
      <w:pPr>
        <w:ind w:left="1760" w:hanging="579"/>
        <w:spacing w:after="0"/>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all profits;</w:t>
      </w:r>
    </w:p>
    <w:p>
      <w:pPr>
        <w:ind w:left="1760" w:right="219" w:hanging="579"/>
        <w:spacing w:after="0" w:line="246" w:lineRule="auto"/>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violator of up to three times the amount of profit gained or loss avoided;</w:t>
      </w:r>
    </w:p>
    <w:p>
      <w:pPr>
        <w:spacing w:after="0" w:line="1" w:lineRule="exact"/>
        <w:rPr>
          <w:rFonts w:ascii="Times New Roman" w:cs="Times New Roman" w:eastAsia="Times New Roman" w:hAnsi="Times New Roman"/>
          <w:sz w:val="20"/>
          <w:szCs w:val="20"/>
          <w:color w:val="auto"/>
        </w:rPr>
      </w:pPr>
    </w:p>
    <w:p>
      <w:pPr>
        <w:ind w:left="1760" w:right="239" w:hanging="579"/>
        <w:spacing w:after="0" w:line="260" w:lineRule="auto"/>
        <w:tabs>
          <w:tab w:leader="none" w:pos="1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employer or other controlling person of a violator (i.e., where the violator is an employee or other controlled person) of up to the greater of $2,479,282</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1760" w:right="219"/>
        <w:spacing w:after="0" w:line="254" w:lineRule="auto"/>
        <w:rPr>
          <w:sz w:val="20"/>
          <w:szCs w:val="20"/>
          <w:color w:val="auto"/>
        </w:rPr>
      </w:pPr>
      <w:r>
        <w:rPr>
          <w:rFonts w:ascii="Times New Roman" w:cs="Times New Roman" w:eastAsia="Times New Roman" w:hAnsi="Times New Roman"/>
          <w:sz w:val="20"/>
          <w:szCs w:val="20"/>
          <w:color w:val="auto"/>
        </w:rPr>
        <w:t>(subject to adjustment for inflation) or three times the amount of profit gained or loss avoided by the violator;</w:t>
      </w:r>
    </w:p>
    <w:p>
      <w:pPr>
        <w:ind w:left="1760" w:right="219" w:hanging="579"/>
        <w:spacing w:after="0" w:line="246" w:lineRule="auto"/>
        <w:tabs>
          <w:tab w:leader="none" w:pos="1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for individual violators of up to $5,000,000 ($25,000,000 for an entity); and</w:t>
      </w:r>
    </w:p>
    <w:p>
      <w:pPr>
        <w:spacing w:after="0" w:line="1" w:lineRule="exact"/>
        <w:rPr>
          <w:rFonts w:ascii="Times New Roman" w:cs="Times New Roman" w:eastAsia="Times New Roman" w:hAnsi="Times New Roman"/>
          <w:sz w:val="20"/>
          <w:szCs w:val="20"/>
          <w:color w:val="auto"/>
        </w:rPr>
      </w:pPr>
    </w:p>
    <w:p>
      <w:pPr>
        <w:ind w:left="1760" w:hanging="579"/>
        <w:spacing w:after="0"/>
        <w:tabs>
          <w:tab w:leader="none" w:pos="1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20 years.</w:t>
      </w:r>
    </w:p>
    <w:p>
      <w:pPr>
        <w:spacing w:after="0" w:line="6" w:lineRule="exact"/>
        <w:rPr>
          <w:sz w:val="20"/>
          <w:szCs w:val="20"/>
          <w:color w:val="auto"/>
        </w:rPr>
      </w:pP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5.5.2.</w:t>
        <w:tab/>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 w:lineRule="exact"/>
        <w:rPr>
          <w:sz w:val="20"/>
          <w:szCs w:val="20"/>
          <w:color w:val="auto"/>
        </w:rPr>
      </w:pPr>
    </w:p>
    <w:p>
      <w:pPr>
        <w:jc w:val="both"/>
        <w:ind w:left="920" w:right="219" w:hanging="377"/>
        <w:spacing w:after="0" w:line="246"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b w:val="1"/>
          <w:bCs w:val="1"/>
          <w:color w:val="auto"/>
        </w:rPr>
        <w:t>Size of Transaction and Reason Do Not Matter</w:t>
      </w:r>
      <w:r>
        <w:rPr>
          <w:rFonts w:ascii="Times New Roman" w:cs="Times New Roman" w:eastAsia="Times New Roman" w:hAnsi="Times New Roman"/>
          <w:sz w:val="20"/>
          <w:szCs w:val="20"/>
          <w:color w:val="auto"/>
        </w:rPr>
        <w:t>.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21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5.7.1.</w:t>
      </w:r>
      <w:r>
        <w:rPr>
          <w:sz w:val="20"/>
          <w:szCs w:val="20"/>
          <w:color w:val="auto"/>
        </w:rPr>
        <w:tab/>
      </w:r>
      <w:r>
        <w:rPr>
          <w:rFonts w:ascii="Times New Roman" w:cs="Times New Roman" w:eastAsia="Times New Roman" w:hAnsi="Times New Roman"/>
          <w:sz w:val="19"/>
          <w:szCs w:val="19"/>
          <w:color w:val="auto"/>
        </w:rPr>
        <w:t>Examples of insider trading cases include:</w:t>
      </w:r>
    </w:p>
    <w:p>
      <w:pPr>
        <w:spacing w:after="0" w:line="28" w:lineRule="exact"/>
        <w:rPr>
          <w:sz w:val="20"/>
          <w:szCs w:val="20"/>
          <w:color w:val="auto"/>
        </w:rPr>
      </w:pPr>
    </w:p>
    <w:p>
      <w:pPr>
        <w:ind w:left="1760" w:right="219" w:hanging="579"/>
        <w:spacing w:after="0" w:line="246" w:lineRule="auto"/>
        <w:tabs>
          <w:tab w:leader="none" w:pos="1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brought against corporate officers, directors, and employees who traded in a company’s securities after learning of significant confidential corporate developments;</w:t>
      </w:r>
    </w:p>
    <w:p>
      <w:pPr>
        <w:spacing w:after="0" w:line="1" w:lineRule="exact"/>
        <w:rPr>
          <w:rFonts w:ascii="Times New Roman" w:cs="Times New Roman" w:eastAsia="Times New Roman" w:hAnsi="Times New Roman"/>
          <w:sz w:val="20"/>
          <w:szCs w:val="20"/>
          <w:color w:val="auto"/>
        </w:rPr>
      </w:pPr>
    </w:p>
    <w:p>
      <w:pPr>
        <w:ind w:left="1760" w:right="219" w:hanging="579"/>
        <w:spacing w:after="0" w:line="246" w:lineRule="auto"/>
        <w:tabs>
          <w:tab w:leader="none" w:pos="1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friends, business associates, family members and other tippees of such officers, directors, and employees who traded in the securities after receiving such information;</w:t>
      </w:r>
    </w:p>
    <w:p>
      <w:pPr>
        <w:spacing w:after="0" w:line="1" w:lineRule="exact"/>
        <w:rPr>
          <w:rFonts w:ascii="Times New Roman" w:cs="Times New Roman" w:eastAsia="Times New Roman" w:hAnsi="Times New Roman"/>
          <w:sz w:val="20"/>
          <w:szCs w:val="20"/>
          <w:color w:val="auto"/>
        </w:rPr>
      </w:pPr>
    </w:p>
    <w:p>
      <w:pPr>
        <w:ind w:left="1760" w:right="239" w:hanging="579"/>
        <w:spacing w:after="0" w:line="246" w:lineRule="auto"/>
        <w:tabs>
          <w:tab w:leader="none" w:pos="1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employees who learned of such information in the course of their employment; and</w:t>
      </w:r>
    </w:p>
    <w:p>
      <w:pPr>
        <w:spacing w:after="0" w:line="1" w:lineRule="exact"/>
        <w:rPr>
          <w:rFonts w:ascii="Times New Roman" w:cs="Times New Roman" w:eastAsia="Times New Roman" w:hAnsi="Times New Roman"/>
          <w:sz w:val="20"/>
          <w:szCs w:val="20"/>
          <w:color w:val="auto"/>
        </w:rPr>
      </w:pPr>
    </w:p>
    <w:p>
      <w:pPr>
        <w:ind w:left="1760" w:right="219" w:hanging="579"/>
        <w:spacing w:after="0" w:line="246" w:lineRule="auto"/>
        <w:tabs>
          <w:tab w:leader="none" w:pos="1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persons who misappropriated, and took advantage of, confidential information from their employers.</w:t>
      </w:r>
    </w:p>
    <w:p>
      <w:pPr>
        <w:spacing w:after="0" w:line="1" w:lineRule="exact"/>
        <w:rPr>
          <w:sz w:val="20"/>
          <w:szCs w:val="20"/>
          <w:color w:val="auto"/>
        </w:rPr>
      </w:pPr>
    </w:p>
    <w:p>
      <w:pPr>
        <w:jc w:val="both"/>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5.7.2.</w:t>
        <w:tab/>
        <w:t>The following are illustrations of insider trading violations. These illustrations are hypothetical and, consequently, not intended to reflect on the actual activities or business of the Company or any other entity.</w:t>
      </w:r>
    </w:p>
    <w:p>
      <w:pPr>
        <w:spacing w:after="0" w:line="1" w:lineRule="exact"/>
        <w:rPr>
          <w:sz w:val="20"/>
          <w:szCs w:val="20"/>
          <w:color w:val="auto"/>
        </w:rPr>
      </w:pPr>
    </w:p>
    <w:p>
      <w:pPr>
        <w:jc w:val="both"/>
        <w:ind w:left="1760" w:right="219" w:hanging="582"/>
        <w:spacing w:after="0" w:line="244" w:lineRule="auto"/>
        <w:rPr>
          <w:sz w:val="20"/>
          <w:szCs w:val="20"/>
          <w:color w:val="auto"/>
        </w:rPr>
      </w:pPr>
      <w:r>
        <w:rPr>
          <w:rFonts w:ascii="Times New Roman" w:cs="Times New Roman" w:eastAsia="Times New Roman" w:hAnsi="Times New Roman"/>
          <w:sz w:val="20"/>
          <w:szCs w:val="20"/>
          <w:color w:val="auto"/>
        </w:rPr>
        <w:t>5.7.2.1.</w:t>
      </w:r>
      <w:r>
        <w:rPr>
          <w:sz w:val="20"/>
          <w:szCs w:val="20"/>
          <w:color w:val="auto"/>
        </w:rPr>
        <w:t xml:space="preserve"> </w:t>
      </w:r>
      <w:r>
        <w:rPr>
          <w:rFonts w:ascii="Times New Roman" w:cs="Times New Roman" w:eastAsia="Times New Roman" w:hAnsi="Times New Roman"/>
          <w:sz w:val="20"/>
          <w:szCs w:val="20"/>
          <w:i w:val="1"/>
          <w:iCs w:val="1"/>
          <w:color w:val="auto"/>
        </w:rPr>
        <w:t>Trading by Insider</w:t>
      </w:r>
      <w:r>
        <w:rPr>
          <w:rFonts w:ascii="Times New Roman" w:cs="Times New Roman" w:eastAsia="Times New Roman" w:hAnsi="Times New Roman"/>
          <w:sz w:val="20"/>
          <w:szCs w:val="20"/>
          <w:color w:val="auto"/>
        </w:rPr>
        <w:t>. An officer of X Corporation learns that earnings to be reported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6"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5.7.2.2.</w:t>
      </w:r>
      <w:r>
        <w:rPr>
          <w:sz w:val="20"/>
          <w:szCs w:val="20"/>
          <w:color w:val="auto"/>
        </w:rPr>
        <w:t xml:space="preserve"> </w:t>
      </w:r>
      <w:r>
        <w:rPr>
          <w:rFonts w:ascii="Times New Roman" w:cs="Times New Roman" w:eastAsia="Times New Roman" w:hAnsi="Times New Roman"/>
          <w:sz w:val="20"/>
          <w:szCs w:val="20"/>
          <w:i w:val="1"/>
          <w:iCs w:val="1"/>
          <w:color w:val="auto"/>
        </w:rPr>
        <w:t>Trading by Tippee</w:t>
      </w:r>
      <w:r>
        <w:rPr>
          <w:rFonts w:ascii="Times New Roman" w:cs="Times New Roman" w:eastAsia="Times New Roman" w:hAnsi="Times New Roman"/>
          <w:sz w:val="20"/>
          <w:szCs w:val="20"/>
          <w:color w:val="auto"/>
        </w:rPr>
        <w:t>. An officer of X Corporation tells a friend that X Corporation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4" w:lineRule="exact"/>
        <w:rPr>
          <w:sz w:val="20"/>
          <w:szCs w:val="20"/>
          <w:color w:val="auto"/>
        </w:rPr>
      </w:pPr>
    </w:p>
    <w:p>
      <w:pPr>
        <w:jc w:val="both"/>
        <w:ind w:left="920" w:right="219" w:hanging="377"/>
        <w:spacing w:after="0" w:line="247"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b w:val="1"/>
          <w:bCs w:val="1"/>
          <w:color w:val="auto"/>
        </w:rPr>
        <w:t>Prohibition on Records Falsification and False Statements</w:t>
      </w:r>
      <w:r>
        <w:rPr>
          <w:rFonts w:ascii="Times New Roman" w:cs="Times New Roman" w:eastAsia="Times New Roman" w:hAnsi="Times New Roman"/>
          <w:sz w:val="20"/>
          <w:szCs w:val="20"/>
          <w:color w:val="auto"/>
        </w:rPr>
        <w:t>. Section 13(b)(2) of the Exchange Act requires companies subject to the Exchange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920" w:right="219"/>
        <w:spacing w:after="0" w:line="253" w:lineRule="auto"/>
        <w:rPr>
          <w:sz w:val="20"/>
          <w:szCs w:val="20"/>
          <w:color w:val="auto"/>
        </w:rPr>
      </w:pPr>
      <w:r>
        <w:rPr>
          <w:rFonts w:ascii="Times New Roman" w:cs="Times New Roman" w:eastAsia="Times New Roman" w:hAnsi="Times New Roman"/>
          <w:sz w:val="20"/>
          <w:szCs w:val="20"/>
          <w:color w:val="auto"/>
        </w:rPr>
        <w:t>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249" w:lineRule="exact"/>
        <w:rPr>
          <w:sz w:val="20"/>
          <w:szCs w:val="20"/>
          <w:color w:val="auto"/>
        </w:rPr>
      </w:pPr>
    </w:p>
    <w:p>
      <w:pPr>
        <w:jc w:val="both"/>
        <w:ind w:left="540" w:right="219" w:hanging="331"/>
        <w:spacing w:after="0" w:line="248" w:lineRule="auto"/>
        <w:tabs>
          <w:tab w:leader="none" w:pos="5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Procedures Preventing Insider Trading</w:t>
      </w:r>
      <w:r>
        <w:rPr>
          <w:rFonts w:ascii="Times New Roman" w:cs="Times New Roman" w:eastAsia="Times New Roman" w:hAnsi="Times New Roman"/>
          <w:sz w:val="22"/>
          <w:szCs w:val="22"/>
          <w:color w:val="auto"/>
        </w:rPr>
        <w:t>. The following procedures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and will be maintained and enforced, by the Company to prevent insider trading. Every officer, director and employee is required to follow these procedures.</w:t>
      </w:r>
    </w:p>
    <w:p>
      <w:pPr>
        <w:spacing w:after="0" w:line="2" w:lineRule="exact"/>
        <w:rPr>
          <w:rFonts w:ascii="Times New Roman" w:cs="Times New Roman" w:eastAsia="Times New Roman" w:hAnsi="Times New Roman"/>
          <w:sz w:val="22"/>
          <w:szCs w:val="22"/>
          <w:b w:val="1"/>
          <w:bCs w:val="1"/>
          <w:color w:val="auto"/>
        </w:rPr>
      </w:pPr>
    </w:p>
    <w:p>
      <w:pPr>
        <w:ind w:left="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color w:val="auto"/>
        </w:rPr>
        <w:t>Pre-Clearance of All Trades by Officers, Directors, and Certain Employees</w:t>
      </w:r>
    </w:p>
    <w:p>
      <w:pPr>
        <w:ind w:left="1320" w:right="219" w:hanging="454"/>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6.1.1. 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shares, the exercise of share options and the sale of Company shares issued upon exercise of share options) by officers, directors and such other employees as are designated from time to time by the Board of Directors, the Chief Legal Officer, the General Counsel or the Chief Financial Officer as being subject to this pre-clearance process (each, a “</w:t>
      </w:r>
      <w:r>
        <w:rPr>
          <w:rFonts w:ascii="Times New Roman" w:cs="Times New Roman" w:eastAsia="Times New Roman" w:hAnsi="Times New Roman"/>
          <w:sz w:val="20"/>
          <w:szCs w:val="20"/>
          <w:b w:val="1"/>
          <w:bCs w:val="1"/>
          <w:color w:val="auto"/>
        </w:rPr>
        <w:t>Pre-Clearance Person</w:t>
      </w:r>
      <w:r>
        <w:rPr>
          <w:rFonts w:ascii="Times New Roman" w:cs="Times New Roman" w:eastAsia="Times New Roman" w:hAnsi="Times New Roman"/>
          <w:sz w:val="20"/>
          <w:szCs w:val="20"/>
          <w:color w:val="auto"/>
        </w:rPr>
        <w:t>”) must be pre-cleared by the Company’s Chief Legal Officer, General Counsel, Chief Financial Officer, or such other person as the Board of Directors may designate from time to time (the “</w:t>
      </w:r>
      <w:r>
        <w:rPr>
          <w:rFonts w:ascii="Times New Roman" w:cs="Times New Roman" w:eastAsia="Times New Roman" w:hAnsi="Times New Roman"/>
          <w:sz w:val="20"/>
          <w:szCs w:val="20"/>
          <w:b w:val="1"/>
          <w:bCs w:val="1"/>
          <w:color w:val="auto"/>
        </w:rPr>
        <w:t>Authorizing Officer</w:t>
      </w:r>
      <w:r>
        <w:rPr>
          <w:rFonts w:ascii="Times New Roman" w:cs="Times New Roman" w:eastAsia="Times New Roman" w:hAnsi="Times New Roman"/>
          <w:sz w:val="20"/>
          <w:szCs w:val="20"/>
          <w:color w:val="auto"/>
        </w:rPr>
        <w:t>”). Pre-clearance does not relieve anyone of his or her responsibility under SEC rules.</w:t>
      </w:r>
    </w:p>
    <w:p>
      <w:pPr>
        <w:spacing w:after="0" w:line="9" w:lineRule="exact"/>
        <w:rPr>
          <w:rFonts w:ascii="Times New Roman" w:cs="Times New Roman" w:eastAsia="Times New Roman" w:hAnsi="Times New Roman"/>
          <w:sz w:val="22"/>
          <w:szCs w:val="22"/>
          <w:b w:val="1"/>
          <w:bCs w:val="1"/>
          <w:color w:val="auto"/>
        </w:rPr>
      </w:pPr>
    </w:p>
    <w:p>
      <w:pPr>
        <w:ind w:left="1320" w:right="219" w:hanging="454"/>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6.1.2. A request for pre-clearance must be in writing (including without limitation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options to be involved. In addition, unless otherwise determined by the Authorizing Officer, the Pre-Clearance Person must execute a certification (in the form approved by the Chief Legal Officer or General Counsel) that he, she or it is not aware of material, non-public information about the Company. The Authorizing Officer shall have sole discretion to decide whether to pre-clear any contemplated transaction, provided that the Chief Executive Officer shall have sole discretion to decide whether to pre-clear transactions by the Authorizing Officer or persons or entities subject to this policy as a result of their relationship with the Authorizing Officer. All trades that are pre-cleared must be effected within five business days of receipt of the pre-clearance unless a specific exception has been granted by the Authorizing Officer (or the Chief Executive Officer, in the case of the Authorizing Officer or persons or entities subject to this policy as a result of their relationship with the Authorizing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0" w:lineRule="exact"/>
        <w:rPr>
          <w:rFonts w:ascii="Times New Roman" w:cs="Times New Roman" w:eastAsia="Times New Roman" w:hAnsi="Times New Roman"/>
          <w:sz w:val="22"/>
          <w:szCs w:val="22"/>
          <w:b w:val="1"/>
          <w:bCs w:val="1"/>
          <w:color w:val="auto"/>
        </w:rPr>
      </w:pPr>
    </w:p>
    <w:p>
      <w:pPr>
        <w:ind w:left="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Black-Out Periods</w:t>
      </w:r>
    </w:p>
    <w:p>
      <w:pPr>
        <w:ind w:left="1320" w:right="219" w:hanging="454"/>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6.2.1. No officer, director or other employee designated from time to time by the Board of Directors, the Chief Legal Officer, or the General Counsel as being subject to quarterly blackout periods shall purchase or sell any security of the Company during the period beginning at 11:59 p.m., Eastern time, on the fourteenth calendar day before the end of any fiscal quarter of the Company and ending upon the completion of the first full trading day after the public release of earnings data for such fiscal quarter or during any other trading suspension period declared by the Company, except for purchases and sales made pursuant to the permitted transactions described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For example, if the Company’s fourth fiscal quarter ends at 11:59</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ind w:left="1320" w:right="219"/>
        <w:spacing w:after="0" w:line="254" w:lineRule="auto"/>
        <w:rPr>
          <w:sz w:val="20"/>
          <w:szCs w:val="20"/>
          <w:color w:val="auto"/>
        </w:rPr>
      </w:pPr>
      <w:r>
        <w:rPr>
          <w:rFonts w:ascii="Times New Roman" w:cs="Times New Roman" w:eastAsia="Times New Roman" w:hAnsi="Times New Roman"/>
          <w:sz w:val="20"/>
          <w:szCs w:val="20"/>
          <w:color w:val="auto"/>
        </w:rPr>
        <w:t>p.m., Eastern time, on December 31, the corresponding blackout period would begin at 11:59 p.m., Eastern time, on December 17.</w:t>
      </w:r>
    </w:p>
    <w:p>
      <w:pPr>
        <w:jc w:val="both"/>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6.2.2.</w:t>
        <w:tab/>
        <w:t>Exceptions to the black-out period policy may be approved only by the Company’s Chief Legal Officer or General Counsel (or, in the case of an exception for the Chief Legal Officer, the General Counsel, or persons or entities subject to this policy as a result of their relationship with the Chief Legal Officer or the General Counsel, the Chief Executive Officer or, in the case of exceptions for directors or persons or entities subject to this policy as a result of their relationship with a director, the Board of Directors).</w:t>
      </w:r>
    </w:p>
    <w:p>
      <w:pPr>
        <w:spacing w:after="0" w:line="3" w:lineRule="exact"/>
        <w:rPr>
          <w:sz w:val="20"/>
          <w:szCs w:val="20"/>
          <w:color w:val="auto"/>
        </w:rPr>
      </w:pPr>
    </w:p>
    <w:p>
      <w:pPr>
        <w:jc w:val="both"/>
        <w:ind w:left="1320" w:right="219" w:hanging="453"/>
        <w:spacing w:after="0" w:line="258" w:lineRule="auto"/>
        <w:tabs>
          <w:tab w:leader="none" w:pos="1300" w:val="left"/>
        </w:tabs>
        <w:rPr>
          <w:sz w:val="20"/>
          <w:szCs w:val="20"/>
          <w:color w:val="auto"/>
        </w:rPr>
      </w:pPr>
      <w:r>
        <w:rPr>
          <w:rFonts w:ascii="Times New Roman" w:cs="Times New Roman" w:eastAsia="Times New Roman" w:hAnsi="Times New Roman"/>
          <w:sz w:val="20"/>
          <w:szCs w:val="20"/>
          <w:color w:val="auto"/>
        </w:rPr>
        <w:t>6.2.3.</w:t>
      </w:r>
      <w:r>
        <w:rPr>
          <w:sz w:val="20"/>
          <w:szCs w:val="20"/>
          <w:color w:val="auto"/>
        </w:rPr>
        <w:tab/>
      </w:r>
      <w:r>
        <w:rPr>
          <w:rFonts w:ascii="Times New Roman" w:cs="Times New Roman" w:eastAsia="Times New Roman" w:hAnsi="Times New Roman"/>
          <w:sz w:val="19"/>
          <w:szCs w:val="19"/>
          <w:color w:val="auto"/>
        </w:rPr>
        <w:t>From time to time, the Company, through the Board of Directors, the Company’s disclosure committee, the Chief Legal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1" w:lineRule="exact"/>
        <w:rPr>
          <w:sz w:val="20"/>
          <w:szCs w:val="20"/>
          <w:color w:val="auto"/>
        </w:rPr>
      </w:pP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6.2.4.</w:t>
        <w:tab/>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 w:lineRule="exact"/>
        <w:rPr>
          <w:sz w:val="20"/>
          <w:szCs w:val="20"/>
          <w:color w:val="auto"/>
        </w:rPr>
      </w:pPr>
    </w:p>
    <w:p>
      <w:pPr>
        <w:jc w:val="both"/>
        <w:ind w:left="920" w:right="219" w:hanging="377"/>
        <w:spacing w:after="0" w:line="24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color w:val="auto"/>
        </w:rPr>
        <w:t>Post-Termination Transactions</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If an individual is in possession of material, non-public information when his or her service terminates, that individual may not trade in the Company’s securities until that information has become public or is no longer material.</w:t>
      </w:r>
    </w:p>
    <w:p>
      <w:pPr>
        <w:ind w:left="540"/>
        <w:spacing w:after="0"/>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color w:val="auto"/>
        </w:rPr>
        <w:t>Information Relating to the Company</w:t>
      </w: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6.4.1.</w:t>
      </w:r>
      <w:r>
        <w:rPr>
          <w:sz w:val="20"/>
          <w:szCs w:val="20"/>
          <w:color w:val="auto"/>
        </w:rPr>
        <w:tab/>
      </w:r>
      <w:r>
        <w:rPr>
          <w:rFonts w:ascii="Times New Roman" w:cs="Times New Roman" w:eastAsia="Times New Roman" w:hAnsi="Times New Roman"/>
          <w:sz w:val="19"/>
          <w:szCs w:val="19"/>
          <w:i w:val="1"/>
          <w:iCs w:val="1"/>
          <w:color w:val="auto"/>
        </w:rPr>
        <w:t>Access to Information</w:t>
      </w:r>
    </w:p>
    <w:p>
      <w:pPr>
        <w:spacing w:after="0" w:line="6"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6.4.1.1.</w:t>
      </w:r>
      <w:r>
        <w:rPr>
          <w:sz w:val="20"/>
          <w:szCs w:val="20"/>
          <w:color w:val="auto"/>
        </w:rPr>
        <w:t xml:space="preserve"> </w:t>
      </w:r>
      <w:r>
        <w:rPr>
          <w:rFonts w:ascii="Times New Roman" w:cs="Times New Roman" w:eastAsia="Times New Roman" w:hAnsi="Times New Roman"/>
          <w:sz w:val="20"/>
          <w:szCs w:val="20"/>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including the Company’s Policy Statement Guidelines for Corporate Disclosure) or to anyone within the Company on an other than need-to-know basis.</w:t>
      </w:r>
    </w:p>
    <w:p>
      <w:pPr>
        <w:spacing w:after="0" w:line="5"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6.4.1.2.</w:t>
      </w:r>
      <w:r>
        <w:rPr>
          <w:sz w:val="20"/>
          <w:szCs w:val="20"/>
          <w:color w:val="auto"/>
        </w:rPr>
        <w:t xml:space="preserve"> </w:t>
      </w:r>
      <w:r>
        <w:rPr>
          <w:rFonts w:ascii="Times New Roman" w:cs="Times New Roman" w:eastAsia="Times New Roman" w:hAnsi="Times New Roman"/>
          <w:sz w:val="20"/>
          <w:szCs w:val="20"/>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6.4.2.</w:t>
      </w:r>
      <w:r>
        <w:rPr>
          <w:sz w:val="20"/>
          <w:szCs w:val="20"/>
          <w:color w:val="auto"/>
        </w:rPr>
        <w:tab/>
      </w:r>
      <w:r>
        <w:rPr>
          <w:rFonts w:ascii="Times New Roman" w:cs="Times New Roman" w:eastAsia="Times New Roman" w:hAnsi="Times New Roman"/>
          <w:sz w:val="19"/>
          <w:szCs w:val="19"/>
          <w:i w:val="1"/>
          <w:iCs w:val="1"/>
          <w:color w:val="auto"/>
        </w:rPr>
        <w:t>Inquiries From Third Parties</w:t>
      </w:r>
    </w:p>
    <w:p>
      <w:pPr>
        <w:jc w:val="both"/>
        <w:ind w:left="1760" w:right="219" w:hanging="582"/>
        <w:spacing w:after="0" w:line="249" w:lineRule="auto"/>
        <w:rPr>
          <w:sz w:val="20"/>
          <w:szCs w:val="20"/>
          <w:color w:val="auto"/>
        </w:rPr>
      </w:pPr>
      <w:r>
        <w:rPr>
          <w:rFonts w:ascii="Times New Roman" w:cs="Times New Roman" w:eastAsia="Times New Roman" w:hAnsi="Times New Roman"/>
          <w:sz w:val="20"/>
          <w:szCs w:val="20"/>
          <w:color w:val="auto"/>
        </w:rPr>
        <w:t>6.4.2.1.</w:t>
      </w:r>
      <w:r>
        <w:rPr>
          <w:sz w:val="20"/>
          <w:szCs w:val="20"/>
          <w:color w:val="auto"/>
        </w:rPr>
        <w:t xml:space="preserve"> </w:t>
      </w:r>
      <w:r>
        <w:rPr>
          <w:rFonts w:ascii="Times New Roman" w:cs="Times New Roman" w:eastAsia="Times New Roman" w:hAnsi="Times New Roman"/>
          <w:sz w:val="20"/>
          <w:szCs w:val="20"/>
          <w:color w:val="auto"/>
        </w:rPr>
        <w:t>Inquiries from third parties, such as industry analysts or members of the media, about the Company should be directed to the Chief Legal Officer, General Counsel, Chief Financial Officer, or the Investor Relations/Corporate Communications Department.</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color w:val="auto"/>
        </w:rPr>
        <w:t>Limitations on Access to Company Information</w:t>
      </w:r>
    </w:p>
    <w:p>
      <w:pPr>
        <w:ind w:left="1320" w:right="23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6.5.1.</w:t>
        <w:tab/>
        <w:t>The following procedures are designed to maintain confidentiality with respect to the Company’s business operations and activities.</w:t>
      </w:r>
    </w:p>
    <w:p>
      <w:pPr>
        <w:spacing w:after="0" w:line="1" w:lineRule="exact"/>
        <w:rPr>
          <w:sz w:val="20"/>
          <w:szCs w:val="20"/>
          <w:color w:val="auto"/>
        </w:rPr>
      </w:pPr>
    </w:p>
    <w:p>
      <w:pPr>
        <w:ind w:left="1320" w:right="23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6.5.2.</w:t>
        <w:tab/>
        <w:t>All officers, directors and employees should take all steps and precautions necessary to restrict access to, and secure, material, non-public information by, among other things:</w:t>
      </w:r>
    </w:p>
    <w:p>
      <w:pPr>
        <w:spacing w:after="0" w:line="1" w:lineRule="exact"/>
        <w:rPr>
          <w:sz w:val="20"/>
          <w:szCs w:val="20"/>
          <w:color w:val="auto"/>
        </w:rPr>
      </w:pPr>
    </w:p>
    <w:p>
      <w:pPr>
        <w:ind w:left="1760" w:hanging="579"/>
        <w:spacing w:after="0"/>
        <w:tabs>
          <w:tab w:leader="none" w:pos="17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confidentiality of Company-related transactions;</w:t>
      </w:r>
    </w:p>
    <w:p>
      <w:pPr>
        <w:jc w:val="both"/>
        <w:ind w:left="1760" w:right="239" w:hanging="579"/>
        <w:spacing w:after="0" w:line="249" w:lineRule="auto"/>
        <w:tabs>
          <w:tab w:leader="none" w:pos="17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1760" w:right="239" w:hanging="579"/>
        <w:spacing w:after="0" w:line="251"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 w:lineRule="exact"/>
        <w:rPr>
          <w:rFonts w:ascii="Times New Roman" w:cs="Times New Roman" w:eastAsia="Times New Roman" w:hAnsi="Times New Roman"/>
          <w:sz w:val="20"/>
          <w:szCs w:val="20"/>
          <w:color w:val="auto"/>
        </w:rPr>
      </w:pPr>
    </w:p>
    <w:p>
      <w:pPr>
        <w:ind w:left="1760" w:right="239" w:hanging="579"/>
        <w:spacing w:after="0" w:line="243"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removing and cleaning up all confidential documents and other materials from conference rooms following the conclusion of any meetings;</w:t>
      </w:r>
    </w:p>
    <w:p>
      <w:pPr>
        <w:ind w:left="1760" w:right="239" w:hanging="579"/>
        <w:spacing w:after="0" w:line="246"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all confidential documents and other papers, after there is no longer any business or other legally required need, through shredders when appropriate;</w:t>
      </w:r>
    </w:p>
    <w:p>
      <w:pPr>
        <w:spacing w:after="0" w:line="1" w:lineRule="exact"/>
        <w:rPr>
          <w:rFonts w:ascii="Times New Roman" w:cs="Times New Roman" w:eastAsia="Times New Roman" w:hAnsi="Times New Roman"/>
          <w:sz w:val="20"/>
          <w:szCs w:val="20"/>
          <w:color w:val="auto"/>
        </w:rPr>
      </w:pPr>
    </w:p>
    <w:p>
      <w:pPr>
        <w:ind w:left="1760" w:right="219" w:hanging="579"/>
        <w:spacing w:after="0" w:line="246"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areas likely to contain confidential documents or material, non-public information;</w:t>
      </w:r>
    </w:p>
    <w:p>
      <w:pPr>
        <w:spacing w:after="0" w:line="1" w:lineRule="exact"/>
        <w:rPr>
          <w:rFonts w:ascii="Times New Roman" w:cs="Times New Roman" w:eastAsia="Times New Roman" w:hAnsi="Times New Roman"/>
          <w:sz w:val="20"/>
          <w:szCs w:val="20"/>
          <w:color w:val="auto"/>
        </w:rPr>
      </w:pPr>
    </w:p>
    <w:p>
      <w:pPr>
        <w:ind w:left="1760" w:right="239" w:hanging="579"/>
        <w:spacing w:after="0" w:line="246"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safeguarding laptop computers, mobile devices, tablets, memory sticks, CDs and other items that contain confidential information; and</w:t>
      </w:r>
    </w:p>
    <w:p>
      <w:pPr>
        <w:spacing w:after="0" w:line="1" w:lineRule="exact"/>
        <w:rPr>
          <w:rFonts w:ascii="Times New Roman" w:cs="Times New Roman" w:eastAsia="Times New Roman" w:hAnsi="Times New Roman"/>
          <w:sz w:val="20"/>
          <w:szCs w:val="20"/>
          <w:color w:val="auto"/>
        </w:rPr>
      </w:pPr>
    </w:p>
    <w:p>
      <w:pPr>
        <w:jc w:val="both"/>
        <w:ind w:left="1760" w:right="239" w:hanging="579"/>
        <w:spacing w:after="0" w:line="246" w:lineRule="auto"/>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the discussion of material, non-public information in places where the information could be overheard by others such as in elevators, restrooms, hallways,</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restaurants, airplanes or taxicabs.</w:t>
      </w:r>
    </w:p>
    <w:p>
      <w:pPr>
        <w:spacing w:after="0" w:line="6" w:lineRule="exact"/>
        <w:rPr>
          <w:sz w:val="20"/>
          <w:szCs w:val="20"/>
          <w:color w:val="auto"/>
        </w:rPr>
      </w:pPr>
    </w:p>
    <w:p>
      <w:pPr>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6.5.3.</w:t>
        <w:tab/>
        <w:t>Personnel involved with material, non-public information, to the extent feasible, should conduct their business and activities in areas separate from other Company activities.</w:t>
      </w:r>
    </w:p>
    <w:p>
      <w:pPr>
        <w:spacing w:after="0" w:line="254" w:lineRule="exact"/>
        <w:rPr>
          <w:sz w:val="20"/>
          <w:szCs w:val="20"/>
          <w:color w:val="auto"/>
        </w:rPr>
      </w:pPr>
    </w:p>
    <w:p>
      <w:pPr>
        <w:jc w:val="both"/>
        <w:ind w:left="540" w:right="219" w:hanging="331"/>
        <w:spacing w:after="0" w:line="250" w:lineRule="auto"/>
        <w:tabs>
          <w:tab w:leader="none" w:pos="5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has determined that there is a heightened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risk and/or the appearance of improper or inappropriate conduct if the persons subject to this Policy engage in certain types of transactions. Therefore, officers, directors and employees shall comply with the following policies with respect to certain transactions in Company securities:</w:t>
      </w:r>
    </w:p>
    <w:p>
      <w:pPr>
        <w:ind w:left="920" w:right="219" w:hanging="37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Short Sales</w:t>
      </w:r>
      <w:r>
        <w:rPr>
          <w:rFonts w:ascii="Times New Roman" w:cs="Times New Roman" w:eastAsia="Times New Roman" w:hAnsi="Times New Roman"/>
          <w:sz w:val="20"/>
          <w:szCs w:val="20"/>
          <w:color w:val="auto"/>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absolutely prohibits Section 16 reporting persons from making short sales of the Company’s equity securities, i.e., sales of shares that the insider does not own at the time of sale, or sales of shares against which the insider does not deliver the shares within 20 days after the sale.</w:t>
      </w:r>
    </w:p>
    <w:p>
      <w:pPr>
        <w:spacing w:after="0" w:line="4" w:lineRule="exact"/>
        <w:rPr>
          <w:rFonts w:ascii="Times New Roman" w:cs="Times New Roman" w:eastAsia="Times New Roman" w:hAnsi="Times New Roman"/>
          <w:sz w:val="22"/>
          <w:szCs w:val="22"/>
          <w:b w:val="1"/>
          <w:bCs w:val="1"/>
          <w:color w:val="auto"/>
        </w:rPr>
      </w:pPr>
    </w:p>
    <w:p>
      <w:pPr>
        <w:ind w:left="920" w:right="219" w:hanging="378"/>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Publicly Traded Options</w:t>
      </w:r>
      <w:r>
        <w:rPr>
          <w:rFonts w:ascii="Times New Roman" w:cs="Times New Roman" w:eastAsia="Times New Roman" w:hAnsi="Times New Roman"/>
          <w:sz w:val="20"/>
          <w:szCs w:val="20"/>
          <w:color w:val="auto"/>
        </w:rPr>
        <w:t>. A transaction in options is, in effect, a bet on the short-term movement of the Company’s shares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3" w:lineRule="exact"/>
        <w:rPr>
          <w:rFonts w:ascii="Times New Roman" w:cs="Times New Roman" w:eastAsia="Times New Roman" w:hAnsi="Times New Roman"/>
          <w:sz w:val="22"/>
          <w:szCs w:val="22"/>
          <w:b w:val="1"/>
          <w:bCs w:val="1"/>
          <w:color w:val="auto"/>
        </w:rPr>
      </w:pPr>
    </w:p>
    <w:p>
      <w:pPr>
        <w:ind w:left="920" w:right="219" w:hanging="378"/>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Hedging Transactions</w:t>
      </w:r>
      <w:r>
        <w:rPr>
          <w:rFonts w:ascii="Times New Roman" w:cs="Times New Roman" w:eastAsia="Times New Roman" w:hAnsi="Times New Roman"/>
          <w:sz w:val="20"/>
          <w:szCs w:val="20"/>
          <w:color w:val="auto"/>
        </w:rPr>
        <w:t>. Certain forms of hedging or monetization transactions, such as zero-cost collars and forward sale contracts, allow an officer, director or employee to lock in much of the value of his or her share holdings, often in exchange for all or part of the potential for upside appreciation in the shares. These transactions allow the officer, director or employee to continue to own the covered securities, but without the full risks and rewards of ownership. When that occurs, the officer, director or employee may no longer have the same objectives as the Company’s other shareholders. Therefore, all hedging transactions involving the Company’s equity securities are prohibited by this Policy.</w:t>
      </w:r>
    </w:p>
    <w:p>
      <w:pPr>
        <w:spacing w:after="0" w:line="5" w:lineRule="exact"/>
        <w:rPr>
          <w:rFonts w:ascii="Times New Roman" w:cs="Times New Roman" w:eastAsia="Times New Roman" w:hAnsi="Times New Roman"/>
          <w:sz w:val="22"/>
          <w:szCs w:val="22"/>
          <w:b w:val="1"/>
          <w:bCs w:val="1"/>
          <w:color w:val="auto"/>
        </w:rPr>
      </w:pPr>
    </w:p>
    <w:p>
      <w:pPr>
        <w:ind w:left="920" w:right="219" w:hanging="378"/>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color w:val="auto"/>
        </w:rPr>
        <w:t>Purchases of the Company’s Securities on Margin; Pledging the Company’s Securities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Secure Margin or Other Loans</w:t>
      </w:r>
      <w:r>
        <w:rPr>
          <w:rFonts w:ascii="Times New Roman" w:cs="Times New Roman" w:eastAsia="Times New Roman" w:hAnsi="Times New Roman"/>
          <w:sz w:val="20"/>
          <w:szCs w:val="20"/>
          <w:color w:val="auto"/>
        </w:rPr>
        <w:t>. Purchasing on margin means borrowing from a brokerage 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or other entity in order to purchase the Company’s securities (other than in connection with a cashless exercise of share options through a broker under the Company’s equity plans). Margin purchases of the Company’s securities are prohibited by this Policy. Pledging the Company’s securities as collateral to secure loans is prohibited. This prohibition means, among other things,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ind w:left="920" w:right="239"/>
        <w:spacing w:after="0" w:line="254" w:lineRule="auto"/>
        <w:rPr>
          <w:sz w:val="20"/>
          <w:szCs w:val="20"/>
          <w:color w:val="auto"/>
        </w:rPr>
      </w:pPr>
      <w:r>
        <w:rPr>
          <w:rFonts w:ascii="Times New Roman" w:cs="Times New Roman" w:eastAsia="Times New Roman" w:hAnsi="Times New Roman"/>
          <w:sz w:val="20"/>
          <w:szCs w:val="20"/>
          <w:color w:val="auto"/>
        </w:rPr>
        <w:t>that you cannot hold the Company’s securities in a “margin account” (which would allow you to borrow against your holdings to buy securities).</w:t>
      </w:r>
    </w:p>
    <w:p>
      <w:pPr>
        <w:jc w:val="both"/>
        <w:ind w:left="920" w:right="219" w:hanging="377"/>
        <w:spacing w:after="0" w:line="248"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Partnership Distributions</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29" w:lineRule="exact"/>
        <w:rPr>
          <w:sz w:val="20"/>
          <w:szCs w:val="20"/>
          <w:color w:val="auto"/>
        </w:rPr>
      </w:pPr>
    </w:p>
    <w:p>
      <w:pPr>
        <w:jc w:val="both"/>
        <w:ind w:left="920" w:right="239" w:hanging="377"/>
        <w:spacing w:after="0" w:line="249"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Prediction Markets</w:t>
      </w:r>
      <w:r>
        <w:rPr>
          <w:rFonts w:ascii="Times New Roman" w:cs="Times New Roman" w:eastAsia="Times New Roman" w:hAnsi="Times New Roman"/>
          <w:sz w:val="20"/>
          <w:szCs w:val="20"/>
          <w:color w:val="auto"/>
        </w:rPr>
        <w:t>. Participating in Prediction Markets by placing bets or entering into contracts related in any way to Kiniksa is expressly prohibited. In addition to violating this Policy, usage of such sites in any way related to Kiniksa shall also be treated as a breach of a Covered Person’s duty of confidentiality and non-disclosure to Kiniksa. Kiniksa’s Chief Legal Officer retains sole discretion in determining whether a contract is prohibited.</w:t>
      </w:r>
    </w:p>
    <w:p>
      <w:pPr>
        <w:spacing w:after="0" w:line="241" w:lineRule="exact"/>
        <w:rPr>
          <w:sz w:val="20"/>
          <w:szCs w:val="20"/>
          <w:color w:val="auto"/>
        </w:rPr>
      </w:pPr>
    </w:p>
    <w:p>
      <w:pPr>
        <w:ind w:left="540" w:hanging="331"/>
        <w:spacing w:after="0"/>
        <w:tabs>
          <w:tab w:leader="none" w:pos="5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 Section 16 and Rule 144</w:t>
      </w:r>
    </w:p>
    <w:p>
      <w:pPr>
        <w:spacing w:after="0" w:line="20" w:lineRule="exact"/>
        <w:rPr>
          <w:rFonts w:ascii="Times New Roman" w:cs="Times New Roman" w:eastAsia="Times New Roman" w:hAnsi="Times New Roman"/>
          <w:sz w:val="22"/>
          <w:szCs w:val="22"/>
          <w:b w:val="1"/>
          <w:bCs w:val="1"/>
          <w:color w:val="auto"/>
        </w:rPr>
      </w:pPr>
    </w:p>
    <w:p>
      <w:pPr>
        <w:ind w:left="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color w:val="auto"/>
        </w:rPr>
        <w:t>Rule 10b5-1 Trading Plans</w:t>
      </w: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i w:val="1"/>
          <w:iCs w:val="1"/>
          <w:color w:val="auto"/>
        </w:rPr>
        <w:t>8.1.1.  Overview</w:t>
      </w:r>
    </w:p>
    <w:p>
      <w:pPr>
        <w:spacing w:after="0" w:line="6" w:lineRule="exact"/>
        <w:rPr>
          <w:rFonts w:ascii="Times New Roman" w:cs="Times New Roman" w:eastAsia="Times New Roman" w:hAnsi="Times New Roman"/>
          <w:sz w:val="22"/>
          <w:szCs w:val="22"/>
          <w:b w:val="1"/>
          <w:bCs w:val="1"/>
          <w:color w:val="auto"/>
        </w:rPr>
      </w:pPr>
    </w:p>
    <w:p>
      <w:pPr>
        <w:ind w:left="1760" w:right="219" w:hanging="583"/>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8.1.1.1.Rule 10b5-1 will protect directors, officers and employees from insider trading liability under Rule 10b5-1 for transactions under a previously established contract, plan or instruction to trade in the Company’s shares entered into and conducted in good faith and in accordance with the terms of Rule 10b5-1 (a “</w:t>
      </w:r>
      <w:r>
        <w:rPr>
          <w:rFonts w:ascii="Times New Roman" w:cs="Times New Roman" w:eastAsia="Times New Roman" w:hAnsi="Times New Roman"/>
          <w:sz w:val="20"/>
          <w:szCs w:val="20"/>
          <w:b w:val="1"/>
          <w:bCs w:val="1"/>
          <w:color w:val="auto"/>
        </w:rPr>
        <w:t>Trading Plan</w:t>
      </w:r>
      <w:r>
        <w:rPr>
          <w:rFonts w:ascii="Times New Roman" w:cs="Times New Roman" w:eastAsia="Times New Roman" w:hAnsi="Times New Roman"/>
          <w:sz w:val="20"/>
          <w:szCs w:val="20"/>
          <w:color w:val="auto"/>
        </w:rPr>
        <w:t>”)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w:t>
      </w:r>
    </w:p>
    <w:p>
      <w:pPr>
        <w:spacing w:after="0" w:line="5" w:lineRule="exact"/>
        <w:rPr>
          <w:rFonts w:ascii="Times New Roman" w:cs="Times New Roman" w:eastAsia="Times New Roman" w:hAnsi="Times New Roman"/>
          <w:sz w:val="22"/>
          <w:szCs w:val="22"/>
          <w:b w:val="1"/>
          <w:bCs w:val="1"/>
          <w:color w:val="auto"/>
        </w:rPr>
      </w:pPr>
    </w:p>
    <w:p>
      <w:pPr>
        <w:ind w:left="1760" w:right="219" w:hanging="583"/>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8.1.1.2.All executive officers and certain employees designated by the Authorizing Officer must enter into a Trading Plan for transactions in their Company securities. Each such Trading Plan, and any proposed modification or termination thereof, must be submitted to and pre-approved by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entering into, modifying, or terminating the Trading Plan, not the Company or the Authorizing Officer.</w:t>
      </w:r>
    </w:p>
    <w:p>
      <w:pPr>
        <w:spacing w:after="0" w:line="6" w:lineRule="exact"/>
        <w:rPr>
          <w:rFonts w:ascii="Times New Roman" w:cs="Times New Roman" w:eastAsia="Times New Roman" w:hAnsi="Times New Roman"/>
          <w:sz w:val="22"/>
          <w:szCs w:val="22"/>
          <w:b w:val="1"/>
          <w:bCs w:val="1"/>
          <w:color w:val="auto"/>
        </w:rPr>
      </w:pPr>
    </w:p>
    <w:p>
      <w:pPr>
        <w:ind w:left="1760" w:right="219" w:hanging="583"/>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8.1.1.3.Trading Plans do not exempt individuals from complying with Section 16 reporting obligations or from short-swing profit rules or liability.</w:t>
      </w:r>
    </w:p>
    <w:p>
      <w:pPr>
        <w:spacing w:after="0" w:line="1" w:lineRule="exact"/>
        <w:rPr>
          <w:rFonts w:ascii="Times New Roman" w:cs="Times New Roman" w:eastAsia="Times New Roman" w:hAnsi="Times New Roman"/>
          <w:sz w:val="22"/>
          <w:szCs w:val="22"/>
          <w:b w:val="1"/>
          <w:bCs w:val="1"/>
          <w:color w:val="auto"/>
        </w:rPr>
      </w:pPr>
    </w:p>
    <w:p>
      <w:pPr>
        <w:ind w:left="1760" w:right="219" w:hanging="583"/>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8.1.1.4.Rule 10b5-1 presents an opportunity for insiders to establish arrangements to sell (or purchase) Company shares without the restrictions of trading windows and black-out periods, even when there is undisclosed material information. A Trading Plan may also help reduce negative publicity that may result when key executives sell the Company’s shares. Rule 10b5-1 only provides an “affirmative defense” in the event there is an insider trading lawsuit. It does not prevent someone from bringing a lawsuit.</w:t>
      </w:r>
    </w:p>
    <w:p>
      <w:pPr>
        <w:spacing w:after="0" w:line="2" w:lineRule="exact"/>
        <w:rPr>
          <w:rFonts w:ascii="Times New Roman" w:cs="Times New Roman" w:eastAsia="Times New Roman" w:hAnsi="Times New Roman"/>
          <w:sz w:val="22"/>
          <w:szCs w:val="22"/>
          <w:b w:val="1"/>
          <w:bCs w:val="1"/>
          <w:color w:val="auto"/>
        </w:rPr>
      </w:pPr>
    </w:p>
    <w:p>
      <w:pPr>
        <w:ind w:left="1760" w:right="219" w:hanging="583"/>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8.1.1.5.A director, officer or employee may enter into a Trading Plan only in good faith and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Such reporting must be in writing (including by e-mail) and should include the identity of the reporting person, the type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jc w:val="both"/>
        <w:ind w:left="1760" w:right="219"/>
        <w:spacing w:after="0" w:line="251" w:lineRule="auto"/>
        <w:rPr>
          <w:sz w:val="20"/>
          <w:szCs w:val="20"/>
          <w:color w:val="auto"/>
        </w:rPr>
      </w:pPr>
      <w:r>
        <w:rPr>
          <w:rFonts w:ascii="Times New Roman" w:cs="Times New Roman" w:eastAsia="Times New Roman" w:hAnsi="Times New Roman"/>
          <w:sz w:val="20"/>
          <w:szCs w:val="20"/>
          <w:color w:val="auto"/>
        </w:rPr>
        <w:t>of transaction, the date of the transaction, the number of shares involved and the purchase or sale price. However, the ultimate responsibility, and liability, for timely filing remains with the Section 16 reporting person.</w:t>
      </w:r>
    </w:p>
    <w:p>
      <w:pPr>
        <w:spacing w:after="0" w:line="2"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8.1.1.6.</w:t>
      </w:r>
      <w:r>
        <w:rPr>
          <w:sz w:val="20"/>
          <w:szCs w:val="20"/>
          <w:color w:val="auto"/>
        </w:rPr>
        <w:t xml:space="preserve"> </w:t>
      </w:r>
      <w:r>
        <w:rPr>
          <w:rFonts w:ascii="Times New Roman" w:cs="Times New Roman" w:eastAsia="Times New Roman" w:hAnsi="Times New Roman"/>
          <w:sz w:val="20"/>
          <w:szCs w:val="20"/>
          <w:color w:val="auto"/>
        </w:rPr>
        <w:t xml:space="preserve">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and result in a loss of the exemption set forth herein.</w:t>
      </w:r>
    </w:p>
    <w:p>
      <w:pPr>
        <w:spacing w:after="0" w:line="7" w:lineRule="exact"/>
        <w:rPr>
          <w:sz w:val="20"/>
          <w:szCs w:val="20"/>
          <w:color w:val="auto"/>
        </w:rPr>
      </w:pPr>
    </w:p>
    <w:p>
      <w:pPr>
        <w:jc w:val="both"/>
        <w:ind w:left="1320" w:right="219" w:hanging="453"/>
        <w:spacing w:after="0" w:line="249" w:lineRule="auto"/>
        <w:tabs>
          <w:tab w:leader="none" w:pos="130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20"/>
          <w:szCs w:val="20"/>
          <w:i w:val="1"/>
          <w:iCs w:val="1"/>
          <w:color w:val="auto"/>
        </w:rPr>
        <w:t>Adopting a Trading Plan</w:t>
      </w:r>
      <w:r>
        <w:rPr>
          <w:rFonts w:ascii="Times New Roman" w:cs="Times New Roman" w:eastAsia="Times New Roman" w:hAnsi="Times New Roman"/>
          <w:sz w:val="20"/>
          <w:szCs w:val="20"/>
          <w:color w:val="auto"/>
        </w:rPr>
        <w:t>. The trading restrictions set forth in this Policy, other than those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transactions described under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(Additional Prohibited Transactions) do not apply to a Trading Plan that:</w:t>
      </w:r>
    </w:p>
    <w:p>
      <w:pPr>
        <w:spacing w:after="0" w:line="86" w:lineRule="exact"/>
        <w:rPr>
          <w:sz w:val="20"/>
          <w:szCs w:val="20"/>
          <w:color w:val="auto"/>
        </w:rPr>
      </w:pPr>
    </w:p>
    <w:p>
      <w:pPr>
        <w:ind w:left="2080" w:hanging="319"/>
        <w:spacing w:after="0"/>
        <w:tabs>
          <w:tab w:leader="none" w:pos="2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submitted to and pre-approved by the Authorizing Officer;</w:t>
      </w:r>
    </w:p>
    <w:p>
      <w:pPr>
        <w:spacing w:after="0" w:line="103" w:lineRule="exact"/>
        <w:rPr>
          <w:rFonts w:ascii="Times New Roman" w:cs="Times New Roman" w:eastAsia="Times New Roman" w:hAnsi="Times New Roman"/>
          <w:sz w:val="20"/>
          <w:szCs w:val="20"/>
          <w:color w:val="auto"/>
        </w:rPr>
      </w:pPr>
    </w:p>
    <w:p>
      <w:pPr>
        <w:ind w:left="2080" w:hanging="319"/>
        <w:spacing w:after="0"/>
        <w:tabs>
          <w:tab w:leader="none" w:pos="2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w:t>
      </w:r>
      <w:r>
        <w:rPr>
          <w:rFonts w:ascii="Times New Roman" w:cs="Times New Roman" w:eastAsia="Times New Roman" w:hAnsi="Times New Roman"/>
          <w:sz w:val="20"/>
          <w:szCs w:val="20"/>
          <w:b w:val="1"/>
          <w:bCs w:val="1"/>
          <w:color w:val="auto"/>
        </w:rPr>
        <w:t>Cooling Off Period</w:t>
      </w:r>
      <w:r>
        <w:rPr>
          <w:rFonts w:ascii="Times New Roman" w:cs="Times New Roman" w:eastAsia="Times New Roman" w:hAnsi="Times New Roman"/>
          <w:sz w:val="20"/>
          <w:szCs w:val="20"/>
          <w:color w:val="auto"/>
        </w:rPr>
        <w:t>” for</w:t>
      </w:r>
    </w:p>
    <w:p>
      <w:pPr>
        <w:spacing w:after="0" w:line="112" w:lineRule="exact"/>
        <w:rPr>
          <w:sz w:val="20"/>
          <w:szCs w:val="20"/>
          <w:color w:val="auto"/>
        </w:rPr>
      </w:pPr>
    </w:p>
    <w:p>
      <w:pPr>
        <w:jc w:val="both"/>
        <w:ind w:left="2740" w:right="219" w:hanging="331"/>
        <w:spacing w:after="0" w:line="248" w:lineRule="auto"/>
        <w:tabs>
          <w:tab w:leader="none" w:pos="2740" w:val="left"/>
        </w:tabs>
        <w:numPr>
          <w:ilvl w:val="1"/>
          <w:numId w:val="4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Section 16 reporting persons that extends to the later of 90 days after adoption of the Trading Plan or two business days after filing the Form 10-K or Form 10-Q covering the fiscal quarter in which the Trading Plan is adopted, up to a maximum of 120 days; and</w:t>
      </w:r>
    </w:p>
    <w:p>
      <w:pPr>
        <w:spacing w:after="0" w:line="85" w:lineRule="exact"/>
        <w:rPr>
          <w:rFonts w:ascii="Courier New" w:cs="Courier New" w:eastAsia="Courier New" w:hAnsi="Courier New"/>
          <w:sz w:val="20"/>
          <w:szCs w:val="20"/>
          <w:color w:val="auto"/>
        </w:rPr>
      </w:pPr>
    </w:p>
    <w:p>
      <w:pPr>
        <w:ind w:left="2740" w:right="219" w:hanging="331"/>
        <w:spacing w:after="0" w:line="251" w:lineRule="auto"/>
        <w:tabs>
          <w:tab w:leader="none" w:pos="2740" w:val="left"/>
        </w:tabs>
        <w:numPr>
          <w:ilvl w:val="1"/>
          <w:numId w:val="44"/>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employees and any other persons, other than the Company or Section 16 reporting persons, that extends 30 days after adoption of the Trading Plan;</w:t>
      </w:r>
    </w:p>
    <w:p>
      <w:pPr>
        <w:spacing w:after="0" w:line="81" w:lineRule="exact"/>
        <w:rPr>
          <w:rFonts w:ascii="Courier New" w:cs="Courier New" w:eastAsia="Courier New" w:hAnsi="Courier New"/>
          <w:sz w:val="20"/>
          <w:szCs w:val="20"/>
          <w:color w:val="auto"/>
        </w:rPr>
      </w:pPr>
    </w:p>
    <w:p>
      <w:pPr>
        <w:jc w:val="both"/>
        <w:ind w:left="2080" w:right="219" w:hanging="319"/>
        <w:spacing w:after="0" w:line="254" w:lineRule="auto"/>
        <w:tabs>
          <w:tab w:leader="none" w:pos="2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79" w:lineRule="exact"/>
        <w:rPr>
          <w:rFonts w:ascii="Times New Roman" w:cs="Times New Roman" w:eastAsia="Times New Roman" w:hAnsi="Times New Roman"/>
          <w:sz w:val="20"/>
          <w:szCs w:val="20"/>
          <w:color w:val="auto"/>
        </w:rPr>
      </w:pPr>
    </w:p>
    <w:p>
      <w:pPr>
        <w:jc w:val="both"/>
        <w:ind w:left="2080" w:right="219" w:hanging="319"/>
        <w:spacing w:after="0" w:line="254" w:lineRule="auto"/>
        <w:tabs>
          <w:tab w:leader="none" w:pos="2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79" w:lineRule="exact"/>
        <w:rPr>
          <w:rFonts w:ascii="Times New Roman" w:cs="Times New Roman" w:eastAsia="Times New Roman" w:hAnsi="Times New Roman"/>
          <w:sz w:val="20"/>
          <w:szCs w:val="20"/>
          <w:color w:val="auto"/>
        </w:rPr>
      </w:pPr>
    </w:p>
    <w:p>
      <w:pPr>
        <w:jc w:val="both"/>
        <w:ind w:left="2080" w:right="219" w:hanging="319"/>
        <w:spacing w:after="0" w:line="254" w:lineRule="auto"/>
        <w:tabs>
          <w:tab w:leader="none" w:pos="2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79" w:lineRule="exact"/>
        <w:rPr>
          <w:rFonts w:ascii="Times New Roman" w:cs="Times New Roman" w:eastAsia="Times New Roman" w:hAnsi="Times New Roman"/>
          <w:sz w:val="20"/>
          <w:szCs w:val="20"/>
          <w:color w:val="auto"/>
        </w:rPr>
      </w:pPr>
    </w:p>
    <w:p>
      <w:pPr>
        <w:ind w:left="2080" w:hanging="319"/>
        <w:spacing w:after="0"/>
        <w:tabs>
          <w:tab w:leader="none" w:pos="2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all other applicable requirements of Rule 10b5-1.</w:t>
      </w:r>
    </w:p>
    <w:p>
      <w:pPr>
        <w:spacing w:after="0" w:line="108" w:lineRule="exact"/>
        <w:rPr>
          <w:sz w:val="20"/>
          <w:szCs w:val="20"/>
          <w:color w:val="auto"/>
        </w:rPr>
      </w:pPr>
    </w:p>
    <w:p>
      <w:pPr>
        <w:jc w:val="both"/>
        <w:ind w:left="1760" w:right="219" w:hanging="582"/>
        <w:spacing w:after="0" w:line="250" w:lineRule="auto"/>
        <w:rPr>
          <w:sz w:val="20"/>
          <w:szCs w:val="20"/>
          <w:color w:val="auto"/>
        </w:rPr>
      </w:pPr>
      <w:r>
        <w:rPr>
          <w:rFonts w:ascii="Times New Roman" w:cs="Times New Roman" w:eastAsia="Times New Roman" w:hAnsi="Times New Roman"/>
          <w:sz w:val="20"/>
          <w:szCs w:val="20"/>
          <w:color w:val="auto"/>
        </w:rPr>
        <w:t>8.1.2.1.</w:t>
      </w:r>
      <w:r>
        <w:rPr>
          <w:sz w:val="20"/>
          <w:szCs w:val="20"/>
          <w:color w:val="auto"/>
        </w:rPr>
        <w:t xml:space="preserve"> </w:t>
      </w:r>
      <w:r>
        <w:rPr>
          <w:rFonts w:ascii="Times New Roman" w:cs="Times New Roman" w:eastAsia="Times New Roman" w:hAnsi="Times New Roman"/>
          <w:sz w:val="20"/>
          <w:szCs w:val="20"/>
          <w:color w:val="auto"/>
        </w:rPr>
        <w:t>Officers, directors and employees may adopt Trading Plans with brokers that outline a pre-set plan for trading of the Company’s shares, including the exercise of options. Trades pursuant to a Trading Plan generally may occur at any time. Individuals may not adopt more than one Trading Plan at a time except under the limited circumstances permitted by Rule 10b5-1 and subject to pre-approval by the Authorizing Officer.</w:t>
      </w:r>
    </w:p>
    <w:p>
      <w:pPr>
        <w:spacing w:after="0" w:line="22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i w:val="1"/>
          <w:iCs w:val="1"/>
          <w:color w:val="auto"/>
        </w:rPr>
        <w:t>8.1.3.</w:t>
      </w:r>
      <w:r>
        <w:rPr>
          <w:sz w:val="20"/>
          <w:szCs w:val="20"/>
          <w:color w:val="auto"/>
        </w:rPr>
        <w:tab/>
      </w:r>
      <w:r>
        <w:rPr>
          <w:rFonts w:ascii="Times New Roman" w:cs="Times New Roman" w:eastAsia="Times New Roman" w:hAnsi="Times New Roman"/>
          <w:sz w:val="19"/>
          <w:szCs w:val="19"/>
          <w:i w:val="1"/>
          <w:iCs w:val="1"/>
          <w:color w:val="auto"/>
        </w:rPr>
        <w:t>Terminations of and Modifications to Trading Plans</w:t>
      </w:r>
    </w:p>
    <w:p>
      <w:pPr>
        <w:spacing w:after="0" w:line="6" w:lineRule="exact"/>
        <w:rPr>
          <w:sz w:val="20"/>
          <w:szCs w:val="20"/>
          <w:color w:val="auto"/>
        </w:rPr>
      </w:pPr>
    </w:p>
    <w:p>
      <w:pPr>
        <w:jc w:val="both"/>
        <w:ind w:left="1760" w:right="219" w:hanging="582"/>
        <w:spacing w:after="0" w:line="253" w:lineRule="auto"/>
        <w:rPr>
          <w:sz w:val="20"/>
          <w:szCs w:val="20"/>
          <w:color w:val="auto"/>
        </w:rPr>
      </w:pPr>
      <w:r>
        <w:rPr>
          <w:rFonts w:ascii="Times New Roman" w:cs="Times New Roman" w:eastAsia="Times New Roman" w:hAnsi="Times New Roman"/>
          <w:sz w:val="20"/>
          <w:szCs w:val="20"/>
          <w:color w:val="auto"/>
        </w:rPr>
        <w:t>8.1.3.1.</w:t>
      </w:r>
      <w:r>
        <w:rPr>
          <w:sz w:val="20"/>
          <w:szCs w:val="20"/>
          <w:color w:val="auto"/>
        </w:rPr>
        <w:t xml:space="preserve"> </w:t>
      </w:r>
      <w:r>
        <w:rPr>
          <w:rFonts w:ascii="Times New Roman" w:cs="Times New Roman" w:eastAsia="Times New Roman" w:hAnsi="Times New Roman"/>
          <w:sz w:val="20"/>
          <w:szCs w:val="20"/>
          <w:color w:val="auto"/>
        </w:rPr>
        <w:t>Terminations of Trading Plans should occur only in unusual circumstances and if the person terminating the plan is acting in good faith. Effectiveness of any termination of a Trading Plan will be subject to the prior review and approval of the Authorizing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1760" w:right="219"/>
        <w:spacing w:after="0" w:line="251" w:lineRule="auto"/>
        <w:rPr>
          <w:sz w:val="20"/>
          <w:szCs w:val="20"/>
          <w:color w:val="auto"/>
        </w:rPr>
      </w:pPr>
      <w:r>
        <w:rPr>
          <w:rFonts w:ascii="Times New Roman" w:cs="Times New Roman" w:eastAsia="Times New Roman" w:hAnsi="Times New Roman"/>
          <w:sz w:val="20"/>
          <w:szCs w:val="20"/>
          <w:color w:val="auto"/>
        </w:rPr>
        <w:t>Officer. Termination is effected upon written notice to the broker. Once a Trading Plan has been terminated, the participant should wait at least 30 days before trading outside of a Trading Plan.</w:t>
      </w:r>
    </w:p>
    <w:p>
      <w:pPr>
        <w:spacing w:after="0" w:line="2"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8.1.3.2.</w:t>
      </w:r>
      <w:r>
        <w:rPr>
          <w:sz w:val="20"/>
          <w:szCs w:val="20"/>
          <w:color w:val="auto"/>
        </w:rPr>
        <w:t xml:space="preserve"> </w:t>
      </w:r>
      <w:r>
        <w:rPr>
          <w:rFonts w:ascii="Times New Roman" w:cs="Times New Roman" w:eastAsia="Times New Roman" w:hAnsi="Times New Roman"/>
          <w:sz w:val="20"/>
          <w:szCs w:val="20"/>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the prior review and approval of the Authorizing Officer, and modifications of a Trading Plan that change the amount, price, or timing of the purchase or sale of the securities underlying a Trading Plan will trigger a new Cooling Off Period (as described in Section 8.1.2 above).</w:t>
      </w:r>
    </w:p>
    <w:p>
      <w:pPr>
        <w:spacing w:after="0" w:line="4"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8.1.3.3.</w:t>
      </w:r>
      <w:r>
        <w:rPr>
          <w:sz w:val="20"/>
          <w:szCs w:val="20"/>
          <w:color w:val="auto"/>
        </w:rPr>
        <w:t xml:space="preserve"> </w:t>
      </w:r>
      <w:r>
        <w:rPr>
          <w:rFonts w:ascii="Times New Roman" w:cs="Times New Roman" w:eastAsia="Times New Roman" w:hAnsi="Times New Roman"/>
          <w:sz w:val="20"/>
          <w:szCs w:val="20"/>
          <w:color w:val="auto"/>
        </w:rPr>
        <w:t>Under certain circumstances, a Trading Plan must be terminated. This may include circumstances such as the announcement of a merger or the occurrence of an event that would cause the transaction either to violate the law or to have an adverse effect on the Company. The Authorizing Officer or administrator of the Company’s share plans is authorized to notify the broker in such circumstances, thereby insulating the insider in the event of termination.</w:t>
      </w:r>
    </w:p>
    <w:p>
      <w:pPr>
        <w:spacing w:after="0" w:line="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i w:val="1"/>
          <w:iCs w:val="1"/>
          <w:color w:val="auto"/>
        </w:rPr>
        <w:t>8.1.4.</w:t>
      </w:r>
      <w:r>
        <w:rPr>
          <w:sz w:val="20"/>
          <w:szCs w:val="20"/>
          <w:color w:val="auto"/>
        </w:rPr>
        <w:tab/>
      </w:r>
      <w:r>
        <w:rPr>
          <w:rFonts w:ascii="Times New Roman" w:cs="Times New Roman" w:eastAsia="Times New Roman" w:hAnsi="Times New Roman"/>
          <w:sz w:val="19"/>
          <w:szCs w:val="19"/>
          <w:i w:val="1"/>
          <w:iCs w:val="1"/>
          <w:color w:val="auto"/>
        </w:rPr>
        <w:t>Discretionary Plans</w:t>
      </w: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8.1.4.1.</w:t>
      </w:r>
      <w:r>
        <w:rPr>
          <w:sz w:val="20"/>
          <w:szCs w:val="20"/>
          <w:color w:val="auto"/>
        </w:rPr>
        <w:t xml:space="preserve"> </w:t>
      </w:r>
      <w:r>
        <w:rPr>
          <w:rFonts w:ascii="Times New Roman" w:cs="Times New Roman" w:eastAsia="Times New Roman" w:hAnsi="Times New Roman"/>
          <w:sz w:val="20"/>
          <w:szCs w:val="20"/>
          <w:color w:val="auto"/>
        </w:rPr>
        <w:t>Although non-discretionary Trading Plans are preferred, discretionary Trading Plans, where the discretion or control over trading is transferred to a broker, are permitted if pre-approved by the Authorizing Officer.</w:t>
      </w:r>
    </w:p>
    <w:p>
      <w:pPr>
        <w:spacing w:after="0" w:line="2"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8.1.4.2.</w:t>
      </w:r>
      <w:r>
        <w:rPr>
          <w:sz w:val="20"/>
          <w:szCs w:val="20"/>
          <w:color w:val="auto"/>
        </w:rPr>
        <w:t xml:space="preserve"> </w:t>
      </w:r>
      <w:r>
        <w:rPr>
          <w:rFonts w:ascii="Times New Roman" w:cs="Times New Roman" w:eastAsia="Times New Roman" w:hAnsi="Times New Roman"/>
          <w:sz w:val="20"/>
          <w:szCs w:val="20"/>
          <w:color w:val="auto"/>
        </w:rPr>
        <w:t>The Authorizing Officer of the Company must pre-approve any Trading Plan, arrangement or trading instructions, etc., involving potential sales or purchases of the Company’s shares or option exercises, including but not limited to, blind trusts, discretionary accounts with banks or brokers, or limit orders. The actual transactions effected pursuant to a pre-approved Trading Plan will not be subject to further pre-clearance for transactions in the Company’s shares once the Trading Plan or other arrangement has been pre-approved.</w:t>
      </w:r>
    </w:p>
    <w:p>
      <w:pPr>
        <w:spacing w:after="0" w:line="4" w:lineRule="exact"/>
        <w:rPr>
          <w:sz w:val="20"/>
          <w:szCs w:val="20"/>
          <w:color w:val="auto"/>
        </w:rPr>
      </w:pPr>
    </w:p>
    <w:p>
      <w:pPr>
        <w:jc w:val="both"/>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8.1.5.</w:t>
      </w:r>
      <w:r>
        <w:rPr>
          <w:sz w:val="20"/>
          <w:szCs w:val="20"/>
          <w:color w:val="auto"/>
        </w:rPr>
        <w:tab/>
      </w:r>
      <w:r>
        <w:rPr>
          <w:rFonts w:ascii="Times New Roman" w:cs="Times New Roman" w:eastAsia="Times New Roman" w:hAnsi="Times New Roman"/>
          <w:sz w:val="20"/>
          <w:szCs w:val="20"/>
          <w:i w:val="1"/>
          <w:iCs w:val="1"/>
          <w:color w:val="auto"/>
        </w:rPr>
        <w:t>Reporting (if Required)</w:t>
      </w:r>
      <w:r>
        <w:rPr>
          <w:rFonts w:ascii="Times New Roman" w:cs="Times New Roman" w:eastAsia="Times New Roman" w:hAnsi="Times New Roman"/>
          <w:sz w:val="20"/>
          <w:szCs w:val="20"/>
          <w:color w:val="auto"/>
        </w:rPr>
        <w:t>. If required, an SEC Form 144 will be filled out and filed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individual/brokerage firm in accordance with the existing rules regarding Form 144 filings. A footnote at the bottom of the Form 144 should indicate that the trades “are in accordance with a Trading Plan that complies with Rule 10b5-1 adopted on ____ and expires ____.” For</w:t>
      </w:r>
    </w:p>
    <w:p>
      <w:pPr>
        <w:spacing w:after="0" w:line="2" w:lineRule="exact"/>
        <w:rPr>
          <w:sz w:val="20"/>
          <w:szCs w:val="20"/>
          <w:color w:val="auto"/>
        </w:rPr>
      </w:pPr>
    </w:p>
    <w:p>
      <w:pPr>
        <w:jc w:val="both"/>
        <w:ind w:left="1320" w:right="219"/>
        <w:spacing w:after="0" w:line="245" w:lineRule="auto"/>
        <w:rPr>
          <w:sz w:val="20"/>
          <w:szCs w:val="20"/>
          <w:color w:val="auto"/>
        </w:rPr>
      </w:pPr>
      <w:r>
        <w:rPr>
          <w:rFonts w:ascii="Times New Roman" w:cs="Times New Roman" w:eastAsia="Times New Roman" w:hAnsi="Times New Roman"/>
          <w:sz w:val="20"/>
          <w:szCs w:val="20"/>
          <w:color w:val="auto"/>
        </w:rPr>
        <w:t>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1" w:lineRule="exact"/>
        <w:rPr>
          <w:sz w:val="20"/>
          <w:szCs w:val="20"/>
          <w:color w:val="auto"/>
        </w:rPr>
      </w:pP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8.1.6.</w:t>
      </w:r>
      <w:r>
        <w:rPr>
          <w:sz w:val="20"/>
          <w:szCs w:val="20"/>
          <w:color w:val="auto"/>
        </w:rPr>
        <w:tab/>
      </w:r>
      <w:r>
        <w:rPr>
          <w:rFonts w:ascii="Times New Roman" w:cs="Times New Roman" w:eastAsia="Times New Roman" w:hAnsi="Times New Roman"/>
          <w:sz w:val="20"/>
          <w:szCs w:val="20"/>
          <w:i w:val="1"/>
          <w:iCs w:val="1"/>
          <w:color w:val="auto"/>
        </w:rPr>
        <w:t>Options</w:t>
      </w:r>
      <w:r>
        <w:rPr>
          <w:rFonts w:ascii="Times New Roman" w:cs="Times New Roman" w:eastAsia="Times New Roman" w:hAnsi="Times New Roman"/>
          <w:sz w:val="20"/>
          <w:szCs w:val="20"/>
          <w:color w:val="auto"/>
        </w:rPr>
        <w:t>. Exercises of options for cash may be executed at any time. “Cashless exercise”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share plans will fill in the number of shares and the date of exercise on the previously signed exercise form. The insider should not be involved with this part of the exercise.</w:t>
      </w:r>
    </w:p>
    <w:p>
      <w:pPr>
        <w:spacing w:after="0" w:line="8" w:lineRule="exact"/>
        <w:rPr>
          <w:sz w:val="20"/>
          <w:szCs w:val="20"/>
          <w:color w:val="auto"/>
        </w:rPr>
      </w:pPr>
    </w:p>
    <w:p>
      <w:pPr>
        <w:jc w:val="both"/>
        <w:ind w:left="1320" w:right="219" w:hanging="453"/>
        <w:spacing w:after="0" w:line="244" w:lineRule="auto"/>
        <w:tabs>
          <w:tab w:leader="none" w:pos="1300" w:val="left"/>
        </w:tabs>
        <w:rPr>
          <w:sz w:val="20"/>
          <w:szCs w:val="20"/>
          <w:color w:val="auto"/>
        </w:rPr>
      </w:pPr>
      <w:r>
        <w:rPr>
          <w:rFonts w:ascii="Times New Roman" w:cs="Times New Roman" w:eastAsia="Times New Roman" w:hAnsi="Times New Roman"/>
          <w:sz w:val="20"/>
          <w:szCs w:val="20"/>
          <w:color w:val="auto"/>
        </w:rPr>
        <w:t>8.1.7.</w:t>
      </w:r>
      <w:r>
        <w:rPr>
          <w:sz w:val="20"/>
          <w:szCs w:val="20"/>
          <w:color w:val="auto"/>
        </w:rPr>
        <w:tab/>
      </w:r>
      <w:r>
        <w:rPr>
          <w:rFonts w:ascii="Times New Roman" w:cs="Times New Roman" w:eastAsia="Times New Roman" w:hAnsi="Times New Roman"/>
          <w:sz w:val="20"/>
          <w:szCs w:val="20"/>
          <w:i w:val="1"/>
          <w:iCs w:val="1"/>
          <w:color w:val="auto"/>
        </w:rPr>
        <w:t>Trades Outside of a Trading Plan</w:t>
      </w:r>
      <w:r>
        <w:rPr>
          <w:rFonts w:ascii="Times New Roman" w:cs="Times New Roman" w:eastAsia="Times New Roman" w:hAnsi="Times New Roman"/>
          <w:sz w:val="20"/>
          <w:szCs w:val="20"/>
          <w:color w:val="auto"/>
        </w:rPr>
        <w:t>. During an open trading window, trades differing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Trading Plan instructions that are already in place are allowed as long as the Trading Plan continues to be followed in accordance with the requirements of Rule 10b5-1.</w:t>
      </w:r>
    </w:p>
    <w:p>
      <w:pPr>
        <w:spacing w:after="0" w:line="1" w:lineRule="exact"/>
        <w:rPr>
          <w:sz w:val="20"/>
          <w:szCs w:val="20"/>
          <w:color w:val="auto"/>
        </w:rPr>
      </w:pPr>
    </w:p>
    <w:p>
      <w:pPr>
        <w:jc w:val="both"/>
        <w:ind w:left="1320" w:right="219" w:hanging="453"/>
        <w:spacing w:after="0" w:line="260" w:lineRule="auto"/>
        <w:tabs>
          <w:tab w:leader="none" w:pos="1300" w:val="left"/>
        </w:tabs>
        <w:rPr>
          <w:sz w:val="20"/>
          <w:szCs w:val="20"/>
          <w:color w:val="auto"/>
        </w:rPr>
      </w:pPr>
      <w:r>
        <w:rPr>
          <w:rFonts w:ascii="Times New Roman" w:cs="Times New Roman" w:eastAsia="Times New Roman" w:hAnsi="Times New Roman"/>
          <w:sz w:val="20"/>
          <w:szCs w:val="20"/>
          <w:color w:val="auto"/>
        </w:rPr>
        <w:t>8.1.8.</w:t>
      </w:r>
      <w:r>
        <w:rPr>
          <w:sz w:val="20"/>
          <w:szCs w:val="20"/>
          <w:color w:val="auto"/>
        </w:rPr>
        <w:tab/>
      </w:r>
      <w:r>
        <w:rPr>
          <w:rFonts w:ascii="Times New Roman" w:cs="Times New Roman" w:eastAsia="Times New Roman" w:hAnsi="Times New Roman"/>
          <w:sz w:val="20"/>
          <w:szCs w:val="20"/>
          <w:i w:val="1"/>
          <w:iCs w:val="1"/>
          <w:color w:val="auto"/>
        </w:rPr>
        <w:t>Public Disclosure</w:t>
      </w:r>
      <w:r>
        <w:rPr>
          <w:rFonts w:ascii="Times New Roman" w:cs="Times New Roman" w:eastAsia="Times New Roman" w:hAnsi="Times New Roman"/>
          <w:sz w:val="20"/>
          <w:szCs w:val="20"/>
          <w:color w:val="auto"/>
        </w:rPr>
        <w:t>. The Company reserves the right to publicly disclose, announce,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respond to inquiries from the media regarding the adoption, modification, or termination of a</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1320" w:right="239"/>
        <w:spacing w:after="0" w:line="254" w:lineRule="auto"/>
        <w:rPr>
          <w:sz w:val="20"/>
          <w:szCs w:val="20"/>
          <w:color w:val="auto"/>
        </w:rPr>
      </w:pPr>
      <w:r>
        <w:rPr>
          <w:rFonts w:ascii="Times New Roman" w:cs="Times New Roman" w:eastAsia="Times New Roman" w:hAnsi="Times New Roman"/>
          <w:sz w:val="20"/>
          <w:szCs w:val="20"/>
          <w:color w:val="auto"/>
        </w:rPr>
        <w:t>Trading Plan and non-Rule 10b5-1 trading arrangements, or the execution of transactions made under a Trading Plan.</w:t>
      </w:r>
    </w:p>
    <w:p>
      <w:pPr>
        <w:jc w:val="both"/>
        <w:ind w:left="1320" w:right="219" w:hanging="453"/>
        <w:spacing w:after="0" w:line="246" w:lineRule="auto"/>
        <w:tabs>
          <w:tab w:leader="none" w:pos="1300" w:val="left"/>
        </w:tabs>
        <w:rPr>
          <w:sz w:val="20"/>
          <w:szCs w:val="20"/>
          <w:color w:val="auto"/>
        </w:rPr>
      </w:pPr>
      <w:r>
        <w:rPr>
          <w:rFonts w:ascii="Times New Roman" w:cs="Times New Roman" w:eastAsia="Times New Roman" w:hAnsi="Times New Roman"/>
          <w:sz w:val="20"/>
          <w:szCs w:val="20"/>
          <w:color w:val="auto"/>
        </w:rPr>
        <w:t>8.1.9.</w:t>
      </w:r>
      <w:r>
        <w:rPr>
          <w:sz w:val="20"/>
          <w:szCs w:val="20"/>
          <w:color w:val="auto"/>
        </w:rPr>
        <w:tab/>
      </w:r>
      <w:r>
        <w:rPr>
          <w:rFonts w:ascii="Times New Roman" w:cs="Times New Roman" w:eastAsia="Times New Roman" w:hAnsi="Times New Roman"/>
          <w:sz w:val="20"/>
          <w:szCs w:val="20"/>
          <w:i w:val="1"/>
          <w:iCs w:val="1"/>
          <w:color w:val="auto"/>
        </w:rPr>
        <w:t>Prohibited Transactions</w:t>
      </w:r>
      <w:r>
        <w:rPr>
          <w:rFonts w:ascii="Times New Roman" w:cs="Times New Roman" w:eastAsia="Times New Roman" w:hAnsi="Times New Roman"/>
          <w:sz w:val="20"/>
          <w:szCs w:val="20"/>
          <w:color w:val="auto"/>
        </w:rPr>
        <w:t>. The transactions prohibited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this Policy,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among others short sales and hedging transactions, may not be carried out through a Trading Plan or other arrangement or trading instruction involving potential sales or purchases of the Company’s securities.</w:t>
      </w:r>
    </w:p>
    <w:p>
      <w:pPr>
        <w:spacing w:after="0" w:line="2" w:lineRule="exact"/>
        <w:rPr>
          <w:sz w:val="20"/>
          <w:szCs w:val="20"/>
          <w:color w:val="auto"/>
        </w:rPr>
      </w:pPr>
    </w:p>
    <w:p>
      <w:pPr>
        <w:jc w:val="both"/>
        <w:ind w:left="1320" w:right="219" w:hanging="453"/>
        <w:spacing w:after="0" w:line="245" w:lineRule="auto"/>
        <w:rPr>
          <w:sz w:val="20"/>
          <w:szCs w:val="20"/>
          <w:color w:val="auto"/>
        </w:rPr>
      </w:pPr>
      <w:r>
        <w:rPr>
          <w:rFonts w:ascii="Times New Roman" w:cs="Times New Roman" w:eastAsia="Times New Roman" w:hAnsi="Times New Roman"/>
          <w:sz w:val="20"/>
          <w:szCs w:val="20"/>
          <w:color w:val="auto"/>
        </w:rPr>
        <w:t xml:space="preserve">8.1.10. </w:t>
      </w:r>
      <w:r>
        <w:rPr>
          <w:rFonts w:ascii="Times New Roman" w:cs="Times New Roman" w:eastAsia="Times New Roman" w:hAnsi="Times New Roman"/>
          <w:sz w:val="20"/>
          <w:szCs w:val="20"/>
          <w:i w:val="1"/>
          <w:iCs w:val="1"/>
          <w:color w:val="auto"/>
        </w:rPr>
        <w:t>Limitation on Liability</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 xml:space="preserve">None of the Company, the Chief Legal Officer, the General Counsel, the Chief Financial Officer, the Authorizing Officer, the Company’s other employees or any other person will have any liability for any delay in reviewing, or refusal of, a Trading Plan submitted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a request for pre-clearance submitted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this Policy. Notwithstanding any review of a Trading Plan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pre-clearance of a transaction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this Policy, none of the Company, the Chief Legal Officer, the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color w:val="auto"/>
        </w:rPr>
        <w:t>Section 16: Insider Reporting Requirements, Short-Swing Profits and Short Sales</w:t>
      </w: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8.2.1.</w:t>
      </w:r>
      <w:r>
        <w:rPr>
          <w:sz w:val="20"/>
          <w:szCs w:val="20"/>
          <w:color w:val="auto"/>
        </w:rPr>
        <w:tab/>
      </w:r>
      <w:r>
        <w:rPr>
          <w:rFonts w:ascii="Times New Roman" w:cs="Times New Roman" w:eastAsia="Times New Roman" w:hAnsi="Times New Roman"/>
          <w:sz w:val="20"/>
          <w:szCs w:val="20"/>
          <w:i w:val="1"/>
          <w:iCs w:val="1"/>
          <w:color w:val="auto"/>
        </w:rPr>
        <w:t>Reporting Obligations Under Section 16(a): SEC Forms 3, 4, and 5</w:t>
      </w:r>
      <w:r>
        <w:rPr>
          <w:rFonts w:ascii="Times New Roman" w:cs="Times New Roman" w:eastAsia="Times New Roman" w:hAnsi="Times New Roman"/>
          <w:sz w:val="20"/>
          <w:szCs w:val="20"/>
          <w:color w:val="auto"/>
        </w:rPr>
        <w:t>. Section 16(a)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Exchange Act generally requires all officers, directors and 10% shareholders (“insiders”), within 10 days after becoming an officer, director or 10% shareholder, to file with the SEC an “Initial Statement of Beneficial Ownership of Securities” on Form 3 listing the amount of the Company’s shares, options and warrants which the insider beneficially owns. Following the initial filing on Form 3, changes in beneficial ownership of the Company’s shares, options and warrants must be reported on Form 4, generally within two business days after the date on which such change occurs, or in certain cases on Form 5, within 45 days after fiscal year end. A Form 4 must be filed even if, as a result of balancing transactions, there has been no net change in holdings. In certain situations, purchases or sales of Company shares made within six months prior to the filing of a Form 3 must be reported on Form 4. Similarly, certain purchases or sales of Company shares made within six months after an officer or director ceases to be an insider must be reported on Form 4.</w:t>
      </w:r>
    </w:p>
    <w:p>
      <w:pPr>
        <w:spacing w:after="0" w:line="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8.2.2.</w:t>
      </w:r>
      <w:r>
        <w:rPr>
          <w:sz w:val="20"/>
          <w:szCs w:val="20"/>
          <w:color w:val="auto"/>
        </w:rPr>
        <w:tab/>
      </w:r>
      <w:r>
        <w:rPr>
          <w:rFonts w:ascii="Times New Roman" w:cs="Times New Roman" w:eastAsia="Times New Roman" w:hAnsi="Times New Roman"/>
          <w:sz w:val="19"/>
          <w:szCs w:val="19"/>
          <w:i w:val="1"/>
          <w:iCs w:val="1"/>
          <w:color w:val="auto"/>
        </w:rPr>
        <w:t>Recovery of Profits Under Section 16(b)</w:t>
      </w:r>
    </w:p>
    <w:p>
      <w:pPr>
        <w:spacing w:after="0" w:line="6" w:lineRule="exact"/>
        <w:rPr>
          <w:sz w:val="20"/>
          <w:szCs w:val="20"/>
          <w:color w:val="auto"/>
        </w:rPr>
      </w:pPr>
    </w:p>
    <w:p>
      <w:pPr>
        <w:jc w:val="both"/>
        <w:ind w:left="1760" w:right="219" w:hanging="582"/>
        <w:spacing w:after="0" w:line="258" w:lineRule="auto"/>
        <w:rPr>
          <w:sz w:val="20"/>
          <w:szCs w:val="20"/>
          <w:color w:val="auto"/>
        </w:rPr>
      </w:pPr>
      <w:r>
        <w:rPr>
          <w:rFonts w:ascii="Times New Roman" w:cs="Times New Roman" w:eastAsia="Times New Roman" w:hAnsi="Times New Roman"/>
          <w:sz w:val="20"/>
          <w:szCs w:val="20"/>
          <w:color w:val="auto"/>
        </w:rPr>
        <w:t>8.2.2.1.</w:t>
      </w:r>
      <w:r>
        <w:rPr>
          <w:sz w:val="20"/>
          <w:szCs w:val="20"/>
          <w:color w:val="auto"/>
        </w:rPr>
        <w:t xml:space="preserve"> </w:t>
      </w:r>
      <w:r>
        <w:rPr>
          <w:rFonts w:ascii="Times New Roman" w:cs="Times New Roman" w:eastAsia="Times New Roman" w:hAnsi="Times New Roman"/>
          <w:sz w:val="19"/>
          <w:szCs w:val="19"/>
          <w:color w:val="auto"/>
        </w:rPr>
        <w:t>For the purpose of preventing the unfair use of information which may have been obtained by an insider, any profits realized by an insider from any “purchase” and “sale” of Company shares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2"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8.2.2.2.</w:t>
      </w:r>
      <w:r>
        <w:rPr>
          <w:sz w:val="20"/>
          <w:szCs w:val="20"/>
          <w:color w:val="auto"/>
        </w:rPr>
        <w:t xml:space="preserve"> </w:t>
      </w:r>
      <w:r>
        <w:rPr>
          <w:rFonts w:ascii="Times New Roman" w:cs="Times New Roman" w:eastAsia="Times New Roman" w:hAnsi="Times New Roman"/>
          <w:sz w:val="20"/>
          <w:szCs w:val="20"/>
          <w:color w:val="auto"/>
        </w:rPr>
        <w:t>The liability of an insider under Section 16(b) of the Exchange Act is only to the Company itself. The Company, however, cannot waive its right to short swing profits, and any Company shareholder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shareholders.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1760" w:right="219" w:hanging="582"/>
        <w:spacing w:after="0" w:line="249" w:lineRule="auto"/>
        <w:rPr>
          <w:sz w:val="20"/>
          <w:szCs w:val="20"/>
          <w:color w:val="auto"/>
        </w:rPr>
      </w:pPr>
      <w:r>
        <w:rPr>
          <w:rFonts w:ascii="Times New Roman" w:cs="Times New Roman" w:eastAsia="Times New Roman" w:hAnsi="Times New Roman"/>
          <w:sz w:val="20"/>
          <w:szCs w:val="20"/>
          <w:color w:val="auto"/>
        </w:rPr>
        <w:t>8.2.2.3.</w:t>
      </w:r>
      <w:r>
        <w:rPr>
          <w:sz w:val="20"/>
          <w:szCs w:val="20"/>
          <w:color w:val="auto"/>
        </w:rPr>
        <w:t xml:space="preserve"> </w:t>
      </w:r>
      <w:r>
        <w:rPr>
          <w:rFonts w:ascii="Times New Roman" w:cs="Times New Roman" w:eastAsia="Times New Roman" w:hAnsi="Times New Roman"/>
          <w:sz w:val="20"/>
          <w:szCs w:val="20"/>
          <w:color w:val="auto"/>
        </w:rPr>
        <w:t>Officers and directors should consult the attached “Short-Swing Profit Rule Section 16(b) Checklist” attached hereto as “Attachment A” in addition to consulting the Chief Legal Officer or General Counsel prior to engaging in any transactions involving the Company’s securities, including without limitation, the Company’s shares, options or warrants. The Company’s employees who are not officers, directors or insiders may disregard Attachment A.</w:t>
      </w: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8.2.3.</w:t>
      </w:r>
      <w:r>
        <w:rPr>
          <w:sz w:val="20"/>
          <w:szCs w:val="20"/>
          <w:color w:val="auto"/>
        </w:rPr>
        <w:tab/>
      </w:r>
      <w:r>
        <w:rPr>
          <w:rFonts w:ascii="Times New Roman" w:cs="Times New Roman" w:eastAsia="Times New Roman" w:hAnsi="Times New Roman"/>
          <w:sz w:val="19"/>
          <w:szCs w:val="19"/>
          <w:i w:val="1"/>
          <w:iCs w:val="1"/>
          <w:color w:val="auto"/>
        </w:rPr>
        <w:t>Short Sales Prohibited Under Section 16(c)</w:t>
      </w:r>
    </w:p>
    <w:p>
      <w:pPr>
        <w:spacing w:after="0" w:line="6"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8.2.3.1.</w:t>
      </w:r>
      <w:r>
        <w:rPr>
          <w:sz w:val="20"/>
          <w:szCs w:val="20"/>
          <w:color w:val="auto"/>
        </w:rPr>
        <w:t xml:space="preserve"> </w:t>
      </w:r>
      <w:r>
        <w:rPr>
          <w:rFonts w:ascii="Times New Roman" w:cs="Times New Roman" w:eastAsia="Times New Roman" w:hAnsi="Times New Roman"/>
          <w:sz w:val="20"/>
          <w:szCs w:val="20"/>
          <w:color w:val="auto"/>
        </w:rPr>
        <w:t>Section 16(c) of the Exchange Act prohibits insiders absolutely from making short sales of the Company’s equity securities. Short sales include sales of shares which the insider does not own at the time of sale, or sales of shares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2"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8.2.3.2.</w:t>
      </w:r>
      <w:r>
        <w:rPr>
          <w:sz w:val="20"/>
          <w:szCs w:val="20"/>
          <w:color w:val="auto"/>
        </w:rPr>
        <w:t xml:space="preserve"> </w:t>
      </w:r>
      <w:r>
        <w:rPr>
          <w:rFonts w:ascii="Times New Roman" w:cs="Times New Roman" w:eastAsia="Times New Roman" w:hAnsi="Times New Roman"/>
          <w:sz w:val="20"/>
          <w:szCs w:val="20"/>
          <w:color w:val="auto"/>
        </w:rPr>
        <w:t>The Chief Legal Officer or General Counsel should be consulted if you have any questions regarding reporting obligations, short-swing profits or short sales under Section 16.</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color w:val="auto"/>
        </w:rPr>
        <w:t>Rule 144</w:t>
      </w:r>
    </w:p>
    <w:p>
      <w:pPr>
        <w:jc w:val="both"/>
        <w:ind w:left="1320" w:right="219" w:hanging="453"/>
        <w:spacing w:after="0" w:line="245" w:lineRule="auto"/>
        <w:tabs>
          <w:tab w:leader="none" w:pos="1300" w:val="left"/>
        </w:tabs>
        <w:rPr>
          <w:sz w:val="20"/>
          <w:szCs w:val="20"/>
          <w:color w:val="auto"/>
        </w:rPr>
      </w:pPr>
      <w:r>
        <w:rPr>
          <w:rFonts w:ascii="Times New Roman" w:cs="Times New Roman" w:eastAsia="Times New Roman" w:hAnsi="Times New Roman"/>
          <w:sz w:val="20"/>
          <w:szCs w:val="20"/>
          <w:color w:val="auto"/>
        </w:rPr>
        <w:t>8.3.1.</w:t>
        <w:tab/>
        <w:t>Rule 144 provides a safe harbor exemption to the registration requirements of the Securities Act of 1933, as amended, for certain resales of “restricted securities” and “control securities.” “</w:t>
      </w:r>
      <w:r>
        <w:rPr>
          <w:rFonts w:ascii="Times New Roman" w:cs="Times New Roman" w:eastAsia="Times New Roman" w:hAnsi="Times New Roman"/>
          <w:sz w:val="20"/>
          <w:szCs w:val="20"/>
          <w:b w:val="1"/>
          <w:bCs w:val="1"/>
          <w:color w:val="auto"/>
        </w:rPr>
        <w:t>Restricted securities</w:t>
      </w:r>
      <w:r>
        <w:rPr>
          <w:rFonts w:ascii="Times New Roman" w:cs="Times New Roman" w:eastAsia="Times New Roman" w:hAnsi="Times New Roman"/>
          <w:sz w:val="20"/>
          <w:szCs w:val="20"/>
          <w:color w:val="auto"/>
        </w:rPr>
        <w:t>” are securities acquired from an issuer, or an affiliate of an issuer, in a transaction or chain of transactions not involving a public offering. “</w:t>
      </w:r>
      <w:r>
        <w:rPr>
          <w:rFonts w:ascii="Times New Roman" w:cs="Times New Roman" w:eastAsia="Times New Roman" w:hAnsi="Times New Roman"/>
          <w:sz w:val="20"/>
          <w:szCs w:val="20"/>
          <w:b w:val="1"/>
          <w:bCs w:val="1"/>
          <w:color w:val="auto"/>
        </w:rPr>
        <w:t>Control securities</w:t>
      </w:r>
      <w:r>
        <w:rPr>
          <w:rFonts w:ascii="Times New Roman" w:cs="Times New Roman" w:eastAsia="Times New Roman" w:hAnsi="Times New Roman"/>
          <w:sz w:val="20"/>
          <w:szCs w:val="20"/>
          <w:color w:val="auto"/>
        </w:rPr>
        <w:t>” are any securities owned by directors, executive officers or other “affiliates” of the issuer, including shares purchased in the open market and shares received upon exercise of share options. Sales of Company restricted and control securities must comply with the requirements of Rule 144, which are summarized below:</w:t>
      </w:r>
    </w:p>
    <w:p>
      <w:pPr>
        <w:spacing w:after="0" w:line="5" w:lineRule="exact"/>
        <w:rPr>
          <w:sz w:val="20"/>
          <w:szCs w:val="20"/>
          <w:color w:val="auto"/>
        </w:rPr>
      </w:pPr>
    </w:p>
    <w:p>
      <w:pPr>
        <w:jc w:val="both"/>
        <w:ind w:left="1760" w:right="219" w:hanging="582"/>
        <w:spacing w:after="0" w:line="242" w:lineRule="auto"/>
        <w:rPr>
          <w:sz w:val="20"/>
          <w:szCs w:val="20"/>
          <w:color w:val="auto"/>
        </w:rPr>
      </w:pPr>
      <w:r>
        <w:rPr>
          <w:rFonts w:ascii="Times New Roman" w:cs="Times New Roman" w:eastAsia="Times New Roman" w:hAnsi="Times New Roman"/>
          <w:sz w:val="20"/>
          <w:szCs w:val="20"/>
          <w:color w:val="auto"/>
        </w:rPr>
        <w:t>8.3.1.1.</w:t>
      </w:r>
      <w:r>
        <w:rPr>
          <w:sz w:val="20"/>
          <w:szCs w:val="20"/>
          <w:color w:val="auto"/>
        </w:rPr>
        <w:t xml:space="preserve"> </w:t>
      </w:r>
      <w:r>
        <w:rPr>
          <w:rFonts w:ascii="Times New Roman" w:cs="Times New Roman" w:eastAsia="Times New Roman" w:hAnsi="Times New Roman"/>
          <w:sz w:val="20"/>
          <w:szCs w:val="20"/>
          <w:i w:val="1"/>
          <w:iCs w:val="1"/>
          <w:color w:val="auto"/>
        </w:rPr>
        <w:t>Holding Period</w:t>
      </w:r>
      <w:r>
        <w:rPr>
          <w:rFonts w:ascii="Times New Roman" w:cs="Times New Roman" w:eastAsia="Times New Roman" w:hAnsi="Times New Roman"/>
          <w:sz w:val="20"/>
          <w:szCs w:val="20"/>
          <w:color w:val="auto"/>
        </w:rPr>
        <w:t>. Restricted securities must be held for at least six months before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may be sold in the market.</w:t>
      </w:r>
    </w:p>
    <w:p>
      <w:pPr>
        <w:spacing w:after="0" w:line="2" w:lineRule="exact"/>
        <w:rPr>
          <w:sz w:val="20"/>
          <w:szCs w:val="20"/>
          <w:color w:val="auto"/>
        </w:rPr>
      </w:pPr>
    </w:p>
    <w:p>
      <w:pPr>
        <w:jc w:val="both"/>
        <w:ind w:left="1760" w:right="219" w:hanging="582"/>
        <w:spacing w:after="0" w:line="246" w:lineRule="auto"/>
        <w:rPr>
          <w:sz w:val="20"/>
          <w:szCs w:val="20"/>
          <w:color w:val="auto"/>
        </w:rPr>
      </w:pPr>
      <w:r>
        <w:rPr>
          <w:rFonts w:ascii="Times New Roman" w:cs="Times New Roman" w:eastAsia="Times New Roman" w:hAnsi="Times New Roman"/>
          <w:sz w:val="20"/>
          <w:szCs w:val="20"/>
          <w:color w:val="auto"/>
        </w:rPr>
        <w:t>8.3.1.2.</w:t>
      </w:r>
      <w:r>
        <w:rPr>
          <w:sz w:val="20"/>
          <w:szCs w:val="20"/>
          <w:color w:val="auto"/>
        </w:rPr>
        <w:t xml:space="preserve"> </w:t>
      </w:r>
      <w:r>
        <w:rPr>
          <w:rFonts w:ascii="Times New Roman" w:cs="Times New Roman" w:eastAsia="Times New Roman" w:hAnsi="Times New Roman"/>
          <w:sz w:val="20"/>
          <w:szCs w:val="20"/>
          <w:i w:val="1"/>
          <w:iCs w:val="1"/>
          <w:color w:val="auto"/>
        </w:rPr>
        <w:t>Current Public Information</w:t>
      </w:r>
      <w:r>
        <w:rPr>
          <w:rFonts w:ascii="Times New Roman" w:cs="Times New Roman" w:eastAsia="Times New Roman" w:hAnsi="Times New Roman"/>
          <w:sz w:val="20"/>
          <w:szCs w:val="20"/>
          <w:color w:val="auto"/>
        </w:rPr>
        <w:t>. The Company must have filed all SEC-required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reports during the last 12 months or such shorter period that the Company was required to file such reports.</w:t>
      </w:r>
    </w:p>
    <w:p>
      <w:pPr>
        <w:spacing w:after="0" w:line="2"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8.3.1.3.</w:t>
      </w:r>
      <w:r>
        <w:rPr>
          <w:sz w:val="20"/>
          <w:szCs w:val="20"/>
          <w:color w:val="auto"/>
        </w:rPr>
        <w:t xml:space="preserve"> </w:t>
      </w:r>
      <w:r>
        <w:rPr>
          <w:rFonts w:ascii="Times New Roman" w:cs="Times New Roman" w:eastAsia="Times New Roman" w:hAnsi="Times New Roman"/>
          <w:sz w:val="20"/>
          <w:szCs w:val="20"/>
          <w:i w:val="1"/>
          <w:iCs w:val="1"/>
          <w:color w:val="auto"/>
        </w:rPr>
        <w:t>Volume Limitations</w:t>
      </w:r>
      <w:r>
        <w:rPr>
          <w:rFonts w:ascii="Times New Roman" w:cs="Times New Roman" w:eastAsia="Times New Roman" w:hAnsi="Times New Roman"/>
          <w:sz w:val="20"/>
          <w:szCs w:val="20"/>
          <w:color w:val="auto"/>
        </w:rPr>
        <w:t>. For affiliates, total sales of Company common shares for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three-month period may not exceed the greater of: (i) 1% of the total number of outstanding shares of Company common shares, as reflected in the most recent report or statement published by the Company, or (ii) the average weekly reported volume of such shares traded during the four calendar weeks preceding the filing of the requisite Form 144.</w:t>
      </w:r>
    </w:p>
    <w:p>
      <w:pPr>
        <w:spacing w:after="0" w:line="2" w:lineRule="exact"/>
        <w:rPr>
          <w:sz w:val="20"/>
          <w:szCs w:val="20"/>
          <w:color w:val="auto"/>
        </w:rPr>
      </w:pPr>
    </w:p>
    <w:p>
      <w:pPr>
        <w:jc w:val="both"/>
        <w:ind w:left="1760" w:right="219" w:hanging="582"/>
        <w:spacing w:after="0" w:line="245" w:lineRule="auto"/>
        <w:rPr>
          <w:sz w:val="20"/>
          <w:szCs w:val="20"/>
          <w:color w:val="auto"/>
        </w:rPr>
      </w:pPr>
      <w:r>
        <w:rPr>
          <w:rFonts w:ascii="Times New Roman" w:cs="Times New Roman" w:eastAsia="Times New Roman" w:hAnsi="Times New Roman"/>
          <w:sz w:val="20"/>
          <w:szCs w:val="20"/>
          <w:color w:val="auto"/>
        </w:rPr>
        <w:t>8.3.1.4.</w:t>
      </w:r>
      <w:r>
        <w:rPr>
          <w:sz w:val="20"/>
          <w:szCs w:val="20"/>
          <w:color w:val="auto"/>
        </w:rPr>
        <w:t xml:space="preserve"> </w:t>
      </w:r>
      <w:r>
        <w:rPr>
          <w:rFonts w:ascii="Times New Roman" w:cs="Times New Roman" w:eastAsia="Times New Roman" w:hAnsi="Times New Roman"/>
          <w:sz w:val="20"/>
          <w:szCs w:val="20"/>
          <w:i w:val="1"/>
          <w:iCs w:val="1"/>
          <w:color w:val="auto"/>
        </w:rPr>
        <w:t>Method of Sale</w:t>
      </w:r>
      <w:r>
        <w:rPr>
          <w:rFonts w:ascii="Times New Roman" w:cs="Times New Roman" w:eastAsia="Times New Roman" w:hAnsi="Times New Roman"/>
          <w:sz w:val="20"/>
          <w:szCs w:val="20"/>
          <w:color w:val="auto"/>
        </w:rPr>
        <w:t>. For affiliates, the shares must be sold either in a “broker’s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or in a transaction directly with a “market maker.” A “</w:t>
      </w: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is one in which the broker does no more than execute the sale order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the usual and customary commission. Neither the broker nor the selling person can solicit or arrange for the sale order. In addition, the selling person must not pay any fee or commission other than to the broker. A “</w:t>
      </w:r>
      <w:r>
        <w:rPr>
          <w:rFonts w:ascii="Times New Roman" w:cs="Times New Roman" w:eastAsia="Times New Roman" w:hAnsi="Times New Roman"/>
          <w:sz w:val="20"/>
          <w:szCs w:val="20"/>
          <w:b w:val="1"/>
          <w:bCs w:val="1"/>
          <w:color w:val="auto"/>
        </w:rPr>
        <w:t>market maker</w:t>
      </w:r>
      <w:r>
        <w:rPr>
          <w:rFonts w:ascii="Times New Roman" w:cs="Times New Roman" w:eastAsia="Times New Roman" w:hAnsi="Times New Roman"/>
          <w:sz w:val="20"/>
          <w:szCs w:val="20"/>
          <w:color w:val="auto"/>
        </w:rPr>
        <w:t>” includes a specialist permitted to act as a dealer, a dealer acting in the position of a block positioner, and a dealer who holds himself out as being willing to buy and sell Company common shares for his own account on a regular and continuous basis.</w:t>
      </w:r>
    </w:p>
    <w:p>
      <w:pPr>
        <w:spacing w:after="0" w:line="7" w:lineRule="exact"/>
        <w:rPr>
          <w:sz w:val="20"/>
          <w:szCs w:val="20"/>
          <w:color w:val="auto"/>
        </w:rPr>
      </w:pPr>
    </w:p>
    <w:p>
      <w:pPr>
        <w:jc w:val="both"/>
        <w:ind w:left="1760" w:right="219" w:hanging="582"/>
        <w:spacing w:after="0" w:line="251" w:lineRule="auto"/>
        <w:rPr>
          <w:sz w:val="20"/>
          <w:szCs w:val="20"/>
          <w:color w:val="auto"/>
        </w:rPr>
      </w:pPr>
      <w:r>
        <w:rPr>
          <w:rFonts w:ascii="Times New Roman" w:cs="Times New Roman" w:eastAsia="Times New Roman" w:hAnsi="Times New Roman"/>
          <w:sz w:val="20"/>
          <w:szCs w:val="20"/>
          <w:color w:val="auto"/>
        </w:rPr>
        <w:t>8.3.1.5.</w:t>
      </w:r>
      <w:r>
        <w:rPr>
          <w:sz w:val="20"/>
          <w:szCs w:val="20"/>
          <w:color w:val="auto"/>
        </w:rPr>
        <w:t xml:space="preserve"> </w:t>
      </w:r>
      <w:r>
        <w:rPr>
          <w:rFonts w:ascii="Times New Roman" w:cs="Times New Roman" w:eastAsia="Times New Roman" w:hAnsi="Times New Roman"/>
          <w:sz w:val="20"/>
          <w:szCs w:val="20"/>
          <w:i w:val="1"/>
          <w:iCs w:val="1"/>
          <w:color w:val="auto"/>
        </w:rPr>
        <w:t>Notice of Proposed Sale</w:t>
      </w:r>
      <w:r>
        <w:rPr>
          <w:rFonts w:ascii="Times New Roman" w:cs="Times New Roman" w:eastAsia="Times New Roman" w:hAnsi="Times New Roman"/>
          <w:sz w:val="20"/>
          <w:szCs w:val="20"/>
          <w:color w:val="auto"/>
        </w:rPr>
        <w:t>. For affiliates, a notice of the sale (a Form 144)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to be filed with the SEC at the time of the sale. Brokers generally have internal procedures for executing sales under Rule 144 and will assist you in completing the Form 144 and in complying with the other requirements of Rule 144.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1320" w:right="219" w:hanging="453"/>
        <w:spacing w:after="0" w:line="260" w:lineRule="auto"/>
        <w:tabs>
          <w:tab w:leader="none" w:pos="1300" w:val="left"/>
        </w:tabs>
        <w:rPr>
          <w:sz w:val="20"/>
          <w:szCs w:val="20"/>
          <w:color w:val="auto"/>
        </w:rPr>
      </w:pPr>
      <w:r>
        <w:rPr>
          <w:rFonts w:ascii="Times New Roman" w:cs="Times New Roman" w:eastAsia="Times New Roman" w:hAnsi="Times New Roman"/>
          <w:sz w:val="20"/>
          <w:szCs w:val="20"/>
          <w:color w:val="auto"/>
        </w:rPr>
        <w:t>8.3.2.</w:t>
        <w:tab/>
        <w:t>If you are subject to Rule 144, you must instruct your broker who handles trades in Company securities to follow the brokerage firm’s Rule 144 compliance procedures in connection with all trades.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9.  Review Cycle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This Policy will be reviewed every 3 years.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10. Training</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Training will be conducted on this Policy as directed by Compliance or Legal.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11. Violations</w:t>
      </w:r>
    </w:p>
    <w:p>
      <w:pPr>
        <w:spacing w:after="0" w:line="21"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Failure to comply with this Policy may result in disciplinary procedures (up to and including termination) in accordance with Kiniksa Policies. Violations of this Policy should be reported to the Compliance department, the Legal department or management in accordance with Kiniksa’s Policy on Compliance Violation Reporting and Non-Retaliation.</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12. Questions</w:t>
      </w:r>
    </w:p>
    <w:p>
      <w:pPr>
        <w:spacing w:after="0" w:line="21" w:lineRule="exact"/>
        <w:rPr>
          <w:sz w:val="20"/>
          <w:szCs w:val="20"/>
          <w:color w:val="auto"/>
        </w:rPr>
      </w:pPr>
    </w:p>
    <w:p>
      <w:pPr>
        <w:jc w:val="both"/>
        <w:ind w:left="200" w:right="239"/>
        <w:spacing w:after="0" w:line="246" w:lineRule="auto"/>
        <w:rPr>
          <w:sz w:val="20"/>
          <w:szCs w:val="20"/>
          <w:color w:val="auto"/>
        </w:rPr>
      </w:pPr>
      <w:r>
        <w:rPr>
          <w:rFonts w:ascii="Times New Roman" w:cs="Times New Roman" w:eastAsia="Times New Roman" w:hAnsi="Times New Roman"/>
          <w:sz w:val="20"/>
          <w:szCs w:val="20"/>
          <w:color w:val="auto"/>
        </w:rPr>
        <w:t>Comments or questions about this Policy should be directed to the Company’s Chief Legal Officer or General Counsel.</w:t>
      </w:r>
    </w:p>
    <w:p>
      <w:pPr>
        <w:spacing w:after="0" w:line="254" w:lineRule="exact"/>
        <w:rPr>
          <w:sz w:val="20"/>
          <w:szCs w:val="20"/>
          <w:color w:val="auto"/>
        </w:rPr>
      </w:pPr>
    </w:p>
    <w:p>
      <w:pPr>
        <w:ind w:left="540" w:hanging="331"/>
        <w:spacing w:after="0"/>
        <w:tabs>
          <w:tab w:leader="none" w:pos="5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Related Documents/References</w:t>
      </w:r>
    </w:p>
    <w:p>
      <w:pPr>
        <w:spacing w:after="0" w:line="20" w:lineRule="exact"/>
        <w:rPr>
          <w:rFonts w:ascii="Times New Roman" w:cs="Times New Roman" w:eastAsia="Times New Roman" w:hAnsi="Times New Roman"/>
          <w:sz w:val="22"/>
          <w:szCs w:val="22"/>
          <w:b w:val="1"/>
          <w:bCs w:val="1"/>
          <w:color w:val="auto"/>
        </w:rPr>
      </w:pPr>
    </w:p>
    <w:p>
      <w:pPr>
        <w:ind w:left="860" w:hanging="327"/>
        <w:spacing w:after="0"/>
        <w:tabs>
          <w:tab w:leader="none" w:pos="8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Business Conduct and Ethics (POL-0022)</w:t>
      </w:r>
    </w:p>
    <w:p>
      <w:pPr>
        <w:ind w:left="860" w:hanging="327"/>
        <w:spacing w:after="0"/>
        <w:tabs>
          <w:tab w:leader="none" w:pos="8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on Compliance Violation Reporting and Non-Retaliation</w:t>
      </w:r>
    </w:p>
    <w:p>
      <w:pPr>
        <w:spacing w:after="0" w:line="252"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Version History</w:t>
      </w:r>
    </w:p>
    <w:p>
      <w:pPr>
        <w:spacing w:after="0" w:line="33"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2740" w:type="dxa"/>
            <w:vAlign w:val="bottom"/>
            <w:tcBorders>
              <w:top w:val="single" w:sz="8" w:color="auto"/>
              <w:left w:val="single" w:sz="8" w:color="auto"/>
              <w:bottom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0"/>
                <w:szCs w:val="20"/>
                <w:color w:val="auto"/>
              </w:rPr>
              <w:t>Version</w:t>
            </w:r>
          </w:p>
        </w:tc>
        <w:tc>
          <w:tcPr>
            <w:tcW w:w="6020" w:type="dxa"/>
            <w:vAlign w:val="bottom"/>
            <w:tcBorders>
              <w:top w:val="single" w:sz="8" w:color="auto"/>
              <w:bottom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0"/>
                <w:szCs w:val="20"/>
                <w:color w:val="auto"/>
              </w:rPr>
              <w:t>Description of Revision</w:t>
            </w:r>
          </w:p>
        </w:tc>
      </w:tr>
      <w:tr>
        <w:trPr>
          <w:trHeight w:val="223"/>
        </w:trPr>
        <w:tc>
          <w:tcPr>
            <w:tcW w:w="27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6</w:t>
            </w:r>
          </w:p>
        </w:tc>
        <w:tc>
          <w:tcPr>
            <w:tcW w:w="602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Policy Updated to Address Prediction Markets; Misc. Changes</w:t>
            </w:r>
          </w:p>
        </w:tc>
      </w:tr>
      <w:tr>
        <w:trPr>
          <w:trHeight w:val="223"/>
        </w:trPr>
        <w:tc>
          <w:tcPr>
            <w:tcW w:w="27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5</w:t>
            </w:r>
          </w:p>
        </w:tc>
        <w:tc>
          <w:tcPr>
            <w:tcW w:w="602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Revisions to Reflect Successor Entity</w:t>
            </w:r>
          </w:p>
        </w:tc>
      </w:tr>
      <w:tr>
        <w:trPr>
          <w:trHeight w:val="214"/>
        </w:trPr>
        <w:tc>
          <w:tcPr>
            <w:tcW w:w="274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4</w:t>
            </w:r>
          </w:p>
        </w:tc>
        <w:tc>
          <w:tcPr>
            <w:tcW w:w="602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Policy Updated to Reflect SEC Rules Changes Concerning 10b5-1</w:t>
            </w:r>
          </w:p>
        </w:tc>
      </w:tr>
      <w:tr>
        <w:trPr>
          <w:trHeight w:val="252"/>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6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Trading Plans</w:t>
            </w:r>
          </w:p>
        </w:tc>
      </w:tr>
      <w:tr>
        <w:trPr>
          <w:trHeight w:val="214"/>
        </w:trPr>
        <w:tc>
          <w:tcPr>
            <w:tcW w:w="274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3</w:t>
            </w:r>
          </w:p>
        </w:tc>
        <w:tc>
          <w:tcPr>
            <w:tcW w:w="602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Policy Updated to Change Beginning of Blackout Period to 14 days prior</w:t>
            </w:r>
          </w:p>
        </w:tc>
      </w:tr>
      <w:tr>
        <w:trPr>
          <w:trHeight w:val="252"/>
        </w:trPr>
        <w:tc>
          <w:tcPr>
            <w:tcW w:w="2740" w:type="dxa"/>
            <w:vAlign w:val="bottom"/>
            <w:tcBorders>
              <w:left w:val="single" w:sz="8" w:color="auto"/>
              <w:bottom w:val="single" w:sz="8" w:color="auto"/>
              <w:right w:val="single" w:sz="8" w:color="auto"/>
            </w:tcBorders>
          </w:tcPr>
          <w:p>
            <w:pPr>
              <w:spacing w:after="0"/>
              <w:rPr>
                <w:sz w:val="21"/>
                <w:szCs w:val="21"/>
                <w:color w:val="auto"/>
              </w:rPr>
            </w:pPr>
          </w:p>
        </w:tc>
        <w:tc>
          <w:tcPr>
            <w:tcW w:w="6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 quarter end</w:t>
            </w:r>
          </w:p>
        </w:tc>
      </w:tr>
      <w:tr>
        <w:trPr>
          <w:trHeight w:val="223"/>
        </w:trPr>
        <w:tc>
          <w:tcPr>
            <w:tcW w:w="27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2</w:t>
            </w:r>
          </w:p>
        </w:tc>
        <w:tc>
          <w:tcPr>
            <w:tcW w:w="602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Policy Updated to Include References to Company’s General Counsel</w:t>
            </w:r>
          </w:p>
        </w:tc>
      </w:tr>
      <w:tr>
        <w:trPr>
          <w:trHeight w:val="223"/>
        </w:trPr>
        <w:tc>
          <w:tcPr>
            <w:tcW w:w="274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1</w:t>
            </w:r>
          </w:p>
        </w:tc>
        <w:tc>
          <w:tcPr>
            <w:tcW w:w="602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Policy Updated to New Format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ATTACHMENT A</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SHORT-SWING PROFIT RULE SECTION 16(B) CHECKLIST</w:t>
      </w:r>
    </w:p>
    <w:p>
      <w:pPr>
        <w:spacing w:after="0" w:line="266" w:lineRule="exact"/>
        <w:rPr>
          <w:sz w:val="20"/>
          <w:szCs w:val="20"/>
          <w:color w:val="auto"/>
        </w:rPr>
      </w:pPr>
    </w:p>
    <w:p>
      <w:pPr>
        <w:jc w:val="both"/>
        <w:ind w:left="200" w:right="219"/>
        <w:spacing w:after="0" w:line="252" w:lineRule="auto"/>
        <w:rPr>
          <w:sz w:val="20"/>
          <w:szCs w:val="20"/>
          <w:color w:val="auto"/>
        </w:rPr>
      </w:pP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ANY combination of PURCHASE AND SALE or SALE AND PURCHASE within six months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other by an officer, director or 10% shareholder (or any family member living in the same household or certain affiliated entities) results in a violation of Section 16(b), and the “profit” must be recovered by Kiniksa Pharmaceuticals,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74" w:lineRule="exact"/>
        <w:rPr>
          <w:sz w:val="20"/>
          <w:szCs w:val="20"/>
          <w:color w:val="auto"/>
        </w:rPr>
      </w:pPr>
    </w:p>
    <w:p>
      <w:pPr>
        <w:ind w:left="540" w:right="239" w:hanging="331"/>
        <w:spacing w:after="0" w:line="258" w:lineRule="auto"/>
        <w:tabs>
          <w:tab w:leader="none" w:pos="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sale is to be made by an officer, director or 10% shareholder (or any family member living in the same household or certain affiliated entities):</w:t>
      </w:r>
    </w:p>
    <w:p>
      <w:pPr>
        <w:ind w:left="540" w:right="239" w:hanging="331"/>
        <w:spacing w:after="0" w:line="246" w:lineRule="auto"/>
        <w:tabs>
          <w:tab w:leader="none" w:pos="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purchases by the insider (or family members living in the same household or certain affiliated entities) within the past six months?</w:t>
      </w:r>
    </w:p>
    <w:p>
      <w:pPr>
        <w:spacing w:after="0" w:line="1" w:lineRule="exact"/>
        <w:rPr>
          <w:rFonts w:ascii="Times New Roman" w:cs="Times New Roman" w:eastAsia="Times New Roman" w:hAnsi="Times New Roman"/>
          <w:sz w:val="20"/>
          <w:szCs w:val="20"/>
          <w:color w:val="auto"/>
        </w:rPr>
      </w:pPr>
    </w:p>
    <w:p>
      <w:pPr>
        <w:ind w:left="540" w:right="239" w:hanging="331"/>
        <w:spacing w:after="0" w:line="246" w:lineRule="auto"/>
        <w:tabs>
          <w:tab w:leader="none" w:pos="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option grants or exercises not exempt under Rule 16b-3 within the past six months?</w:t>
      </w:r>
    </w:p>
    <w:p>
      <w:pPr>
        <w:spacing w:after="0" w:line="1"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any purchases (or non-exempt option exercises) anticipated or required within the next six months?</w:t>
      </w:r>
    </w:p>
    <w:p>
      <w:pPr>
        <w:spacing w:after="0" w:line="11" w:lineRule="exact"/>
        <w:rPr>
          <w:rFonts w:ascii="Times New Roman" w:cs="Times New Roman" w:eastAsia="Times New Roman" w:hAnsi="Times New Roman"/>
          <w:sz w:val="19"/>
          <w:szCs w:val="19"/>
          <w:color w:val="auto"/>
        </w:rPr>
      </w:pPr>
    </w:p>
    <w:p>
      <w:pPr>
        <w:ind w:left="540" w:hanging="331"/>
        <w:spacing w:after="0"/>
        <w:tabs>
          <w:tab w:leader="none" w:pos="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Form 4 been prepared?</w:t>
      </w:r>
    </w:p>
    <w:p>
      <w:pPr>
        <w:spacing w:after="0" w:line="244" w:lineRule="exact"/>
        <w:rPr>
          <w:sz w:val="20"/>
          <w:szCs w:val="20"/>
          <w:color w:val="auto"/>
        </w:rPr>
      </w:pPr>
    </w:p>
    <w:p>
      <w:pPr>
        <w:ind w:left="200" w:right="219"/>
        <w:spacing w:after="0" w:line="287" w:lineRule="auto"/>
        <w:rPr>
          <w:sz w:val="20"/>
          <w:szCs w:val="20"/>
          <w:color w:val="auto"/>
        </w:rPr>
      </w:pP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If a sale is to be made by an affiliate of the Company, has a Form 144 been prepared and has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broker been reminded to sell pursuant to Rule 144?</w:t>
      </w: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Purchases And Option Exercises</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If a purchase or option exercise for Company shares is to be made:</w:t>
      </w:r>
    </w:p>
    <w:p>
      <w:pPr>
        <w:spacing w:after="0" w:line="28" w:lineRule="exact"/>
        <w:rPr>
          <w:sz w:val="20"/>
          <w:szCs w:val="20"/>
          <w:color w:val="auto"/>
        </w:rPr>
      </w:pPr>
    </w:p>
    <w:p>
      <w:pPr>
        <w:ind w:left="540" w:right="239" w:hanging="331"/>
        <w:spacing w:after="0" w:line="246" w:lineRule="auto"/>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sales by the insider (or family members living in the same household or certain affiliated entities) within the past six months?</w:t>
      </w:r>
    </w:p>
    <w:p>
      <w:pPr>
        <w:spacing w:after="0" w:line="1" w:lineRule="exact"/>
        <w:rPr>
          <w:rFonts w:ascii="Times New Roman" w:cs="Times New Roman" w:eastAsia="Times New Roman" w:hAnsi="Times New Roman"/>
          <w:sz w:val="20"/>
          <w:szCs w:val="20"/>
          <w:color w:val="auto"/>
        </w:rPr>
      </w:pPr>
    </w:p>
    <w:p>
      <w:pPr>
        <w:ind w:left="540" w:right="239" w:hanging="331"/>
        <w:spacing w:after="0" w:line="246" w:lineRule="auto"/>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any sales anticipated or required within the next six months (such as tax-related or year-end transactions)?</w:t>
      </w:r>
    </w:p>
    <w:p>
      <w:pPr>
        <w:spacing w:after="0" w:line="1"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Form 4 been prepared?</w:t>
      </w:r>
    </w:p>
    <w:p>
      <w:pPr>
        <w:spacing w:after="0" w:line="250" w:lineRule="exact"/>
        <w:rPr>
          <w:sz w:val="20"/>
          <w:szCs w:val="20"/>
          <w:color w:val="auto"/>
        </w:rPr>
      </w:pPr>
    </w:p>
    <w:p>
      <w:pPr>
        <w:jc w:val="center"/>
        <w:ind w:left="200" w:right="259"/>
        <w:spacing w:after="0" w:line="255" w:lineRule="auto"/>
        <w:rPr>
          <w:sz w:val="20"/>
          <w:szCs w:val="20"/>
          <w:color w:val="auto"/>
        </w:rPr>
      </w:pPr>
      <w:r>
        <w:rPr>
          <w:rFonts w:ascii="Times New Roman" w:cs="Times New Roman" w:eastAsia="Times New Roman" w:hAnsi="Times New Roman"/>
          <w:sz w:val="20"/>
          <w:szCs w:val="20"/>
          <w:b w:val="1"/>
          <w:bCs w:val="1"/>
          <w:color w:val="auto"/>
        </w:rPr>
        <w:t>Before proceeding with a purchase or sale, consider whether you are aware of material, non-public information which could affect the price of the Company shares. All transactions in the Company’s securities by officers and directors must be pre-cleared by contacting the Company’s Chief Legal Officer, General Counsel or Chief Financial Officer.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 K. Patel,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Kiniksa Pharmaceuticals International, plc;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820" w:right="160" w:hanging="326"/>
        <w:spacing w:after="0" w:line="266" w:lineRule="auto"/>
        <w:tabs>
          <w:tab w:leader="none" w:pos="8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hanging="326"/>
        <w:spacing w:after="0" w:line="266" w:lineRule="auto"/>
        <w:tabs>
          <w:tab w:leader="none" w:pos="8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100" w:hanging="326"/>
        <w:spacing w:after="0" w:line="266" w:lineRule="auto"/>
        <w:tabs>
          <w:tab w:leader="none" w:pos="8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20" w:right="360" w:hanging="326"/>
        <w:spacing w:after="0" w:line="266" w:lineRule="auto"/>
        <w:tabs>
          <w:tab w:leader="none" w:pos="82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2026</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 K. Patel</w:t>
            </w:r>
          </w:p>
        </w:tc>
      </w:tr>
      <w:tr>
        <w:trPr>
          <w:trHeight w:val="191"/>
        </w:trPr>
        <w:tc>
          <w:tcPr>
            <w:tcW w:w="506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 K. Patel</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Ragosa,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Kiniksa Pharmaceuticals International, plc;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820" w:right="160" w:hanging="326"/>
        <w:spacing w:after="0" w:line="266" w:lineRule="auto"/>
        <w:tabs>
          <w:tab w:leader="none" w:pos="8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hanging="326"/>
        <w:spacing w:after="0" w:line="266" w:lineRule="auto"/>
        <w:tabs>
          <w:tab w:leader="none" w:pos="8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100" w:hanging="326"/>
        <w:spacing w:after="0" w:line="266" w:lineRule="auto"/>
        <w:tabs>
          <w:tab w:leader="none" w:pos="8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20" w:right="140" w:hanging="326"/>
        <w:spacing w:after="0" w:line="266" w:lineRule="auto"/>
        <w:tabs>
          <w:tab w:leader="none" w:pos="8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20" w:right="360" w:hanging="326"/>
        <w:spacing w:after="0" w:line="266" w:lineRule="auto"/>
        <w:tabs>
          <w:tab w:leader="none" w:pos="82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20" w:right="740" w:hanging="326"/>
        <w:spacing w:after="0" w:line="282" w:lineRule="auto"/>
        <w:tabs>
          <w:tab w:leader="none" w:pos="8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Ragosa</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Ragosa</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Sanj K. Patel, Chief Executive Officer and Chairman of the Board of Directors of Kiniksa Pharmaceuticals International, plc (the “Company”), hereby certify, pursuant to 18 U.S.C. §1350, as adopted pursuant to §906 of the Sarbanes-Oxley Act of 2002, that, to the best of my knowledge:</w:t>
      </w:r>
    </w:p>
    <w:p>
      <w:pPr>
        <w:spacing w:after="0" w:line="176" w:lineRule="exact"/>
        <w:rPr>
          <w:sz w:val="20"/>
          <w:szCs w:val="20"/>
          <w:color w:val="auto"/>
        </w:rPr>
      </w:pPr>
    </w:p>
    <w:p>
      <w:pPr>
        <w:ind w:left="660" w:right="280" w:hanging="328"/>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2026</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 K. Patel</w:t>
            </w:r>
          </w:p>
        </w:tc>
      </w:tr>
      <w:tr>
        <w:trPr>
          <w:trHeight w:val="191"/>
        </w:trPr>
        <w:tc>
          <w:tcPr>
            <w:tcW w:w="5140" w:type="dxa"/>
            <w:vAlign w:val="bottom"/>
          </w:tcPr>
          <w:p>
            <w:pPr>
              <w:spacing w:after="0"/>
              <w:rPr>
                <w:sz w:val="16"/>
                <w:szCs w:val="16"/>
                <w:color w:val="auto"/>
              </w:rPr>
            </w:pPr>
          </w:p>
        </w:tc>
        <w:tc>
          <w:tcPr>
            <w:tcW w:w="4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 K. Patel</w:t>
            </w:r>
          </w:p>
        </w:tc>
      </w:tr>
      <w:tr>
        <w:trPr>
          <w:trHeight w:val="216"/>
        </w:trPr>
        <w:tc>
          <w:tcPr>
            <w:tcW w:w="51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51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5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Ragosa, Chief Financial Officer of Kiniksa Pharmaceuticals International, plc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207" w:lineRule="exact"/>
        <w:rPr>
          <w:sz w:val="20"/>
          <w:szCs w:val="20"/>
          <w:color w:val="auto"/>
        </w:rPr>
      </w:pPr>
    </w:p>
    <w:p>
      <w:pPr>
        <w:ind w:left="660" w:right="280" w:hanging="328"/>
        <w:spacing w:after="0" w:line="28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Ragosa</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Ragosa</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3"/>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1."/>
      <w:numFmt w:val="decimal"/>
      <w:start w:val="5"/>
    </w:lvl>
  </w:abstractNum>
  <w:abstractNum w:abstractNumId="8">
    <w:nsid w:val="8138641"/>
    <w:multiLevelType w:val="hybridMultilevel"/>
    <w:lvl w:ilvl="0">
      <w:lvlJc w:val="left"/>
      <w:lvlText w:val="%1."/>
      <w:numFmt w:val="decimal"/>
      <w:start w:val="6"/>
    </w:lvl>
  </w:abstractNum>
  <w:abstractNum w:abstractNumId="9">
    <w:nsid w:val="1E7FF521"/>
    <w:multiLevelType w:val="hybridMultilevel"/>
    <w:lvl w:ilvl="0">
      <w:lvlJc w:val="left"/>
      <w:lvlText w:val="%1."/>
      <w:numFmt w:val="decimal"/>
      <w:start w:val="8"/>
    </w:lvl>
  </w:abstractNum>
  <w:abstractNum w:abstractNumId="10">
    <w:nsid w:val="7C3DBD3D"/>
    <w:multiLevelType w:val="hybridMultilevel"/>
    <w:lvl w:ilvl="0">
      <w:lvlJc w:val="left"/>
      <w:lvlText w:val="%1."/>
      <w:numFmt w:val="decimal"/>
      <w:start w:val="9"/>
    </w:lvl>
  </w:abstractNum>
  <w:abstractNum w:abstractNumId="11">
    <w:nsid w:val="737B8DDC"/>
    <w:multiLevelType w:val="hybridMultilevel"/>
    <w:lvl w:ilvl="0">
      <w:lvlJc w:val="left"/>
      <w:lvlText w:val="%1."/>
      <w:numFmt w:val="decimal"/>
      <w:start w:val="10"/>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3"/>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Roman"/>
      <w:start w:val="2"/>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7">
    <w:nsid w:val="51EAD36B"/>
    <w:multiLevelType w:val="hybridMultilevel"/>
    <w:lvl w:ilvl="0">
      <w:lvlJc w:val="left"/>
      <w:lvlText w:val="%1"/>
      <w:numFmt w:val="decimal"/>
      <w:start w:val="1"/>
    </w:lvl>
    <w:lvl w:ilvl="1">
      <w:lvlJc w:val="left"/>
      <w:lvlText w:val="%2."/>
      <w:numFmt w:val="lowerLetter"/>
      <w:start w:val="2"/>
    </w:lvl>
  </w:abstractNum>
  <w:abstractNum w:abstractNumId="28">
    <w:nsid w:val="2D517796"/>
    <w:multiLevelType w:val="hybridMultilevel"/>
    <w:lvl w:ilvl="0">
      <w:lvlJc w:val="left"/>
      <w:lvlText w:val="%1."/>
      <w:numFmt w:val="decimal"/>
      <w:start w:val="3"/>
    </w:lvl>
    <w:lvl w:ilvl="1">
      <w:lvlJc w:val="left"/>
      <w:lvlText w:val="%2"/>
      <w:numFmt w:val="lowerLetter"/>
      <w:start w:val="1"/>
    </w:lvl>
  </w:abstractNum>
  <w:abstractNum w:abstractNumId="29">
    <w:nsid w:val="580BD78F"/>
    <w:multiLevelType w:val="hybridMultilevel"/>
    <w:lvl w:ilvl="0">
      <w:lvlJc w:val="left"/>
      <w:lvlText w:val="%1."/>
      <w:numFmt w:val="decimal"/>
      <w:start w:val="1"/>
    </w:lvl>
    <w:lvl w:ilvl="1">
      <w:lvlJc w:val="left"/>
      <w:lvlText w:val="(%2)"/>
      <w:numFmt w:val="upperLetter"/>
      <w:start w:val="1"/>
    </w:lvl>
  </w:abstractNum>
  <w:abstractNum w:abstractNumId="30">
    <w:nsid w:val="153EA438"/>
    <w:multiLevelType w:val="hybridMultilevel"/>
    <w:lvl w:ilvl="0">
      <w:lvlJc w:val="left"/>
      <w:lvlText w:val="\ldblquote"/>
      <w:numFmt w:val="bullet"/>
      <w:start w:val="1"/>
    </w:lvl>
    <w:lvl w:ilvl="1">
      <w:lvlJc w:val="left"/>
      <w:lvlText w:val="%2."/>
      <w:numFmt w:val="decimal"/>
      <w:start w:val="1"/>
    </w:lvl>
  </w:abstractNum>
  <w:abstractNum w:abstractNumId="31">
    <w:nsid w:val="3855585C"/>
    <w:multiLevelType w:val="hybridMultilevel"/>
    <w:lvl w:ilvl="0">
      <w:lvlJc w:val="left"/>
      <w:lvlText w:val="%1."/>
      <w:numFmt w:val="decimal"/>
      <w:start w:val="3"/>
    </w:lvl>
  </w:abstractNum>
  <w:abstractNum w:abstractNumId="32">
    <w:nsid w:val="70A64E2A"/>
    <w:multiLevelType w:val="hybridMultilevel"/>
    <w:lvl w:ilvl="0">
      <w:lvlJc w:val="left"/>
      <w:lvlText w:val="%1."/>
      <w:numFmt w:val="decimal"/>
      <w:start w:val="4"/>
    </w:lvl>
  </w:abstractNum>
  <w:abstractNum w:abstractNumId="33">
    <w:nsid w:val="6A2342EC"/>
    <w:multiLevelType w:val="hybridMultilevel"/>
    <w:lvl w:ilvl="0">
      <w:lvlJc w:val="left"/>
      <w:lvlText w:val="%1."/>
      <w:numFmt w:val="decimal"/>
      <w:start w:val="5"/>
    </w:lvl>
    <w:lvl w:ilvl="1">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6"/>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7"/>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lvl w:ilvl="1">
      <w:lvlJc w:val="left"/>
      <w:lvlText w:val="o"/>
      <w:numFmt w:val="bullet"/>
      <w:start w:val="1"/>
    </w:lvl>
  </w:abstractNum>
  <w:abstractNum w:abstractNumId="44">
    <w:nsid w:val="7644A45C"/>
    <w:multiLevelType w:val="hybridMultilevel"/>
    <w:lvl w:ilvl="0">
      <w:lvlJc w:val="left"/>
      <w:lvlText w:val="%1."/>
      <w:numFmt w:val="decimal"/>
      <w:start w:val="13"/>
    </w:lvl>
    <w:lvl w:ilvl="1">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2026-10-27T15:45:09Z</dcterms:created>
  <dcterms:modified xsi:type="dcterms:W3CDTF">2026-10-27T15:45:09Z</dcterms:modified>
</cp:coreProperties>
</file>