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May 18, 2018.</w:t>
      </w:r>
    </w:p>
    <w:p>
      <w:pPr>
        <w:spacing w:after="0" w:line="188"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333-224488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341630</wp:posOffset>
            </wp:positionV>
            <wp:extent cx="726122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38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117475</wp:posOffset>
            </wp:positionV>
            <wp:extent cx="13176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Amendment No. 2</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to</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line="232" w:lineRule="auto"/>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116840</wp:posOffset>
            </wp:positionV>
            <wp:extent cx="13176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Kiniksa Pharmaceuticals,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72" w:lineRule="exact"/>
        <w:rPr>
          <w:sz w:val="24"/>
          <w:szCs w:val="24"/>
          <w:color w:val="auto"/>
        </w:rPr>
      </w:pPr>
    </w:p>
    <w:tbl>
      <w:tblPr>
        <w:tblLayout w:type="fixed"/>
        <w:tblInd w:w="3040" w:type="dxa"/>
        <w:tblCellMar>
          <w:top w:w="0" w:type="dxa"/>
          <w:left w:w="0" w:type="dxa"/>
          <w:bottom w:w="0" w:type="dxa"/>
          <w:right w:w="0" w:type="dxa"/>
        </w:tblCellMar>
      </w:tblPr>
      <w:tr>
        <w:trPr>
          <w:trHeight w:val="161"/>
        </w:trPr>
        <w:tc>
          <w:tcPr>
            <w:tcW w:w="1740" w:type="dxa"/>
            <w:vAlign w:val="bottom"/>
          </w:tcPr>
          <w:p>
            <w:pPr>
              <w:jc w:val="center"/>
              <w:ind w:right="76"/>
              <w:spacing w:after="0"/>
              <w:rPr>
                <w:sz w:val="20"/>
                <w:szCs w:val="20"/>
                <w:color w:val="auto"/>
              </w:rPr>
            </w:pPr>
            <w:r>
              <w:rPr>
                <w:rFonts w:ascii="Arial" w:cs="Arial" w:eastAsia="Arial" w:hAnsi="Arial"/>
                <w:sz w:val="13"/>
                <w:szCs w:val="13"/>
                <w:b w:val="1"/>
                <w:bCs w:val="1"/>
                <w:color w:val="auto"/>
                <w:w w:val="99"/>
              </w:rPr>
              <w:t>Bermuda</w:t>
            </w:r>
          </w:p>
        </w:tc>
        <w:tc>
          <w:tcPr>
            <w:tcW w:w="2020" w:type="dxa"/>
            <w:vAlign w:val="bottom"/>
          </w:tcPr>
          <w:p>
            <w:pPr>
              <w:jc w:val="right"/>
              <w:ind w:right="876"/>
              <w:spacing w:after="0"/>
              <w:rPr>
                <w:sz w:val="20"/>
                <w:szCs w:val="20"/>
                <w:color w:val="auto"/>
              </w:rPr>
            </w:pPr>
            <w:r>
              <w:rPr>
                <w:rFonts w:ascii="Arial" w:cs="Arial" w:eastAsia="Arial" w:hAnsi="Arial"/>
                <w:sz w:val="13"/>
                <w:szCs w:val="13"/>
                <w:b w:val="1"/>
                <w:bCs w:val="1"/>
                <w:color w:val="auto"/>
              </w:rPr>
              <w:t>2834</w:t>
            </w:r>
          </w:p>
        </w:tc>
        <w:tc>
          <w:tcPr>
            <w:tcW w:w="1280" w:type="dxa"/>
            <w:vAlign w:val="bottom"/>
          </w:tcPr>
          <w:p>
            <w:pPr>
              <w:jc w:val="center"/>
              <w:ind w:left="216"/>
              <w:spacing w:after="0"/>
              <w:rPr>
                <w:sz w:val="20"/>
                <w:szCs w:val="20"/>
                <w:color w:val="auto"/>
              </w:rPr>
            </w:pPr>
            <w:r>
              <w:rPr>
                <w:rFonts w:ascii="Arial" w:cs="Arial" w:eastAsia="Arial" w:hAnsi="Arial"/>
                <w:sz w:val="13"/>
                <w:szCs w:val="13"/>
                <w:b w:val="1"/>
                <w:bCs w:val="1"/>
                <w:color w:val="auto"/>
                <w:w w:val="97"/>
              </w:rPr>
              <w:t>98-1327726</w:t>
            </w:r>
          </w:p>
        </w:tc>
      </w:tr>
      <w:tr>
        <w:trPr>
          <w:trHeight w:val="145"/>
        </w:trPr>
        <w:tc>
          <w:tcPr>
            <w:tcW w:w="1740" w:type="dxa"/>
            <w:vAlign w:val="bottom"/>
          </w:tcPr>
          <w:p>
            <w:pPr>
              <w:jc w:val="center"/>
              <w:ind w:right="76"/>
              <w:spacing w:after="0" w:line="145" w:lineRule="exact"/>
              <w:rPr>
                <w:sz w:val="20"/>
                <w:szCs w:val="20"/>
                <w:color w:val="auto"/>
              </w:rPr>
            </w:pPr>
            <w:r>
              <w:rPr>
                <w:rFonts w:ascii="Arial" w:cs="Arial" w:eastAsia="Arial" w:hAnsi="Arial"/>
                <w:sz w:val="13"/>
                <w:szCs w:val="13"/>
                <w:color w:val="auto"/>
                <w:w w:val="98"/>
              </w:rPr>
              <w:t>(State or other jurisdiction of</w:t>
            </w:r>
          </w:p>
        </w:tc>
        <w:tc>
          <w:tcPr>
            <w:tcW w:w="2020" w:type="dxa"/>
            <w:vAlign w:val="bottom"/>
          </w:tcPr>
          <w:p>
            <w:pPr>
              <w:jc w:val="center"/>
              <w:ind w:right="76"/>
              <w:spacing w:after="0" w:line="145" w:lineRule="exact"/>
              <w:rPr>
                <w:sz w:val="20"/>
                <w:szCs w:val="20"/>
                <w:color w:val="auto"/>
              </w:rPr>
            </w:pPr>
            <w:r>
              <w:rPr>
                <w:rFonts w:ascii="Arial" w:cs="Arial" w:eastAsia="Arial" w:hAnsi="Arial"/>
                <w:sz w:val="13"/>
                <w:szCs w:val="13"/>
                <w:color w:val="auto"/>
                <w:w w:val="98"/>
              </w:rPr>
              <w:t>(Primary Standard Industrial</w:t>
            </w:r>
          </w:p>
        </w:tc>
        <w:tc>
          <w:tcPr>
            <w:tcW w:w="1280" w:type="dxa"/>
            <w:vAlign w:val="bottom"/>
          </w:tcPr>
          <w:p>
            <w:pPr>
              <w:jc w:val="center"/>
              <w:ind w:left="236"/>
              <w:spacing w:after="0" w:line="145" w:lineRule="exact"/>
              <w:rPr>
                <w:sz w:val="20"/>
                <w:szCs w:val="20"/>
                <w:color w:val="auto"/>
              </w:rPr>
            </w:pPr>
            <w:r>
              <w:rPr>
                <w:rFonts w:ascii="Arial" w:cs="Arial" w:eastAsia="Arial" w:hAnsi="Arial"/>
                <w:sz w:val="13"/>
                <w:szCs w:val="13"/>
                <w:color w:val="auto"/>
                <w:w w:val="98"/>
              </w:rPr>
              <w:t>(I.R.S. Employer</w:t>
            </w:r>
          </w:p>
        </w:tc>
      </w:tr>
      <w:tr>
        <w:trPr>
          <w:trHeight w:val="145"/>
        </w:trPr>
        <w:tc>
          <w:tcPr>
            <w:tcW w:w="1740" w:type="dxa"/>
            <w:vAlign w:val="bottom"/>
          </w:tcPr>
          <w:p>
            <w:pPr>
              <w:jc w:val="center"/>
              <w:ind w:right="56"/>
              <w:spacing w:after="0" w:line="145" w:lineRule="exact"/>
              <w:rPr>
                <w:sz w:val="20"/>
                <w:szCs w:val="20"/>
                <w:color w:val="auto"/>
              </w:rPr>
            </w:pPr>
            <w:r>
              <w:rPr>
                <w:rFonts w:ascii="Arial" w:cs="Arial" w:eastAsia="Arial" w:hAnsi="Arial"/>
                <w:sz w:val="13"/>
                <w:szCs w:val="13"/>
                <w:color w:val="auto"/>
                <w:w w:val="99"/>
              </w:rPr>
              <w:t>incorporation or</w:t>
            </w:r>
          </w:p>
        </w:tc>
        <w:tc>
          <w:tcPr>
            <w:tcW w:w="2020" w:type="dxa"/>
            <w:vAlign w:val="bottom"/>
          </w:tcPr>
          <w:p>
            <w:pPr>
              <w:jc w:val="center"/>
              <w:ind w:right="76"/>
              <w:spacing w:after="0" w:line="145" w:lineRule="exact"/>
              <w:rPr>
                <w:sz w:val="20"/>
                <w:szCs w:val="20"/>
                <w:color w:val="auto"/>
              </w:rPr>
            </w:pPr>
            <w:r>
              <w:rPr>
                <w:rFonts w:ascii="Arial" w:cs="Arial" w:eastAsia="Arial" w:hAnsi="Arial"/>
                <w:sz w:val="13"/>
                <w:szCs w:val="13"/>
                <w:color w:val="auto"/>
                <w:w w:val="99"/>
              </w:rPr>
              <w:t>Classification Code Number)</w:t>
            </w:r>
          </w:p>
        </w:tc>
        <w:tc>
          <w:tcPr>
            <w:tcW w:w="1280" w:type="dxa"/>
            <w:vAlign w:val="bottom"/>
          </w:tcPr>
          <w:p>
            <w:pPr>
              <w:jc w:val="center"/>
              <w:ind w:left="216"/>
              <w:spacing w:after="0" w:line="145" w:lineRule="exact"/>
              <w:rPr>
                <w:sz w:val="20"/>
                <w:szCs w:val="20"/>
                <w:color w:val="auto"/>
              </w:rPr>
            </w:pPr>
            <w:r>
              <w:rPr>
                <w:rFonts w:ascii="Arial" w:cs="Arial" w:eastAsia="Arial" w:hAnsi="Arial"/>
                <w:sz w:val="13"/>
                <w:szCs w:val="13"/>
                <w:color w:val="auto"/>
                <w:w w:val="98"/>
              </w:rPr>
              <w:t>Identification No.)</w:t>
            </w:r>
          </w:p>
        </w:tc>
      </w:tr>
      <w:tr>
        <w:trPr>
          <w:trHeight w:val="154"/>
        </w:trPr>
        <w:tc>
          <w:tcPr>
            <w:tcW w:w="1740" w:type="dxa"/>
            <w:vAlign w:val="bottom"/>
          </w:tcPr>
          <w:p>
            <w:pPr>
              <w:jc w:val="center"/>
              <w:ind w:right="56"/>
              <w:spacing w:after="0"/>
              <w:rPr>
                <w:sz w:val="20"/>
                <w:szCs w:val="20"/>
                <w:color w:val="auto"/>
              </w:rPr>
            </w:pPr>
            <w:r>
              <w:rPr>
                <w:rFonts w:ascii="Arial" w:cs="Arial" w:eastAsia="Arial" w:hAnsi="Arial"/>
                <w:sz w:val="13"/>
                <w:szCs w:val="13"/>
                <w:color w:val="auto"/>
                <w:w w:val="98"/>
              </w:rPr>
              <w:t>organization)</w:t>
            </w:r>
          </w:p>
        </w:tc>
        <w:tc>
          <w:tcPr>
            <w:tcW w:w="20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36"/>
        </w:trPr>
        <w:tc>
          <w:tcPr>
            <w:tcW w:w="1740" w:type="dxa"/>
            <w:vAlign w:val="bottom"/>
          </w:tcPr>
          <w:p>
            <w:pPr>
              <w:spacing w:after="0"/>
              <w:rPr>
                <w:sz w:val="24"/>
                <w:szCs w:val="24"/>
                <w:color w:val="auto"/>
              </w:rPr>
            </w:pPr>
          </w:p>
        </w:tc>
        <w:tc>
          <w:tcPr>
            <w:tcW w:w="2020" w:type="dxa"/>
            <w:vAlign w:val="bottom"/>
          </w:tcPr>
          <w:p>
            <w:pPr>
              <w:jc w:val="center"/>
              <w:ind w:right="96"/>
              <w:spacing w:after="0"/>
              <w:rPr>
                <w:sz w:val="20"/>
                <w:szCs w:val="20"/>
                <w:color w:val="auto"/>
              </w:rPr>
            </w:pPr>
            <w:r>
              <w:rPr>
                <w:rFonts w:ascii="Arial" w:cs="Arial" w:eastAsia="Arial" w:hAnsi="Arial"/>
                <w:sz w:val="13"/>
                <w:szCs w:val="13"/>
                <w:b w:val="1"/>
                <w:bCs w:val="1"/>
                <w:color w:val="auto"/>
                <w:w w:val="98"/>
              </w:rPr>
              <w:t>Clarendon House</w:t>
            </w:r>
          </w:p>
        </w:tc>
        <w:tc>
          <w:tcPr>
            <w:tcW w:w="1280" w:type="dxa"/>
            <w:vAlign w:val="bottom"/>
          </w:tcPr>
          <w:p>
            <w:pPr>
              <w:spacing w:after="0"/>
              <w:rPr>
                <w:sz w:val="24"/>
                <w:szCs w:val="24"/>
                <w:color w:val="auto"/>
              </w:rPr>
            </w:pPr>
          </w:p>
        </w:tc>
      </w:tr>
      <w:tr>
        <w:trPr>
          <w:trHeight w:val="145"/>
        </w:trPr>
        <w:tc>
          <w:tcPr>
            <w:tcW w:w="1740" w:type="dxa"/>
            <w:vAlign w:val="bottom"/>
          </w:tcPr>
          <w:p>
            <w:pPr>
              <w:spacing w:after="0"/>
              <w:rPr>
                <w:sz w:val="12"/>
                <w:szCs w:val="12"/>
                <w:color w:val="auto"/>
              </w:rPr>
            </w:pPr>
          </w:p>
        </w:tc>
        <w:tc>
          <w:tcPr>
            <w:tcW w:w="2020" w:type="dxa"/>
            <w:vAlign w:val="bottom"/>
          </w:tcPr>
          <w:p>
            <w:pPr>
              <w:jc w:val="center"/>
              <w:ind w:right="76"/>
              <w:spacing w:after="0" w:line="145" w:lineRule="exact"/>
              <w:rPr>
                <w:sz w:val="20"/>
                <w:szCs w:val="20"/>
                <w:color w:val="auto"/>
              </w:rPr>
            </w:pPr>
            <w:r>
              <w:rPr>
                <w:rFonts w:ascii="Arial" w:cs="Arial" w:eastAsia="Arial" w:hAnsi="Arial"/>
                <w:sz w:val="13"/>
                <w:szCs w:val="13"/>
                <w:b w:val="1"/>
                <w:bCs w:val="1"/>
                <w:color w:val="auto"/>
                <w:w w:val="99"/>
              </w:rPr>
              <w:t>2 Church Street</w:t>
            </w:r>
          </w:p>
        </w:tc>
        <w:tc>
          <w:tcPr>
            <w:tcW w:w="1280" w:type="dxa"/>
            <w:vAlign w:val="bottom"/>
          </w:tcPr>
          <w:p>
            <w:pPr>
              <w:spacing w:after="0"/>
              <w:rPr>
                <w:sz w:val="12"/>
                <w:szCs w:val="12"/>
                <w:color w:val="auto"/>
              </w:rPr>
            </w:pPr>
          </w:p>
        </w:tc>
      </w:tr>
      <w:tr>
        <w:trPr>
          <w:trHeight w:val="145"/>
        </w:trPr>
        <w:tc>
          <w:tcPr>
            <w:tcW w:w="1740" w:type="dxa"/>
            <w:vAlign w:val="bottom"/>
          </w:tcPr>
          <w:p>
            <w:pPr>
              <w:spacing w:after="0"/>
              <w:rPr>
                <w:sz w:val="12"/>
                <w:szCs w:val="12"/>
                <w:color w:val="auto"/>
              </w:rPr>
            </w:pPr>
          </w:p>
        </w:tc>
        <w:tc>
          <w:tcPr>
            <w:tcW w:w="2020" w:type="dxa"/>
            <w:vAlign w:val="bottom"/>
          </w:tcPr>
          <w:p>
            <w:pPr>
              <w:jc w:val="center"/>
              <w:ind w:right="76"/>
              <w:spacing w:after="0" w:line="145" w:lineRule="exact"/>
              <w:rPr>
                <w:sz w:val="20"/>
                <w:szCs w:val="20"/>
                <w:color w:val="auto"/>
              </w:rPr>
            </w:pPr>
            <w:r>
              <w:rPr>
                <w:rFonts w:ascii="Arial" w:cs="Arial" w:eastAsia="Arial" w:hAnsi="Arial"/>
                <w:sz w:val="13"/>
                <w:szCs w:val="13"/>
                <w:b w:val="1"/>
                <w:bCs w:val="1"/>
                <w:color w:val="auto"/>
                <w:w w:val="99"/>
              </w:rPr>
              <w:t>Hamilton HM11, Bermuda</w:t>
            </w:r>
          </w:p>
        </w:tc>
        <w:tc>
          <w:tcPr>
            <w:tcW w:w="1280" w:type="dxa"/>
            <w:vAlign w:val="bottom"/>
          </w:tcPr>
          <w:p>
            <w:pPr>
              <w:spacing w:after="0"/>
              <w:rPr>
                <w:sz w:val="12"/>
                <w:szCs w:val="12"/>
                <w:color w:val="auto"/>
              </w:rPr>
            </w:pPr>
          </w:p>
        </w:tc>
      </w:tr>
      <w:tr>
        <w:trPr>
          <w:trHeight w:val="170"/>
        </w:trPr>
        <w:tc>
          <w:tcPr>
            <w:tcW w:w="1740" w:type="dxa"/>
            <w:vAlign w:val="bottom"/>
          </w:tcPr>
          <w:p>
            <w:pPr>
              <w:spacing w:after="0"/>
              <w:rPr>
                <w:sz w:val="14"/>
                <w:szCs w:val="14"/>
                <w:color w:val="auto"/>
              </w:rPr>
            </w:pPr>
          </w:p>
        </w:tc>
        <w:tc>
          <w:tcPr>
            <w:tcW w:w="2020" w:type="dxa"/>
            <w:vAlign w:val="bottom"/>
          </w:tcPr>
          <w:p>
            <w:pPr>
              <w:jc w:val="right"/>
              <w:ind w:right="496"/>
              <w:spacing w:after="0"/>
              <w:rPr>
                <w:sz w:val="20"/>
                <w:szCs w:val="20"/>
                <w:color w:val="auto"/>
              </w:rPr>
            </w:pPr>
            <w:r>
              <w:rPr>
                <w:rFonts w:ascii="Arial" w:cs="Arial" w:eastAsia="Arial" w:hAnsi="Arial"/>
                <w:sz w:val="13"/>
                <w:szCs w:val="13"/>
                <w:b w:val="1"/>
                <w:bCs w:val="1"/>
                <w:color w:val="auto"/>
              </w:rPr>
              <w:t>+1 (441) 295-5950</w:t>
            </w:r>
          </w:p>
        </w:tc>
        <w:tc>
          <w:tcPr>
            <w:tcW w:w="1280" w:type="dxa"/>
            <w:vAlign w:val="bottom"/>
          </w:tcPr>
          <w:p>
            <w:pPr>
              <w:spacing w:after="0"/>
              <w:rPr>
                <w:sz w:val="14"/>
                <w:szCs w:val="14"/>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Kiniksa Pharmaceuticals Corp.</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100 Hayden Avenue</w:t>
      </w:r>
    </w:p>
    <w:p>
      <w:pPr>
        <w:jc w:val="center"/>
        <w:spacing w:after="0" w:line="232" w:lineRule="auto"/>
        <w:rPr>
          <w:sz w:val="20"/>
          <w:szCs w:val="20"/>
          <w:color w:val="auto"/>
        </w:rPr>
      </w:pPr>
      <w:r>
        <w:rPr>
          <w:rFonts w:ascii="Arial" w:cs="Arial" w:eastAsia="Arial" w:hAnsi="Arial"/>
          <w:sz w:val="13"/>
          <w:szCs w:val="13"/>
          <w:b w:val="1"/>
          <w:bCs w:val="1"/>
          <w:color w:val="auto"/>
        </w:rPr>
        <w:t>Lexington, MA 02421</w:t>
      </w:r>
    </w:p>
    <w:p>
      <w:pPr>
        <w:jc w:val="center"/>
        <w:spacing w:after="0"/>
        <w:rPr>
          <w:sz w:val="20"/>
          <w:szCs w:val="20"/>
          <w:color w:val="auto"/>
        </w:rPr>
      </w:pPr>
      <w:r>
        <w:rPr>
          <w:rFonts w:ascii="Arial" w:cs="Arial" w:eastAsia="Arial" w:hAnsi="Arial"/>
          <w:sz w:val="13"/>
          <w:szCs w:val="13"/>
          <w:b w:val="1"/>
          <w:bCs w:val="1"/>
          <w:color w:val="auto"/>
        </w:rPr>
        <w:t>(781) 431-9100</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2969895</wp:posOffset>
            </wp:positionH>
            <wp:positionV relativeFrom="paragraph">
              <wp:posOffset>116840</wp:posOffset>
            </wp:positionV>
            <wp:extent cx="13176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tbl>
      <w:tblPr>
        <w:tblLayout w:type="fixed"/>
        <w:tblInd w:w="262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Copies to:</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60" w:type="dxa"/>
            <w:vAlign w:val="bottom"/>
            <w:vMerge w:val="restart"/>
          </w:tcPr>
          <w:p>
            <w:pPr>
              <w:jc w:val="center"/>
              <w:ind w:right="156"/>
              <w:spacing w:after="0"/>
              <w:rPr>
                <w:sz w:val="20"/>
                <w:szCs w:val="20"/>
                <w:color w:val="auto"/>
              </w:rPr>
            </w:pPr>
            <w:r>
              <w:rPr>
                <w:rFonts w:ascii="Arial" w:cs="Arial" w:eastAsia="Arial" w:hAnsi="Arial"/>
                <w:sz w:val="13"/>
                <w:szCs w:val="13"/>
                <w:b w:val="1"/>
                <w:bCs w:val="1"/>
                <w:color w:val="auto"/>
                <w:w w:val="97"/>
              </w:rPr>
              <w:t>Johan V. Brigham</w:t>
            </w:r>
          </w:p>
        </w:tc>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9"/>
              </w:rPr>
              <w:t>Alan Dickson</w:t>
            </w:r>
          </w:p>
        </w:tc>
        <w:tc>
          <w:tcPr>
            <w:tcW w:w="2040" w:type="dxa"/>
            <w:vAlign w:val="bottom"/>
          </w:tcPr>
          <w:p>
            <w:pPr>
              <w:jc w:val="center"/>
              <w:ind w:left="156"/>
              <w:spacing w:after="0"/>
              <w:rPr>
                <w:sz w:val="20"/>
                <w:szCs w:val="20"/>
                <w:color w:val="auto"/>
              </w:rPr>
            </w:pPr>
            <w:r>
              <w:rPr>
                <w:rFonts w:ascii="Arial" w:cs="Arial" w:eastAsia="Arial" w:hAnsi="Arial"/>
                <w:sz w:val="13"/>
                <w:szCs w:val="13"/>
                <w:b w:val="1"/>
                <w:bCs w:val="1"/>
                <w:color w:val="auto"/>
              </w:rPr>
              <w:t>Patrick O'Brien</w:t>
            </w: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2080" w:type="dxa"/>
            <w:vAlign w:val="bottom"/>
            <w:vMerge w:val="restart"/>
          </w:tcPr>
          <w:p>
            <w:pPr>
              <w:jc w:val="center"/>
              <w:spacing w:after="0" w:line="145" w:lineRule="exact"/>
              <w:rPr>
                <w:sz w:val="20"/>
                <w:szCs w:val="20"/>
                <w:color w:val="auto"/>
              </w:rPr>
            </w:pPr>
            <w:r>
              <w:rPr>
                <w:rFonts w:ascii="Arial" w:cs="Arial" w:eastAsia="Arial" w:hAnsi="Arial"/>
                <w:sz w:val="13"/>
                <w:szCs w:val="13"/>
                <w:b w:val="1"/>
                <w:bCs w:val="1"/>
                <w:color w:val="auto"/>
                <w:w w:val="97"/>
              </w:rPr>
              <w:t>Chiara T. Nannini</w:t>
            </w:r>
          </w:p>
        </w:tc>
        <w:tc>
          <w:tcPr>
            <w:tcW w:w="2040" w:type="dxa"/>
            <w:vAlign w:val="bottom"/>
            <w:vMerge w:val="restart"/>
          </w:tcPr>
          <w:p>
            <w:pPr>
              <w:jc w:val="center"/>
              <w:ind w:left="156"/>
              <w:spacing w:after="0" w:line="145" w:lineRule="exact"/>
              <w:rPr>
                <w:sz w:val="20"/>
                <w:szCs w:val="20"/>
                <w:color w:val="auto"/>
              </w:rPr>
            </w:pPr>
            <w:r>
              <w:rPr>
                <w:rFonts w:ascii="Arial" w:cs="Arial" w:eastAsia="Arial" w:hAnsi="Arial"/>
                <w:sz w:val="13"/>
                <w:szCs w:val="13"/>
                <w:b w:val="1"/>
                <w:bCs w:val="1"/>
                <w:color w:val="auto"/>
                <w:w w:val="98"/>
              </w:rPr>
              <w:t>Michael S. Pilo</w:t>
            </w:r>
          </w:p>
        </w:tc>
        <w:tc>
          <w:tcPr>
            <w:tcW w:w="0" w:type="dxa"/>
            <w:vAlign w:val="bottom"/>
          </w:tcPr>
          <w:p>
            <w:pPr>
              <w:spacing w:after="0"/>
              <w:rPr>
                <w:sz w:val="1"/>
                <w:szCs w:val="1"/>
                <w:color w:val="auto"/>
              </w:rPr>
            </w:pPr>
          </w:p>
        </w:tc>
      </w:tr>
      <w:tr>
        <w:trPr>
          <w:trHeight w:val="72"/>
        </w:trPr>
        <w:tc>
          <w:tcPr>
            <w:tcW w:w="2060" w:type="dxa"/>
            <w:vAlign w:val="bottom"/>
            <w:vMerge w:val="restart"/>
          </w:tcPr>
          <w:p>
            <w:pPr>
              <w:jc w:val="center"/>
              <w:ind w:right="156"/>
              <w:spacing w:after="0" w:line="145" w:lineRule="exact"/>
              <w:rPr>
                <w:sz w:val="20"/>
                <w:szCs w:val="20"/>
                <w:color w:val="auto"/>
              </w:rPr>
            </w:pPr>
            <w:r>
              <w:rPr>
                <w:rFonts w:ascii="Arial" w:cs="Arial" w:eastAsia="Arial" w:hAnsi="Arial"/>
                <w:sz w:val="13"/>
                <w:szCs w:val="13"/>
                <w:b w:val="1"/>
                <w:bCs w:val="1"/>
                <w:color w:val="auto"/>
                <w:w w:val="99"/>
              </w:rPr>
              <w:t>Nathan Ajiashvili</w:t>
            </w:r>
          </w:p>
        </w:tc>
        <w:tc>
          <w:tcPr>
            <w:tcW w:w="208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2080" w:type="dxa"/>
            <w:vAlign w:val="bottom"/>
            <w:vMerge w:val="restart"/>
          </w:tcPr>
          <w:p>
            <w:pPr>
              <w:jc w:val="center"/>
              <w:spacing w:after="0" w:line="145" w:lineRule="exact"/>
              <w:rPr>
                <w:sz w:val="20"/>
                <w:szCs w:val="20"/>
                <w:color w:val="auto"/>
              </w:rPr>
            </w:pPr>
            <w:r>
              <w:rPr>
                <w:rFonts w:ascii="Arial" w:cs="Arial" w:eastAsia="Arial" w:hAnsi="Arial"/>
                <w:sz w:val="13"/>
                <w:szCs w:val="13"/>
                <w:b w:val="1"/>
                <w:bCs w:val="1"/>
                <w:color w:val="auto"/>
                <w:w w:val="99"/>
              </w:rPr>
              <w:t>Conyers Dill &amp; Pearman</w:t>
            </w:r>
          </w:p>
        </w:tc>
        <w:tc>
          <w:tcPr>
            <w:tcW w:w="2040" w:type="dxa"/>
            <w:vAlign w:val="bottom"/>
            <w:vMerge w:val="restart"/>
          </w:tcPr>
          <w:p>
            <w:pPr>
              <w:jc w:val="center"/>
              <w:ind w:left="156"/>
              <w:spacing w:after="0" w:line="145" w:lineRule="exact"/>
              <w:rPr>
                <w:sz w:val="20"/>
                <w:szCs w:val="20"/>
                <w:color w:val="auto"/>
              </w:rPr>
            </w:pPr>
            <w:r>
              <w:rPr>
                <w:rFonts w:ascii="Arial" w:cs="Arial" w:eastAsia="Arial" w:hAnsi="Arial"/>
                <w:sz w:val="13"/>
                <w:szCs w:val="13"/>
                <w:b w:val="1"/>
                <w:bCs w:val="1"/>
                <w:color w:val="auto"/>
                <w:w w:val="99"/>
              </w:rPr>
              <w:t>Ropes &amp; Gray LLP</w:t>
            </w:r>
          </w:p>
        </w:tc>
        <w:tc>
          <w:tcPr>
            <w:tcW w:w="0" w:type="dxa"/>
            <w:vAlign w:val="bottom"/>
          </w:tcPr>
          <w:p>
            <w:pPr>
              <w:spacing w:after="0"/>
              <w:rPr>
                <w:sz w:val="1"/>
                <w:szCs w:val="1"/>
                <w:color w:val="auto"/>
              </w:rPr>
            </w:pPr>
          </w:p>
        </w:tc>
      </w:tr>
      <w:tr>
        <w:trPr>
          <w:trHeight w:val="72"/>
        </w:trPr>
        <w:tc>
          <w:tcPr>
            <w:tcW w:w="2060" w:type="dxa"/>
            <w:vAlign w:val="bottom"/>
            <w:vMerge w:val="restart"/>
          </w:tcPr>
          <w:p>
            <w:pPr>
              <w:jc w:val="center"/>
              <w:ind w:right="156"/>
              <w:spacing w:after="0" w:line="145" w:lineRule="exact"/>
              <w:rPr>
                <w:sz w:val="20"/>
                <w:szCs w:val="20"/>
                <w:color w:val="auto"/>
              </w:rPr>
            </w:pPr>
            <w:r>
              <w:rPr>
                <w:rFonts w:ascii="Arial" w:cs="Arial" w:eastAsia="Arial" w:hAnsi="Arial"/>
                <w:sz w:val="13"/>
                <w:szCs w:val="13"/>
                <w:b w:val="1"/>
                <w:bCs w:val="1"/>
                <w:color w:val="auto"/>
                <w:w w:val="97"/>
              </w:rPr>
              <w:t>Stephen W. Ranere</w:t>
            </w:r>
          </w:p>
        </w:tc>
        <w:tc>
          <w:tcPr>
            <w:tcW w:w="208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2080" w:type="dxa"/>
            <w:vAlign w:val="bottom"/>
            <w:vMerge w:val="restart"/>
          </w:tcPr>
          <w:p>
            <w:pPr>
              <w:jc w:val="center"/>
              <w:spacing w:after="0" w:line="145" w:lineRule="exact"/>
              <w:rPr>
                <w:sz w:val="20"/>
                <w:szCs w:val="20"/>
                <w:color w:val="auto"/>
              </w:rPr>
            </w:pPr>
            <w:r>
              <w:rPr>
                <w:rFonts w:ascii="Arial" w:cs="Arial" w:eastAsia="Arial" w:hAnsi="Arial"/>
                <w:sz w:val="13"/>
                <w:szCs w:val="13"/>
                <w:b w:val="1"/>
                <w:bCs w:val="1"/>
                <w:color w:val="auto"/>
                <w:w w:val="99"/>
              </w:rPr>
              <w:t>Limited</w:t>
            </w:r>
          </w:p>
        </w:tc>
        <w:tc>
          <w:tcPr>
            <w:tcW w:w="2040" w:type="dxa"/>
            <w:vAlign w:val="bottom"/>
            <w:vMerge w:val="restart"/>
          </w:tcPr>
          <w:p>
            <w:pPr>
              <w:jc w:val="center"/>
              <w:ind w:left="156"/>
              <w:spacing w:after="0" w:line="145" w:lineRule="exact"/>
              <w:rPr>
                <w:sz w:val="20"/>
                <w:szCs w:val="20"/>
                <w:color w:val="auto"/>
              </w:rPr>
            </w:pPr>
            <w:r>
              <w:rPr>
                <w:rFonts w:ascii="Arial" w:cs="Arial" w:eastAsia="Arial" w:hAnsi="Arial"/>
                <w:sz w:val="13"/>
                <w:szCs w:val="13"/>
                <w:b w:val="1"/>
                <w:bCs w:val="1"/>
                <w:color w:val="auto"/>
                <w:w w:val="96"/>
              </w:rPr>
              <w:t>Prudential Tower</w:t>
            </w:r>
          </w:p>
        </w:tc>
        <w:tc>
          <w:tcPr>
            <w:tcW w:w="0" w:type="dxa"/>
            <w:vAlign w:val="bottom"/>
          </w:tcPr>
          <w:p>
            <w:pPr>
              <w:spacing w:after="0"/>
              <w:rPr>
                <w:sz w:val="1"/>
                <w:szCs w:val="1"/>
                <w:color w:val="auto"/>
              </w:rPr>
            </w:pPr>
          </w:p>
        </w:tc>
      </w:tr>
      <w:tr>
        <w:trPr>
          <w:trHeight w:val="72"/>
        </w:trPr>
        <w:tc>
          <w:tcPr>
            <w:tcW w:w="2060" w:type="dxa"/>
            <w:vAlign w:val="bottom"/>
            <w:vMerge w:val="restart"/>
          </w:tcPr>
          <w:p>
            <w:pPr>
              <w:jc w:val="center"/>
              <w:ind w:right="156"/>
              <w:spacing w:after="0" w:line="145" w:lineRule="exact"/>
              <w:rPr>
                <w:sz w:val="20"/>
                <w:szCs w:val="20"/>
                <w:color w:val="auto"/>
              </w:rPr>
            </w:pPr>
            <w:r>
              <w:rPr>
                <w:rFonts w:ascii="Arial" w:cs="Arial" w:eastAsia="Arial" w:hAnsi="Arial"/>
                <w:sz w:val="13"/>
                <w:szCs w:val="13"/>
                <w:b w:val="1"/>
                <w:bCs w:val="1"/>
                <w:color w:val="auto"/>
                <w:w w:val="99"/>
              </w:rPr>
              <w:t>Latham &amp; Watkins LLP</w:t>
            </w:r>
          </w:p>
        </w:tc>
        <w:tc>
          <w:tcPr>
            <w:tcW w:w="208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2080" w:type="dxa"/>
            <w:vAlign w:val="bottom"/>
            <w:vMerge w:val="restart"/>
          </w:tcPr>
          <w:p>
            <w:pPr>
              <w:jc w:val="center"/>
              <w:spacing w:after="0" w:line="145" w:lineRule="exact"/>
              <w:rPr>
                <w:sz w:val="20"/>
                <w:szCs w:val="20"/>
                <w:color w:val="auto"/>
              </w:rPr>
            </w:pPr>
            <w:r>
              <w:rPr>
                <w:rFonts w:ascii="Arial" w:cs="Arial" w:eastAsia="Arial" w:hAnsi="Arial"/>
                <w:sz w:val="13"/>
                <w:szCs w:val="13"/>
                <w:b w:val="1"/>
                <w:bCs w:val="1"/>
                <w:color w:val="auto"/>
                <w:w w:val="98"/>
              </w:rPr>
              <w:t>Clarendon House,</w:t>
            </w:r>
          </w:p>
        </w:tc>
        <w:tc>
          <w:tcPr>
            <w:tcW w:w="2040" w:type="dxa"/>
            <w:vAlign w:val="bottom"/>
            <w:vMerge w:val="restart"/>
          </w:tcPr>
          <w:p>
            <w:pPr>
              <w:jc w:val="center"/>
              <w:ind w:left="176"/>
              <w:spacing w:after="0" w:line="145" w:lineRule="exact"/>
              <w:rPr>
                <w:sz w:val="20"/>
                <w:szCs w:val="20"/>
                <w:color w:val="auto"/>
              </w:rPr>
            </w:pPr>
            <w:r>
              <w:rPr>
                <w:rFonts w:ascii="Arial" w:cs="Arial" w:eastAsia="Arial" w:hAnsi="Arial"/>
                <w:sz w:val="13"/>
                <w:szCs w:val="13"/>
                <w:b w:val="1"/>
                <w:bCs w:val="1"/>
                <w:color w:val="auto"/>
                <w:w w:val="98"/>
              </w:rPr>
              <w:t>800 Boylston Street</w:t>
            </w:r>
          </w:p>
        </w:tc>
        <w:tc>
          <w:tcPr>
            <w:tcW w:w="0" w:type="dxa"/>
            <w:vAlign w:val="bottom"/>
          </w:tcPr>
          <w:p>
            <w:pPr>
              <w:spacing w:after="0"/>
              <w:rPr>
                <w:sz w:val="1"/>
                <w:szCs w:val="1"/>
                <w:color w:val="auto"/>
              </w:rPr>
            </w:pPr>
          </w:p>
        </w:tc>
      </w:tr>
      <w:tr>
        <w:trPr>
          <w:trHeight w:val="72"/>
        </w:trPr>
        <w:tc>
          <w:tcPr>
            <w:tcW w:w="2060" w:type="dxa"/>
            <w:vAlign w:val="bottom"/>
            <w:vMerge w:val="restart"/>
          </w:tcPr>
          <w:p>
            <w:pPr>
              <w:jc w:val="center"/>
              <w:ind w:right="156"/>
              <w:spacing w:after="0" w:line="145" w:lineRule="exact"/>
              <w:rPr>
                <w:sz w:val="20"/>
                <w:szCs w:val="20"/>
                <w:color w:val="auto"/>
              </w:rPr>
            </w:pPr>
            <w:r>
              <w:rPr>
                <w:rFonts w:ascii="Arial" w:cs="Arial" w:eastAsia="Arial" w:hAnsi="Arial"/>
                <w:sz w:val="13"/>
                <w:szCs w:val="13"/>
                <w:b w:val="1"/>
                <w:bCs w:val="1"/>
                <w:color w:val="auto"/>
                <w:w w:val="98"/>
              </w:rPr>
              <w:t>200 Clarendon Street,</w:t>
            </w:r>
          </w:p>
        </w:tc>
        <w:tc>
          <w:tcPr>
            <w:tcW w:w="208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60" w:type="dxa"/>
            <w:vAlign w:val="bottom"/>
            <w:vMerge w:val="continue"/>
          </w:tcPr>
          <w:p>
            <w:pPr>
              <w:spacing w:after="0"/>
              <w:rPr>
                <w:sz w:val="6"/>
                <w:szCs w:val="6"/>
                <w:color w:val="auto"/>
              </w:rPr>
            </w:pPr>
          </w:p>
        </w:tc>
        <w:tc>
          <w:tcPr>
            <w:tcW w:w="2080" w:type="dxa"/>
            <w:vAlign w:val="bottom"/>
            <w:vMerge w:val="restart"/>
          </w:tcPr>
          <w:p>
            <w:pPr>
              <w:jc w:val="center"/>
              <w:spacing w:after="0" w:line="145" w:lineRule="exact"/>
              <w:rPr>
                <w:sz w:val="20"/>
                <w:szCs w:val="20"/>
                <w:color w:val="auto"/>
              </w:rPr>
            </w:pPr>
            <w:r>
              <w:rPr>
                <w:rFonts w:ascii="Arial" w:cs="Arial" w:eastAsia="Arial" w:hAnsi="Arial"/>
                <w:sz w:val="13"/>
                <w:szCs w:val="13"/>
                <w:b w:val="1"/>
                <w:bCs w:val="1"/>
                <w:color w:val="auto"/>
                <w:w w:val="99"/>
              </w:rPr>
              <w:t>2 Church Street</w:t>
            </w:r>
          </w:p>
        </w:tc>
        <w:tc>
          <w:tcPr>
            <w:tcW w:w="2040" w:type="dxa"/>
            <w:vAlign w:val="bottom"/>
            <w:vMerge w:val="restart"/>
          </w:tcPr>
          <w:p>
            <w:pPr>
              <w:jc w:val="center"/>
              <w:ind w:left="156"/>
              <w:spacing w:after="0" w:line="145" w:lineRule="exact"/>
              <w:rPr>
                <w:sz w:val="20"/>
                <w:szCs w:val="20"/>
                <w:color w:val="auto"/>
              </w:rPr>
            </w:pPr>
            <w:r>
              <w:rPr>
                <w:rFonts w:ascii="Arial" w:cs="Arial" w:eastAsia="Arial" w:hAnsi="Arial"/>
                <w:sz w:val="13"/>
                <w:szCs w:val="13"/>
                <w:b w:val="1"/>
                <w:bCs w:val="1"/>
                <w:color w:val="auto"/>
                <w:w w:val="98"/>
              </w:rPr>
              <w:t>Boston, Massachusetts 02199</w:t>
            </w:r>
          </w:p>
        </w:tc>
        <w:tc>
          <w:tcPr>
            <w:tcW w:w="0" w:type="dxa"/>
            <w:vAlign w:val="bottom"/>
          </w:tcPr>
          <w:p>
            <w:pPr>
              <w:spacing w:after="0"/>
              <w:rPr>
                <w:sz w:val="1"/>
                <w:szCs w:val="1"/>
                <w:color w:val="auto"/>
              </w:rPr>
            </w:pPr>
          </w:p>
        </w:tc>
      </w:tr>
      <w:tr>
        <w:trPr>
          <w:trHeight w:val="72"/>
        </w:trPr>
        <w:tc>
          <w:tcPr>
            <w:tcW w:w="2060" w:type="dxa"/>
            <w:vAlign w:val="bottom"/>
            <w:vMerge w:val="restart"/>
          </w:tcPr>
          <w:p>
            <w:pPr>
              <w:jc w:val="center"/>
              <w:ind w:right="156"/>
              <w:spacing w:after="0"/>
              <w:rPr>
                <w:sz w:val="20"/>
                <w:szCs w:val="20"/>
                <w:color w:val="auto"/>
              </w:rPr>
            </w:pPr>
            <w:r>
              <w:rPr>
                <w:rFonts w:ascii="Arial" w:cs="Arial" w:eastAsia="Arial" w:hAnsi="Arial"/>
                <w:sz w:val="13"/>
                <w:szCs w:val="13"/>
                <w:b w:val="1"/>
                <w:bCs w:val="1"/>
                <w:color w:val="auto"/>
              </w:rPr>
              <w:t>27</w:t>
            </w:r>
            <w:r>
              <w:rPr>
                <w:rFonts w:ascii="Arial" w:cs="Arial" w:eastAsia="Arial" w:hAnsi="Arial"/>
                <w:sz w:val="9"/>
                <w:szCs w:val="9"/>
                <w:b w:val="1"/>
                <w:bCs w:val="1"/>
                <w:color w:val="auto"/>
              </w:rPr>
              <w:t>th</w:t>
            </w:r>
            <w:r>
              <w:rPr>
                <w:rFonts w:ascii="Arial" w:cs="Arial" w:eastAsia="Arial" w:hAnsi="Arial"/>
                <w:sz w:val="13"/>
                <w:szCs w:val="13"/>
                <w:b w:val="1"/>
                <w:bCs w:val="1"/>
                <w:color w:val="auto"/>
              </w:rPr>
              <w:t xml:space="preserve"> Floor</w:t>
            </w:r>
          </w:p>
        </w:tc>
        <w:tc>
          <w:tcPr>
            <w:tcW w:w="2080" w:type="dxa"/>
            <w:vAlign w:val="bottom"/>
            <w:vMerge w:val="continue"/>
          </w:tcPr>
          <w:p>
            <w:pPr>
              <w:spacing w:after="0"/>
              <w:rPr>
                <w:sz w:val="6"/>
                <w:szCs w:val="6"/>
                <w:color w:val="auto"/>
              </w:rPr>
            </w:pP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060" w:type="dxa"/>
            <w:vAlign w:val="bottom"/>
            <w:vMerge w:val="continue"/>
          </w:tcPr>
          <w:p>
            <w:pPr>
              <w:spacing w:after="0"/>
              <w:rPr>
                <w:sz w:val="8"/>
                <w:szCs w:val="8"/>
                <w:color w:val="auto"/>
              </w:rPr>
            </w:pPr>
          </w:p>
        </w:tc>
        <w:tc>
          <w:tcPr>
            <w:tcW w:w="2080" w:type="dxa"/>
            <w:vAlign w:val="bottom"/>
            <w:vMerge w:val="restart"/>
          </w:tcPr>
          <w:p>
            <w:pPr>
              <w:jc w:val="center"/>
              <w:spacing w:after="0" w:line="145" w:lineRule="exact"/>
              <w:rPr>
                <w:sz w:val="20"/>
                <w:szCs w:val="20"/>
                <w:color w:val="auto"/>
              </w:rPr>
            </w:pPr>
            <w:r>
              <w:rPr>
                <w:rFonts w:ascii="Arial" w:cs="Arial" w:eastAsia="Arial" w:hAnsi="Arial"/>
                <w:sz w:val="13"/>
                <w:szCs w:val="13"/>
                <w:b w:val="1"/>
                <w:bCs w:val="1"/>
                <w:color w:val="auto"/>
                <w:w w:val="97"/>
              </w:rPr>
              <w:t>PO Box HM 666</w:t>
            </w:r>
          </w:p>
        </w:tc>
        <w:tc>
          <w:tcPr>
            <w:tcW w:w="2040" w:type="dxa"/>
            <w:vAlign w:val="bottom"/>
            <w:vMerge w:val="restart"/>
          </w:tcPr>
          <w:p>
            <w:pPr>
              <w:jc w:val="center"/>
              <w:ind w:left="176"/>
              <w:spacing w:after="0" w:line="145" w:lineRule="exact"/>
              <w:rPr>
                <w:sz w:val="20"/>
                <w:szCs w:val="20"/>
                <w:color w:val="auto"/>
              </w:rPr>
            </w:pPr>
            <w:r>
              <w:rPr>
                <w:rFonts w:ascii="Arial" w:cs="Arial" w:eastAsia="Arial" w:hAnsi="Arial"/>
                <w:sz w:val="13"/>
                <w:szCs w:val="13"/>
                <w:b w:val="1"/>
                <w:bCs w:val="1"/>
                <w:color w:val="auto"/>
                <w:w w:val="98"/>
              </w:rPr>
              <w:t>(617) 951-7000</w:t>
            </w:r>
          </w:p>
        </w:tc>
        <w:tc>
          <w:tcPr>
            <w:tcW w:w="0" w:type="dxa"/>
            <w:vAlign w:val="bottom"/>
          </w:tcPr>
          <w:p>
            <w:pPr>
              <w:spacing w:after="0"/>
              <w:rPr>
                <w:sz w:val="1"/>
                <w:szCs w:val="1"/>
                <w:color w:val="auto"/>
              </w:rPr>
            </w:pPr>
          </w:p>
        </w:tc>
      </w:tr>
      <w:tr>
        <w:trPr>
          <w:trHeight w:val="48"/>
        </w:trPr>
        <w:tc>
          <w:tcPr>
            <w:tcW w:w="2060" w:type="dxa"/>
            <w:vAlign w:val="bottom"/>
            <w:vMerge w:val="restart"/>
          </w:tcPr>
          <w:p>
            <w:pPr>
              <w:jc w:val="center"/>
              <w:ind w:right="156"/>
              <w:spacing w:after="0" w:line="145" w:lineRule="exact"/>
              <w:rPr>
                <w:sz w:val="20"/>
                <w:szCs w:val="20"/>
                <w:color w:val="auto"/>
              </w:rPr>
            </w:pPr>
            <w:r>
              <w:rPr>
                <w:rFonts w:ascii="Arial" w:cs="Arial" w:eastAsia="Arial" w:hAnsi="Arial"/>
                <w:sz w:val="13"/>
                <w:szCs w:val="13"/>
                <w:b w:val="1"/>
                <w:bCs w:val="1"/>
                <w:color w:val="auto"/>
                <w:w w:val="99"/>
              </w:rPr>
              <w:t>Boston, Massachusetts 02116</w:t>
            </w:r>
          </w:p>
        </w:tc>
        <w:tc>
          <w:tcPr>
            <w:tcW w:w="2080" w:type="dxa"/>
            <w:vAlign w:val="bottom"/>
            <w:vMerge w:val="continue"/>
          </w:tcPr>
          <w:p>
            <w:pPr>
              <w:spacing w:after="0"/>
              <w:rPr>
                <w:sz w:val="4"/>
                <w:szCs w:val="4"/>
                <w:color w:val="auto"/>
              </w:rPr>
            </w:pPr>
          </w:p>
        </w:tc>
        <w:tc>
          <w:tcPr>
            <w:tcW w:w="2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60" w:type="dxa"/>
            <w:vAlign w:val="bottom"/>
            <w:vMerge w:val="continue"/>
          </w:tcPr>
          <w:p>
            <w:pPr>
              <w:spacing w:after="0"/>
              <w:rPr>
                <w:sz w:val="8"/>
                <w:szCs w:val="8"/>
                <w:color w:val="auto"/>
              </w:rPr>
            </w:pPr>
          </w:p>
        </w:tc>
        <w:tc>
          <w:tcPr>
            <w:tcW w:w="2080" w:type="dxa"/>
            <w:vAlign w:val="bottom"/>
            <w:vMerge w:val="restart"/>
          </w:tcPr>
          <w:p>
            <w:pPr>
              <w:jc w:val="center"/>
              <w:spacing w:after="0" w:line="145" w:lineRule="exact"/>
              <w:rPr>
                <w:sz w:val="20"/>
                <w:szCs w:val="20"/>
                <w:color w:val="auto"/>
              </w:rPr>
            </w:pPr>
            <w:r>
              <w:rPr>
                <w:rFonts w:ascii="Arial" w:cs="Arial" w:eastAsia="Arial" w:hAnsi="Arial"/>
                <w:sz w:val="13"/>
                <w:szCs w:val="13"/>
                <w:b w:val="1"/>
                <w:bCs w:val="1"/>
                <w:color w:val="auto"/>
                <w:w w:val="98"/>
              </w:rPr>
              <w:t>Hamilton, HM CX, Bermuda</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60" w:type="dxa"/>
            <w:vAlign w:val="bottom"/>
            <w:vMerge w:val="restart"/>
          </w:tcPr>
          <w:p>
            <w:pPr>
              <w:jc w:val="center"/>
              <w:ind w:right="156"/>
              <w:spacing w:after="0"/>
              <w:rPr>
                <w:sz w:val="20"/>
                <w:szCs w:val="20"/>
                <w:color w:val="auto"/>
              </w:rPr>
            </w:pPr>
            <w:r>
              <w:rPr>
                <w:rFonts w:ascii="Arial" w:cs="Arial" w:eastAsia="Arial" w:hAnsi="Arial"/>
                <w:sz w:val="13"/>
                <w:szCs w:val="13"/>
                <w:b w:val="1"/>
                <w:bCs w:val="1"/>
                <w:color w:val="auto"/>
                <w:w w:val="98"/>
              </w:rPr>
              <w:t>(617) 948-6000</w:t>
            </w:r>
          </w:p>
        </w:tc>
        <w:tc>
          <w:tcPr>
            <w:tcW w:w="208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60" w:type="dxa"/>
            <w:vAlign w:val="bottom"/>
            <w:vMerge w:val="continue"/>
          </w:tcPr>
          <w:p>
            <w:pPr>
              <w:spacing w:after="0"/>
              <w:rPr>
                <w:sz w:val="10"/>
                <w:szCs w:val="10"/>
                <w:color w:val="auto"/>
              </w:rPr>
            </w:pPr>
          </w:p>
        </w:tc>
        <w:tc>
          <w:tcPr>
            <w:tcW w:w="2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+1 (441) 295-1422</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6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60" w:type="dxa"/>
            <w:vAlign w:val="bottom"/>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soon as practicable after this Registration Statement is declared effective.</w:t>
      </w:r>
    </w:p>
    <w:p>
      <w:pPr>
        <w:spacing w:after="0" w:line="180" w:lineRule="exact"/>
        <w:rPr>
          <w:sz w:val="24"/>
          <w:szCs w:val="24"/>
          <w:color w:val="auto"/>
        </w:rPr>
      </w:pPr>
    </w:p>
    <w:p>
      <w:pPr>
        <w:jc w:val="center"/>
        <w:ind w:right="60"/>
        <w:spacing w:after="0"/>
        <w:tabs>
          <w:tab w:leader="none" w:pos="120" w:val="left"/>
        </w:tabs>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209" w:lineRule="exact"/>
        <w:rPr>
          <w:sz w:val="24"/>
          <w:szCs w:val="24"/>
          <w:color w:val="auto"/>
        </w:rPr>
      </w:pPr>
    </w:p>
    <w:p>
      <w:pPr>
        <w:ind w:right="480" w:firstLine="429"/>
        <w:spacing w:after="0"/>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6" w:lineRule="exact"/>
        <w:rPr>
          <w:sz w:val="24"/>
          <w:szCs w:val="24"/>
          <w:color w:val="auto"/>
        </w:rPr>
      </w:pPr>
    </w:p>
    <w:p>
      <w:pPr>
        <w:ind w:right="240" w:firstLine="429"/>
        <w:spacing w:after="0"/>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6" w:lineRule="exact"/>
        <w:rPr>
          <w:sz w:val="24"/>
          <w:szCs w:val="24"/>
          <w:color w:val="auto"/>
        </w:rPr>
      </w:pPr>
    </w:p>
    <w:p>
      <w:pPr>
        <w:ind w:right="240" w:firstLine="429"/>
        <w:spacing w:after="0"/>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6" w:lineRule="exact"/>
        <w:rPr>
          <w:sz w:val="24"/>
          <w:szCs w:val="24"/>
          <w:color w:val="auto"/>
        </w:rPr>
      </w:pPr>
    </w:p>
    <w:p>
      <w:pPr>
        <w:ind w:right="260" w:firstLine="429"/>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649" w:right="219" w:bottom="217" w:gutter="0" w:footer="0" w:header="0"/>
        </w:sectPr>
      </w:pPr>
    </w:p>
    <w:p>
      <w:pPr>
        <w:spacing w:after="0" w:line="175" w:lineRule="exact"/>
        <w:rPr>
          <w:sz w:val="24"/>
          <w:szCs w:val="24"/>
          <w:color w:val="auto"/>
        </w:rPr>
      </w:pPr>
    </w:p>
    <w:p>
      <w:pPr>
        <w:ind w:left="4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96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2" w:lineRule="exact"/>
        <w:rPr>
          <w:sz w:val="24"/>
          <w:szCs w:val="24"/>
          <w:color w:val="auto"/>
        </w:rPr>
      </w:pPr>
    </w:p>
    <w:p>
      <w:pPr>
        <w:sectPr>
          <w:pgSz w:w="11900" w:h="16838" w:orient="portrait"/>
          <w:cols w:equalWidth="0" w:num="4">
            <w:col w:w="2620" w:space="720"/>
            <w:col w:w="1980" w:space="720"/>
            <w:col w:w="2500" w:space="720"/>
            <w:col w:w="2180"/>
          </w:cols>
          <w:pgMar w:left="240" w:top="649" w:right="219" w:bottom="217" w:gutter="0" w:footer="0" w:header="0"/>
          <w:type w:val="continuous"/>
        </w:sectPr>
      </w:pPr>
    </w:p>
    <w:p>
      <w:pPr>
        <w:jc w:val="center"/>
        <w:ind w:left="4900"/>
        <w:spacing w:after="0"/>
        <w:rPr>
          <w:sz w:val="20"/>
          <w:szCs w:val="20"/>
          <w:color w:val="auto"/>
        </w:rPr>
      </w:pPr>
      <w:r>
        <w:rPr>
          <w:rFonts w:ascii="Arial" w:cs="Arial" w:eastAsia="Arial" w:hAnsi="Arial"/>
          <w:sz w:val="13"/>
          <w:szCs w:val="13"/>
          <w:color w:val="auto"/>
        </w:rPr>
        <w:t>(Do not check if a</w:t>
      </w:r>
    </w:p>
    <w:p>
      <w:pPr>
        <w:jc w:val="center"/>
        <w:ind w:left="490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333" w:lineRule="exact"/>
        <w:rPr>
          <w:sz w:val="24"/>
          <w:szCs w:val="24"/>
          <w:color w:val="auto"/>
        </w:rPr>
      </w:pPr>
    </w:p>
    <w:p>
      <w:pPr>
        <w:sectPr>
          <w:pgSz w:w="11900" w:h="16838" w:orient="portrait"/>
          <w:cols w:equalWidth="0" w:num="2">
            <w:col w:w="8520" w:space="720"/>
            <w:col w:w="2200"/>
          </w:cols>
          <w:pgMar w:left="240" w:top="649" w:right="219" w:bottom="217" w:gutter="0" w:footer="0" w:header="0"/>
          <w:type w:val="continuous"/>
        </w:sectPr>
      </w:pPr>
    </w:p>
    <w:p>
      <w:pPr>
        <w:ind w:right="600" w:firstLine="429"/>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66" w:lineRule="exact"/>
        <w:rPr>
          <w:sz w:val="24"/>
          <w:szCs w:val="24"/>
          <w:color w:val="auto"/>
        </w:rPr>
      </w:pPr>
    </w:p>
    <w:p>
      <w:pPr>
        <w:jc w:val="both"/>
        <w:ind w:right="80" w:firstLine="428"/>
        <w:spacing w:after="0" w:line="24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324485</wp:posOffset>
            </wp:positionV>
            <wp:extent cx="72612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340360</wp:posOffset>
            </wp:positionV>
            <wp:extent cx="7261225" cy="30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225" cy="30480"/>
                    </a:xfrm>
                    <a:prstGeom prst="rect">
                      <a:avLst/>
                    </a:prstGeom>
                    <a:noFill/>
                  </pic:spPr>
                </pic:pic>
              </a:graphicData>
            </a:graphic>
          </wp:anchor>
        </w:drawing>
      </w:r>
    </w:p>
    <w:p>
      <w:pPr>
        <w:sectPr>
          <w:pgSz w:w="11900" w:h="16838" w:orient="portrait"/>
          <w:cols w:equalWidth="0" w:num="1">
            <w:col w:w="11440"/>
          </w:cols>
          <w:pgMar w:left="240" w:top="649" w:right="219" w:bottom="217"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6305" cy="17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FF4040"/>
        </w:rPr>
        <w:t>Subject to Completion, Dated May 18, 2018</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PRELIMINARY PROSPECTUS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125095</wp:posOffset>
            </wp:positionV>
            <wp:extent cx="1539875" cy="1064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9875" cy="106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125095</wp:posOffset>
            </wp:positionV>
            <wp:extent cx="13176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This is an initial public offering of our Class A common shares. All 7,000,000 Class A common shares are being sold by us.</w:t>
      </w:r>
    </w:p>
    <w:p>
      <w:pPr>
        <w:spacing w:after="0" w:line="188" w:lineRule="exact"/>
        <w:rPr>
          <w:sz w:val="20"/>
          <w:szCs w:val="20"/>
          <w:color w:val="auto"/>
        </w:rPr>
      </w:pPr>
    </w:p>
    <w:p>
      <w:pPr>
        <w:ind w:right="160" w:firstLine="429"/>
        <w:spacing w:after="0"/>
        <w:rPr>
          <w:sz w:val="20"/>
          <w:szCs w:val="20"/>
          <w:color w:val="auto"/>
        </w:rPr>
      </w:pPr>
      <w:r>
        <w:rPr>
          <w:rFonts w:ascii="Arial" w:cs="Arial" w:eastAsia="Arial" w:hAnsi="Arial"/>
          <w:sz w:val="13"/>
          <w:szCs w:val="13"/>
          <w:color w:val="auto"/>
        </w:rPr>
        <w:t>Prior to this offering, there has been no public market for our Class A common shares. It is currently estimated that the initial public offering price per share will be between $17.00 and $19.00. We have applied to have our Class A common shares listed on The Nasdaq Global Select Market under the symbol "KNSA."</w:t>
      </w:r>
    </w:p>
    <w:p>
      <w:pPr>
        <w:spacing w:after="0" w:line="184" w:lineRule="exact"/>
        <w:rPr>
          <w:sz w:val="20"/>
          <w:szCs w:val="20"/>
          <w:color w:val="auto"/>
        </w:rPr>
      </w:pPr>
    </w:p>
    <w:p>
      <w:pPr>
        <w:ind w:right="20" w:firstLine="429"/>
        <w:spacing w:after="0" w:line="280" w:lineRule="auto"/>
        <w:rPr>
          <w:sz w:val="20"/>
          <w:szCs w:val="20"/>
          <w:color w:val="auto"/>
        </w:rPr>
      </w:pPr>
      <w:r>
        <w:rPr>
          <w:rFonts w:ascii="Arial" w:cs="Arial" w:eastAsia="Arial" w:hAnsi="Arial"/>
          <w:sz w:val="12"/>
          <w:szCs w:val="12"/>
          <w:color w:val="auto"/>
        </w:rPr>
        <w:t>We are an "emerging growth company" as defined in Section 2(a) of the Securities Act of 1933, as amended, as modified by the Jumpstart Our Business Startups Act of 2012, and as such have elected to comply with certain reduced public company reporting requirements for this prospectus and future filings. See "Prospectus Summary — Implications of Being an Emerging Growth Company."</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auto"/>
        </w:rPr>
        <w:t>Investing in our Class A common shares involves risk. See "Risk Factors" beginning on page 13 to read about factors you should consider before buying our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125730</wp:posOffset>
            </wp:positionV>
            <wp:extent cx="13176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428"/>
        <w:spacing w:after="0" w:line="265" w:lineRule="auto"/>
        <w:rPr>
          <w:sz w:val="20"/>
          <w:szCs w:val="20"/>
          <w:color w:val="auto"/>
        </w:rPr>
      </w:pPr>
      <w:r>
        <w:rPr>
          <w:rFonts w:ascii="Arial" w:cs="Arial" w:eastAsia="Arial" w:hAnsi="Arial"/>
          <w:sz w:val="13"/>
          <w:szCs w:val="13"/>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104140</wp:posOffset>
            </wp:positionV>
            <wp:extent cx="13176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94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Per Share</w:t>
            </w:r>
          </w:p>
        </w:tc>
        <w:tc>
          <w:tcPr>
            <w:tcW w:w="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Total</w:t>
            </w:r>
          </w:p>
        </w:tc>
      </w:tr>
      <w:tr>
        <w:trPr>
          <w:trHeight w:val="142"/>
        </w:trPr>
        <w:tc>
          <w:tcPr>
            <w:tcW w:w="7940" w:type="dxa"/>
            <w:vAlign w:val="bottom"/>
            <w:gridSpan w:val="3"/>
          </w:tcPr>
          <w:p>
            <w:pPr>
              <w:spacing w:after="0" w:line="142" w:lineRule="exact"/>
              <w:rPr>
                <w:sz w:val="20"/>
                <w:szCs w:val="20"/>
                <w:color w:val="auto"/>
              </w:rPr>
            </w:pPr>
            <w:r>
              <w:rPr>
                <w:rFonts w:ascii="Arial" w:cs="Arial" w:eastAsia="Arial" w:hAnsi="Arial"/>
                <w:sz w:val="13"/>
                <w:szCs w:val="13"/>
                <w:color w:val="auto"/>
              </w:rPr>
              <w:t>Initial public offering price</w:t>
            </w:r>
          </w:p>
        </w:tc>
        <w:tc>
          <w:tcPr>
            <w:tcW w:w="2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r>
      <w:tr>
        <w:trPr>
          <w:trHeight w:val="176"/>
        </w:trPr>
        <w:tc>
          <w:tcPr>
            <w:tcW w:w="7940" w:type="dxa"/>
            <w:vAlign w:val="bottom"/>
            <w:gridSpan w:val="3"/>
          </w:tcPr>
          <w:p>
            <w:pPr>
              <w:spacing w:after="0" w:line="176" w:lineRule="exact"/>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9"/>
                <w:szCs w:val="19"/>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7940" w:type="dxa"/>
            <w:vAlign w:val="bottom"/>
            <w:gridSpan w:val="3"/>
          </w:tcPr>
          <w:p>
            <w:pPr>
              <w:spacing w:after="0"/>
              <w:rPr>
                <w:sz w:val="20"/>
                <w:szCs w:val="20"/>
                <w:color w:val="auto"/>
              </w:rPr>
            </w:pPr>
            <w:r>
              <w:rPr>
                <w:rFonts w:ascii="Arial" w:cs="Arial" w:eastAsia="Arial" w:hAnsi="Arial"/>
                <w:sz w:val="13"/>
                <w:szCs w:val="13"/>
                <w:color w:val="auto"/>
              </w:rPr>
              <w:t>Proceeds, before expenses, to Kiniksa Pharmaceuticals, Ltd.</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r>
      <w:tr>
        <w:trPr>
          <w:trHeight w:val="83"/>
        </w:trPr>
        <w:tc>
          <w:tcPr>
            <w:tcW w:w="940" w:type="dxa"/>
            <w:vAlign w:val="bottom"/>
            <w:tcBorders>
              <w:bottom w:val="single" w:sz="8" w:color="auto"/>
            </w:tcBorders>
          </w:tcPr>
          <w:p>
            <w:pPr>
              <w:spacing w:after="0"/>
              <w:rPr>
                <w:sz w:val="7"/>
                <w:szCs w:val="7"/>
                <w:color w:val="auto"/>
              </w:rPr>
            </w:pPr>
          </w:p>
        </w:tc>
        <w:tc>
          <w:tcPr>
            <w:tcW w:w="58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133" w:lineRule="exact"/>
        <w:rPr>
          <w:sz w:val="20"/>
          <w:szCs w:val="20"/>
          <w:color w:val="auto"/>
        </w:rPr>
      </w:pPr>
    </w:p>
    <w:p>
      <w:pPr>
        <w:ind w:left="1620" w:hanging="480"/>
        <w:spacing w:after="0"/>
        <w:tabs>
          <w:tab w:leader="none" w:pos="1620" w:val="left"/>
        </w:tabs>
        <w:numPr>
          <w:ilvl w:val="0"/>
          <w:numId w:val="1"/>
        </w:numPr>
        <w:rPr>
          <w:rFonts w:ascii="Arial" w:cs="Arial" w:eastAsia="Arial" w:hAnsi="Arial"/>
          <w:sz w:val="19"/>
          <w:szCs w:val="19"/>
          <w:color w:val="auto"/>
          <w:vertAlign w:val="superscript"/>
        </w:rPr>
      </w:pPr>
      <w:r>
        <w:rPr>
          <w:rFonts w:ascii="Arial" w:cs="Arial" w:eastAsia="Arial" w:hAnsi="Arial"/>
          <w:sz w:val="13"/>
          <w:szCs w:val="13"/>
          <w:color w:val="auto"/>
        </w:rPr>
        <w:t>See "Underwriting" beginning on page 209 for additional information regarding underwriting compensation.</w:t>
      </w:r>
    </w:p>
    <w:p>
      <w:pPr>
        <w:spacing w:after="0" w:line="183" w:lineRule="exact"/>
        <w:rPr>
          <w:sz w:val="20"/>
          <w:szCs w:val="20"/>
          <w:color w:val="auto"/>
        </w:rPr>
      </w:pPr>
    </w:p>
    <w:p>
      <w:pPr>
        <w:ind w:right="40" w:firstLine="429"/>
        <w:spacing w:after="0" w:line="233" w:lineRule="auto"/>
        <w:rPr>
          <w:sz w:val="20"/>
          <w:szCs w:val="20"/>
          <w:color w:val="auto"/>
        </w:rPr>
      </w:pPr>
      <w:r>
        <w:rPr>
          <w:rFonts w:ascii="Arial" w:cs="Arial" w:eastAsia="Arial" w:hAnsi="Arial"/>
          <w:sz w:val="13"/>
          <w:szCs w:val="13"/>
          <w:color w:val="auto"/>
        </w:rPr>
        <w:t>Following this offering, we will have four classes of common shares outstanding: Class A common shares, Class A1 common shares, Class B common shares and Class B1 common shares. All classes of our common shares will be economically equivalent to each other. The rights of the holders of our Class A common shares, Class A1 common shares, Class B common shares and Class B1 common shares will be identical, except with respect to voting, conversion and transferability. Each Class A common share will be entitled to one vote and will not be convertible into any other class of our share capital. Each Class B common share will be entitled to ten votes and will be convertible at any time at the election of the holder into one Class A common share or one Class B1 common share and will automatically convert into Class A common shares upon transfer to an unaffiliated party. The rights of the holders of our Class A1 common shares and Class B1 common shares will be identical, except with respect to conversion. Each Class A1 common share and Class B1 common share will have no associated voting rights. Each Class A1 common share will be convertible into one Class A common share, subject to certain limitations, as described in this prospectus. Each Class B1 common share will be convertible into one Class A common share or one Class B common share, subject to certain limitations, as described in this prospectus. Immediately following this offering, the holders of Class A common shares will account for 22.2% of our aggregate voting power and the holders of Class B common shares will account for the remaining 77.8% of our aggregate voting power. See "Description of Share Capital — Common Shares" for more information on the rights of the holders of our Class A common shares, Class A1 common shares, Class B common shares and Class B1 common shares.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We have granted the underwriters the option to purchase up to an additional 1,050,000 of our Class A common shares for a period of 30 days after the date of this prospectus.</w:t>
      </w:r>
    </w:p>
    <w:p>
      <w:pPr>
        <w:spacing w:after="0" w:line="188" w:lineRule="exact"/>
        <w:rPr>
          <w:sz w:val="20"/>
          <w:szCs w:val="20"/>
          <w:color w:val="auto"/>
        </w:rPr>
      </w:pPr>
    </w:p>
    <w:p>
      <w:pPr>
        <w:ind w:firstLine="429"/>
        <w:spacing w:after="0" w:line="236" w:lineRule="auto"/>
        <w:rPr>
          <w:sz w:val="20"/>
          <w:szCs w:val="20"/>
          <w:color w:val="auto"/>
        </w:rPr>
      </w:pPr>
      <w:r>
        <w:rPr>
          <w:rFonts w:ascii="Arial" w:cs="Arial" w:eastAsia="Arial" w:hAnsi="Arial"/>
          <w:sz w:val="13"/>
          <w:szCs w:val="13"/>
          <w:color w:val="auto"/>
        </w:rPr>
        <w:t>Certain of our existing shareholders, including shareholders affiliated with certain of our directors, have indicated an interest in purchasing an aggregate of approximately $50.0 million of Class A common shares in this offering at the initial public offering price per share. However, because indications of interest are not binding agreements or commitments to purchase, the underwriters may determine to sell more, less or no shares in this offering to any of these existing shareholders, or any of these existing shareholders may determine to purchase more, less or no shares in this offering. The underwriters will receive the same underwriting discount on any shares purchased by these existing shareholders as they will on any other shares sold to the public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114300</wp:posOffset>
            </wp:positionV>
            <wp:extent cx="13176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154"/>
        </w:trPr>
        <w:tc>
          <w:tcPr>
            <w:tcW w:w="6340" w:type="dxa"/>
            <w:vAlign w:val="bottom"/>
            <w:gridSpan w:val="2"/>
          </w:tcPr>
          <w:p>
            <w:pPr>
              <w:spacing w:after="0"/>
              <w:rPr>
                <w:sz w:val="20"/>
                <w:szCs w:val="20"/>
                <w:color w:val="auto"/>
              </w:rPr>
            </w:pPr>
            <w:r>
              <w:rPr>
                <w:rFonts w:ascii="Arial" w:cs="Arial" w:eastAsia="Arial" w:hAnsi="Arial"/>
                <w:sz w:val="13"/>
                <w:szCs w:val="13"/>
                <w:color w:val="auto"/>
              </w:rPr>
              <w:t>The underwriters expect to deliver the Class A common shares to investors against payment on or about</w:t>
            </w:r>
          </w:p>
        </w:tc>
        <w:tc>
          <w:tcPr>
            <w:tcW w:w="3520" w:type="dxa"/>
            <w:vAlign w:val="bottom"/>
          </w:tcPr>
          <w:p>
            <w:pPr>
              <w:jc w:val="right"/>
              <w:ind w:right="2810"/>
              <w:spacing w:after="0"/>
              <w:rPr>
                <w:sz w:val="20"/>
                <w:szCs w:val="20"/>
                <w:color w:val="auto"/>
              </w:rPr>
            </w:pPr>
            <w:r>
              <w:rPr>
                <w:rFonts w:ascii="Arial" w:cs="Arial" w:eastAsia="Arial" w:hAnsi="Arial"/>
                <w:sz w:val="13"/>
                <w:szCs w:val="13"/>
                <w:color w:val="auto"/>
              </w:rPr>
              <w:t>, 2018.</w:t>
            </w:r>
          </w:p>
        </w:tc>
      </w:tr>
      <w:tr>
        <w:trPr>
          <w:trHeight w:val="436"/>
        </w:trPr>
        <w:tc>
          <w:tcPr>
            <w:tcW w:w="6340" w:type="dxa"/>
            <w:vAlign w:val="bottom"/>
            <w:gridSpan w:val="2"/>
          </w:tcPr>
          <w:p>
            <w:pPr>
              <w:ind w:left="720"/>
              <w:spacing w:after="0"/>
              <w:rPr>
                <w:sz w:val="20"/>
                <w:szCs w:val="20"/>
                <w:color w:val="auto"/>
              </w:rPr>
            </w:pPr>
            <w:r>
              <w:rPr>
                <w:rFonts w:ascii="Arial" w:cs="Arial" w:eastAsia="Arial" w:hAnsi="Arial"/>
                <w:sz w:val="22"/>
                <w:szCs w:val="22"/>
                <w:b w:val="1"/>
                <w:bCs w:val="1"/>
                <w:color w:val="auto"/>
              </w:rPr>
              <w:t>Goldman Sachs &amp; Co. LLC</w:t>
            </w:r>
          </w:p>
        </w:tc>
        <w:tc>
          <w:tcPr>
            <w:tcW w:w="3520" w:type="dxa"/>
            <w:vAlign w:val="bottom"/>
          </w:tcPr>
          <w:p>
            <w:pPr>
              <w:jc w:val="right"/>
              <w:spacing w:after="0"/>
              <w:rPr>
                <w:sz w:val="20"/>
                <w:szCs w:val="20"/>
                <w:color w:val="auto"/>
              </w:rPr>
            </w:pPr>
            <w:r>
              <w:rPr>
                <w:rFonts w:ascii="Arial" w:cs="Arial" w:eastAsia="Arial" w:hAnsi="Arial"/>
                <w:sz w:val="22"/>
                <w:szCs w:val="22"/>
                <w:b w:val="1"/>
                <w:bCs w:val="1"/>
                <w:color w:val="auto"/>
              </w:rPr>
              <w:t>J.P. Morgan</w:t>
            </w:r>
          </w:p>
        </w:tc>
      </w:tr>
      <w:tr>
        <w:trPr>
          <w:trHeight w:val="440"/>
        </w:trPr>
        <w:tc>
          <w:tcPr>
            <w:tcW w:w="6340" w:type="dxa"/>
            <w:vAlign w:val="bottom"/>
            <w:gridSpan w:val="2"/>
          </w:tcPr>
          <w:p>
            <w:pPr>
              <w:ind w:left="720"/>
              <w:spacing w:after="0"/>
              <w:rPr>
                <w:sz w:val="20"/>
                <w:szCs w:val="20"/>
                <w:color w:val="auto"/>
              </w:rPr>
            </w:pPr>
            <w:r>
              <w:rPr>
                <w:rFonts w:ascii="Arial" w:cs="Arial" w:eastAsia="Arial" w:hAnsi="Arial"/>
                <w:sz w:val="19"/>
                <w:szCs w:val="19"/>
                <w:b w:val="1"/>
                <w:bCs w:val="1"/>
                <w:color w:val="auto"/>
              </w:rPr>
              <w:t>JMP Securities</w:t>
            </w:r>
          </w:p>
        </w:tc>
        <w:tc>
          <w:tcPr>
            <w:tcW w:w="3520" w:type="dxa"/>
            <w:vAlign w:val="bottom"/>
          </w:tcPr>
          <w:p>
            <w:pPr>
              <w:jc w:val="right"/>
              <w:spacing w:after="0"/>
              <w:rPr>
                <w:sz w:val="20"/>
                <w:szCs w:val="20"/>
                <w:color w:val="auto"/>
              </w:rPr>
            </w:pPr>
            <w:r>
              <w:rPr>
                <w:rFonts w:ascii="Arial" w:cs="Arial" w:eastAsia="Arial" w:hAnsi="Arial"/>
                <w:sz w:val="19"/>
                <w:szCs w:val="19"/>
                <w:b w:val="1"/>
                <w:bCs w:val="1"/>
                <w:color w:val="auto"/>
              </w:rPr>
              <w:t>Wedbush PacGrow</w:t>
            </w:r>
          </w:p>
        </w:tc>
      </w:tr>
      <w:tr>
        <w:trPr>
          <w:trHeight w:val="183"/>
        </w:trPr>
        <w:tc>
          <w:tcPr>
            <w:tcW w:w="4260" w:type="dxa"/>
            <w:vAlign w:val="bottom"/>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35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00"/>
          </w:cols>
          <w:pgMar w:left="240" w:top="142" w:right="2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4720"/>
        <w:spacing w:after="0"/>
        <w:tabs>
          <w:tab w:leader="none" w:pos="6340" w:val="left"/>
        </w:tabs>
        <w:rPr>
          <w:sz w:val="20"/>
          <w:szCs w:val="20"/>
          <w:color w:val="auto"/>
        </w:rPr>
      </w:pPr>
      <w:r>
        <w:rPr>
          <w:rFonts w:ascii="Arial" w:cs="Arial" w:eastAsia="Arial" w:hAnsi="Arial"/>
          <w:sz w:val="13"/>
          <w:szCs w:val="13"/>
          <w:color w:val="auto"/>
        </w:rPr>
        <w:t>Prospectus dated</w:t>
      </w:r>
      <w:r>
        <w:rPr>
          <w:sz w:val="20"/>
          <w:szCs w:val="20"/>
          <w:color w:val="auto"/>
        </w:rPr>
        <w:tab/>
      </w:r>
      <w:r>
        <w:rPr>
          <w:rFonts w:ascii="Arial" w:cs="Arial" w:eastAsia="Arial" w:hAnsi="Arial"/>
          <w:sz w:val="12"/>
          <w:szCs w:val="12"/>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26630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type w:val="continuous"/>
        </w:sectPr>
      </w:pPr>
    </w:p>
    <w:bookmarkStart w:id="3" w:name="page4"/>
    <w:bookmarkEnd w:id="3"/>
    <w:tbl>
      <w:tblPr>
        <w:tblLayout w:type="fixed"/>
        <w:tblInd w:w="1140" w:type="dxa"/>
        <w:tblCellMar>
          <w:top w:w="0" w:type="dxa"/>
          <w:left w:w="0" w:type="dxa"/>
          <w:bottom w:w="0" w:type="dxa"/>
          <w:right w:w="0" w:type="dxa"/>
        </w:tblCellMar>
      </w:tblPr>
      <w:tr>
        <w:trPr>
          <w:trHeight w:val="208"/>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gridSpan w:val="6"/>
          </w:tcPr>
          <w:p>
            <w:pPr>
              <w:ind w:left="20"/>
              <w:spacing w:after="0"/>
              <w:rPr>
                <w:sz w:val="20"/>
                <w:szCs w:val="20"/>
                <w:color w:val="auto"/>
              </w:rPr>
            </w:pPr>
            <w:r>
              <w:rPr>
                <w:rFonts w:ascii="Arial" w:cs="Arial" w:eastAsia="Arial" w:hAnsi="Arial"/>
                <w:sz w:val="16"/>
                <w:szCs w:val="16"/>
                <w:b w:val="1"/>
                <w:bCs w:val="1"/>
                <w:color w:val="auto"/>
              </w:rPr>
              <w:t>TABLE OF CONTENTS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68"/>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Page</w:t>
            </w:r>
          </w:p>
        </w:tc>
      </w:tr>
      <w:tr>
        <w:trPr>
          <w:trHeight w:val="157"/>
        </w:trPr>
        <w:tc>
          <w:tcPr>
            <w:tcW w:w="8500" w:type="dxa"/>
            <w:vAlign w:val="bottom"/>
            <w:gridSpan w:val="27"/>
          </w:tcPr>
          <w:p>
            <w:pPr>
              <w:spacing w:after="0" w:line="157" w:lineRule="exact"/>
              <w:rPr>
                <w:rFonts w:ascii="Arial" w:cs="Arial" w:eastAsia="Arial" w:hAnsi="Arial"/>
                <w:sz w:val="16"/>
                <w:szCs w:val="16"/>
                <w:color w:val="0000EE"/>
              </w:rPr>
            </w:pPr>
            <w:hyperlink w:anchor="page6">
              <w:r>
                <w:rPr>
                  <w:rFonts w:ascii="Arial" w:cs="Arial" w:eastAsia="Arial" w:hAnsi="Arial"/>
                  <w:sz w:val="16"/>
                  <w:szCs w:val="16"/>
                  <w:color w:val="0000EE"/>
                </w:rPr>
                <w:t>Prospectus Summary</w:t>
              </w:r>
            </w:hyperlink>
          </w:p>
        </w:tc>
        <w:tc>
          <w:tcPr>
            <w:tcW w:w="500" w:type="dxa"/>
            <w:vAlign w:val="bottom"/>
            <w:gridSpan w:val="4"/>
          </w:tcPr>
          <w:p>
            <w:pPr>
              <w:jc w:val="right"/>
              <w:spacing w:after="0" w:line="157" w:lineRule="exact"/>
              <w:rPr>
                <w:rFonts w:ascii="Arial" w:cs="Arial" w:eastAsia="Arial" w:hAnsi="Arial"/>
                <w:sz w:val="16"/>
                <w:szCs w:val="16"/>
                <w:color w:val="0000EE"/>
              </w:rPr>
            </w:pPr>
            <w:hyperlink w:anchor="page6">
              <w:r>
                <w:rPr>
                  <w:rFonts w:ascii="Arial" w:cs="Arial" w:eastAsia="Arial" w:hAnsi="Arial"/>
                  <w:sz w:val="16"/>
                  <w:szCs w:val="16"/>
                  <w:color w:val="0000EE"/>
                </w:rPr>
                <w:t>1</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61"/>
        </w:trPr>
        <w:tc>
          <w:tcPr>
            <w:tcW w:w="880" w:type="dxa"/>
            <w:vAlign w:val="bottom"/>
            <w:tcBorders>
              <w:bottom w:val="single" w:sz="8" w:color="0000EE"/>
            </w:tcBorders>
            <w:gridSpan w:val="4"/>
          </w:tcPr>
          <w:p>
            <w:pPr>
              <w:spacing w:after="0" w:line="161" w:lineRule="exact"/>
              <w:rPr>
                <w:rFonts w:ascii="Arial" w:cs="Arial" w:eastAsia="Arial" w:hAnsi="Arial"/>
                <w:sz w:val="16"/>
                <w:szCs w:val="16"/>
                <w:color w:val="0000EE"/>
                <w:w w:val="94"/>
              </w:rPr>
            </w:pPr>
            <w:hyperlink w:anchor="page18">
              <w:r>
                <w:rPr>
                  <w:rFonts w:ascii="Arial" w:cs="Arial" w:eastAsia="Arial" w:hAnsi="Arial"/>
                  <w:sz w:val="16"/>
                  <w:szCs w:val="16"/>
                  <w:color w:val="0000EE"/>
                  <w:w w:val="94"/>
                </w:rPr>
                <w:t>Risk Factors</w:t>
              </w:r>
            </w:hyperlink>
          </w:p>
        </w:tc>
        <w:tc>
          <w:tcPr>
            <w:tcW w:w="620" w:type="dxa"/>
            <w:vAlign w:val="bottom"/>
            <w:gridSpan w:val="6"/>
          </w:tcPr>
          <w:p>
            <w:pPr>
              <w:spacing w:after="0"/>
              <w:rPr>
                <w:sz w:val="13"/>
                <w:szCs w:val="13"/>
                <w:color w:val="auto"/>
              </w:rPr>
            </w:pPr>
          </w:p>
        </w:tc>
        <w:tc>
          <w:tcPr>
            <w:tcW w:w="7000" w:type="dxa"/>
            <w:vAlign w:val="bottom"/>
            <w:gridSpan w:val="17"/>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bottom w:val="single" w:sz="8" w:color="0000EE"/>
            </w:tcBorders>
            <w:gridSpan w:val="2"/>
          </w:tcPr>
          <w:p>
            <w:pPr>
              <w:jc w:val="right"/>
              <w:spacing w:after="0" w:line="161" w:lineRule="exact"/>
              <w:rPr>
                <w:rFonts w:ascii="Arial" w:cs="Arial" w:eastAsia="Arial" w:hAnsi="Arial"/>
                <w:sz w:val="16"/>
                <w:szCs w:val="16"/>
                <w:color w:val="0000EE"/>
                <w:w w:val="89"/>
              </w:rPr>
            </w:pPr>
            <w:hyperlink w:anchor="page18">
              <w:r>
                <w:rPr>
                  <w:rFonts w:ascii="Arial" w:cs="Arial" w:eastAsia="Arial" w:hAnsi="Arial"/>
                  <w:sz w:val="16"/>
                  <w:szCs w:val="16"/>
                  <w:color w:val="0000EE"/>
                  <w:w w:val="89"/>
                </w:rPr>
                <w:t>13</w:t>
              </w:r>
            </w:hyperlink>
          </w:p>
        </w:tc>
      </w:tr>
      <w:tr>
        <w:trPr>
          <w:trHeight w:val="161"/>
        </w:trPr>
        <w:tc>
          <w:tcPr>
            <w:tcW w:w="3720" w:type="dxa"/>
            <w:vAlign w:val="bottom"/>
            <w:tcBorders>
              <w:bottom w:val="single" w:sz="8" w:color="0000EE"/>
            </w:tcBorders>
            <w:gridSpan w:val="21"/>
          </w:tcPr>
          <w:p>
            <w:pPr>
              <w:spacing w:after="0" w:line="161" w:lineRule="exact"/>
              <w:rPr>
                <w:rFonts w:ascii="Arial" w:cs="Arial" w:eastAsia="Arial" w:hAnsi="Arial"/>
                <w:sz w:val="16"/>
                <w:szCs w:val="16"/>
                <w:color w:val="0000EE"/>
                <w:w w:val="97"/>
              </w:rPr>
            </w:pPr>
            <w:hyperlink w:anchor="page86">
              <w:r>
                <w:rPr>
                  <w:rFonts w:ascii="Arial" w:cs="Arial" w:eastAsia="Arial" w:hAnsi="Arial"/>
                  <w:sz w:val="16"/>
                  <w:szCs w:val="16"/>
                  <w:color w:val="0000EE"/>
                  <w:w w:val="97"/>
                </w:rPr>
                <w:t>Special Note Regarding Forward-Looking Statements</w:t>
              </w:r>
            </w:hyperlink>
          </w:p>
        </w:tc>
        <w:tc>
          <w:tcPr>
            <w:tcW w:w="4780" w:type="dxa"/>
            <w:vAlign w:val="bottom"/>
            <w:gridSpan w:val="6"/>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bottom w:val="single" w:sz="8" w:color="0000EE"/>
            </w:tcBorders>
            <w:gridSpan w:val="2"/>
          </w:tcPr>
          <w:p>
            <w:pPr>
              <w:jc w:val="right"/>
              <w:spacing w:after="0" w:line="161" w:lineRule="exact"/>
              <w:rPr>
                <w:rFonts w:ascii="Arial" w:cs="Arial" w:eastAsia="Arial" w:hAnsi="Arial"/>
                <w:sz w:val="16"/>
                <w:szCs w:val="16"/>
                <w:color w:val="0000EE"/>
                <w:w w:val="89"/>
              </w:rPr>
            </w:pPr>
            <w:hyperlink w:anchor="page86">
              <w:r>
                <w:rPr>
                  <w:rFonts w:ascii="Arial" w:cs="Arial" w:eastAsia="Arial" w:hAnsi="Arial"/>
                  <w:sz w:val="16"/>
                  <w:szCs w:val="16"/>
                  <w:color w:val="0000EE"/>
                  <w:w w:val="89"/>
                </w:rPr>
                <w:t>81</w:t>
              </w:r>
            </w:hyperlink>
          </w:p>
        </w:tc>
      </w:tr>
      <w:tr>
        <w:trPr>
          <w:trHeight w:val="161"/>
        </w:trPr>
        <w:tc>
          <w:tcPr>
            <w:tcW w:w="1680" w:type="dxa"/>
            <w:vAlign w:val="bottom"/>
            <w:tcBorders>
              <w:bottom w:val="single" w:sz="8" w:color="0000EE"/>
            </w:tcBorders>
            <w:gridSpan w:val="12"/>
          </w:tcPr>
          <w:p>
            <w:pPr>
              <w:spacing w:after="0" w:line="161" w:lineRule="exact"/>
              <w:rPr>
                <w:rFonts w:ascii="Arial" w:cs="Arial" w:eastAsia="Arial" w:hAnsi="Arial"/>
                <w:sz w:val="16"/>
                <w:szCs w:val="16"/>
                <w:color w:val="0000EE"/>
                <w:w w:val="97"/>
              </w:rPr>
            </w:pPr>
            <w:hyperlink w:anchor="page88">
              <w:r>
                <w:rPr>
                  <w:rFonts w:ascii="Arial" w:cs="Arial" w:eastAsia="Arial" w:hAnsi="Arial"/>
                  <w:sz w:val="16"/>
                  <w:szCs w:val="16"/>
                  <w:color w:val="0000EE"/>
                  <w:w w:val="97"/>
                </w:rPr>
                <w:t>Industry and Other Data</w:t>
              </w:r>
            </w:hyperlink>
          </w:p>
        </w:tc>
        <w:tc>
          <w:tcPr>
            <w:tcW w:w="6820" w:type="dxa"/>
            <w:vAlign w:val="bottom"/>
            <w:gridSpan w:val="15"/>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bottom w:val="single" w:sz="8" w:color="0000EE"/>
            </w:tcBorders>
            <w:gridSpan w:val="2"/>
          </w:tcPr>
          <w:p>
            <w:pPr>
              <w:jc w:val="right"/>
              <w:spacing w:after="0" w:line="161" w:lineRule="exact"/>
              <w:rPr>
                <w:rFonts w:ascii="Arial" w:cs="Arial" w:eastAsia="Arial" w:hAnsi="Arial"/>
                <w:sz w:val="16"/>
                <w:szCs w:val="16"/>
                <w:color w:val="0000EE"/>
                <w:w w:val="89"/>
              </w:rPr>
            </w:pPr>
            <w:hyperlink w:anchor="page88">
              <w:r>
                <w:rPr>
                  <w:rFonts w:ascii="Arial" w:cs="Arial" w:eastAsia="Arial" w:hAnsi="Arial"/>
                  <w:sz w:val="16"/>
                  <w:szCs w:val="16"/>
                  <w:color w:val="0000EE"/>
                  <w:w w:val="89"/>
                </w:rPr>
                <w:t>83</w:t>
              </w:r>
            </w:hyperlink>
          </w:p>
        </w:tc>
      </w:tr>
      <w:tr>
        <w:trPr>
          <w:trHeight w:val="161"/>
        </w:trPr>
        <w:tc>
          <w:tcPr>
            <w:tcW w:w="8500" w:type="dxa"/>
            <w:vAlign w:val="bottom"/>
            <w:gridSpan w:val="27"/>
          </w:tcPr>
          <w:p>
            <w:pPr>
              <w:spacing w:after="0" w:line="161" w:lineRule="exact"/>
              <w:rPr>
                <w:rFonts w:ascii="Arial" w:cs="Arial" w:eastAsia="Arial" w:hAnsi="Arial"/>
                <w:sz w:val="16"/>
                <w:szCs w:val="16"/>
                <w:color w:val="0000EE"/>
              </w:rPr>
            </w:pPr>
            <w:hyperlink w:anchor="page89">
              <w:r>
                <w:rPr>
                  <w:rFonts w:ascii="Arial" w:cs="Arial" w:eastAsia="Arial" w:hAnsi="Arial"/>
                  <w:sz w:val="16"/>
                  <w:szCs w:val="16"/>
                  <w:color w:val="0000EE"/>
                </w:rPr>
                <w:t>Use of Proceeds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89">
              <w:r>
                <w:rPr>
                  <w:rFonts w:ascii="Arial" w:cs="Arial" w:eastAsia="Arial" w:hAnsi="Arial"/>
                  <w:sz w:val="16"/>
                  <w:szCs w:val="16"/>
                  <w:color w:val="0000EE"/>
                </w:rPr>
                <w:t>84</w:t>
              </w:r>
            </w:hyperlink>
          </w:p>
        </w:tc>
      </w:tr>
      <w:tr>
        <w:trPr>
          <w:trHeight w:val="161"/>
        </w:trPr>
        <w:tc>
          <w:tcPr>
            <w:tcW w:w="1080" w:type="dxa"/>
            <w:vAlign w:val="bottom"/>
            <w:tcBorders>
              <w:top w:val="single" w:sz="8" w:color="0000EE"/>
              <w:bottom w:val="single" w:sz="8" w:color="0000EE"/>
            </w:tcBorders>
            <w:gridSpan w:val="7"/>
          </w:tcPr>
          <w:p>
            <w:pPr>
              <w:spacing w:after="0" w:line="161" w:lineRule="exact"/>
              <w:rPr>
                <w:rFonts w:ascii="Arial" w:cs="Arial" w:eastAsia="Arial" w:hAnsi="Arial"/>
                <w:sz w:val="16"/>
                <w:szCs w:val="16"/>
                <w:color w:val="0000EE"/>
                <w:w w:val="96"/>
              </w:rPr>
            </w:pPr>
            <w:hyperlink w:anchor="page91">
              <w:r>
                <w:rPr>
                  <w:rFonts w:ascii="Arial" w:cs="Arial" w:eastAsia="Arial" w:hAnsi="Arial"/>
                  <w:sz w:val="16"/>
                  <w:szCs w:val="16"/>
                  <w:color w:val="0000EE"/>
                  <w:w w:val="96"/>
                </w:rPr>
                <w:t>Dividend Policy</w:t>
              </w:r>
            </w:hyperlink>
          </w:p>
        </w:tc>
        <w:tc>
          <w:tcPr>
            <w:tcW w:w="80" w:type="dxa"/>
            <w:vAlign w:val="bottom"/>
            <w:tcBorders>
              <w:top w:val="single" w:sz="8" w:color="0000EE"/>
            </w:tcBorders>
          </w:tcPr>
          <w:p>
            <w:pPr>
              <w:spacing w:after="0"/>
              <w:rPr>
                <w:sz w:val="13"/>
                <w:szCs w:val="13"/>
                <w:color w:val="auto"/>
              </w:rPr>
            </w:pPr>
          </w:p>
        </w:tc>
        <w:tc>
          <w:tcPr>
            <w:tcW w:w="7340" w:type="dxa"/>
            <w:vAlign w:val="bottom"/>
            <w:gridSpan w:val="19"/>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top w:val="single" w:sz="8" w:color="0000EE"/>
              <w:bottom w:val="single" w:sz="8" w:color="0000EE"/>
            </w:tcBorders>
            <w:gridSpan w:val="2"/>
          </w:tcPr>
          <w:p>
            <w:pPr>
              <w:jc w:val="right"/>
              <w:spacing w:after="0" w:line="161" w:lineRule="exact"/>
              <w:rPr>
                <w:rFonts w:ascii="Arial" w:cs="Arial" w:eastAsia="Arial" w:hAnsi="Arial"/>
                <w:sz w:val="16"/>
                <w:szCs w:val="16"/>
                <w:color w:val="0000EE"/>
                <w:w w:val="89"/>
              </w:rPr>
            </w:pPr>
            <w:hyperlink w:anchor="page91">
              <w:r>
                <w:rPr>
                  <w:rFonts w:ascii="Arial" w:cs="Arial" w:eastAsia="Arial" w:hAnsi="Arial"/>
                  <w:sz w:val="16"/>
                  <w:szCs w:val="16"/>
                  <w:color w:val="0000EE"/>
                  <w:w w:val="89"/>
                </w:rPr>
                <w:t>86</w:t>
              </w:r>
            </w:hyperlink>
          </w:p>
        </w:tc>
      </w:tr>
      <w:tr>
        <w:trPr>
          <w:trHeight w:val="161"/>
        </w:trPr>
        <w:tc>
          <w:tcPr>
            <w:tcW w:w="8500" w:type="dxa"/>
            <w:vAlign w:val="bottom"/>
            <w:gridSpan w:val="27"/>
          </w:tcPr>
          <w:p>
            <w:pPr>
              <w:spacing w:after="0" w:line="161" w:lineRule="exact"/>
              <w:rPr>
                <w:rFonts w:ascii="Arial" w:cs="Arial" w:eastAsia="Arial" w:hAnsi="Arial"/>
                <w:sz w:val="16"/>
                <w:szCs w:val="16"/>
                <w:color w:val="0000EE"/>
              </w:rPr>
            </w:pPr>
            <w:hyperlink w:anchor="page92">
              <w:r>
                <w:rPr>
                  <w:rFonts w:ascii="Arial" w:cs="Arial" w:eastAsia="Arial" w:hAnsi="Arial"/>
                  <w:sz w:val="16"/>
                  <w:szCs w:val="16"/>
                  <w:color w:val="0000EE"/>
                </w:rPr>
                <w:t>Capitalization</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92">
              <w:r>
                <w:rPr>
                  <w:rFonts w:ascii="Arial" w:cs="Arial" w:eastAsia="Arial" w:hAnsi="Arial"/>
                  <w:sz w:val="16"/>
                  <w:szCs w:val="16"/>
                  <w:color w:val="0000EE"/>
                </w:rPr>
                <w:t>87</w:t>
              </w:r>
            </w:hyperlink>
          </w:p>
        </w:tc>
      </w:tr>
      <w:tr>
        <w:trPr>
          <w:trHeight w:val="161"/>
        </w:trPr>
        <w:tc>
          <w:tcPr>
            <w:tcW w:w="940" w:type="dxa"/>
            <w:vAlign w:val="bottom"/>
            <w:tcBorders>
              <w:top w:val="single" w:sz="8" w:color="0000EE"/>
            </w:tcBorders>
            <w:gridSpan w:val="5"/>
          </w:tcPr>
          <w:p>
            <w:pPr>
              <w:spacing w:after="0" w:line="161" w:lineRule="exact"/>
              <w:rPr>
                <w:rFonts w:ascii="Arial" w:cs="Arial" w:eastAsia="Arial" w:hAnsi="Arial"/>
                <w:sz w:val="16"/>
                <w:szCs w:val="16"/>
                <w:color w:val="0000EE"/>
              </w:rPr>
            </w:pPr>
            <w:hyperlink w:anchor="page95">
              <w:r>
                <w:rPr>
                  <w:rFonts w:ascii="Arial" w:cs="Arial" w:eastAsia="Arial" w:hAnsi="Arial"/>
                  <w:sz w:val="16"/>
                  <w:szCs w:val="16"/>
                  <w:color w:val="0000EE"/>
                </w:rPr>
                <w:t>Dilution</w:t>
              </w:r>
            </w:hyperlink>
          </w:p>
        </w:tc>
        <w:tc>
          <w:tcPr>
            <w:tcW w:w="7560" w:type="dxa"/>
            <w:vAlign w:val="bottom"/>
            <w:gridSpan w:val="22"/>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top w:val="single" w:sz="8" w:color="0000EE"/>
            </w:tcBorders>
            <w:gridSpan w:val="2"/>
          </w:tcPr>
          <w:p>
            <w:pPr>
              <w:jc w:val="right"/>
              <w:spacing w:after="0" w:line="161" w:lineRule="exact"/>
              <w:rPr>
                <w:rFonts w:ascii="Arial" w:cs="Arial" w:eastAsia="Arial" w:hAnsi="Arial"/>
                <w:sz w:val="16"/>
                <w:szCs w:val="16"/>
                <w:color w:val="0000EE"/>
                <w:w w:val="89"/>
              </w:rPr>
            </w:pPr>
            <w:hyperlink w:anchor="page95">
              <w:r>
                <w:rPr>
                  <w:rFonts w:ascii="Arial" w:cs="Arial" w:eastAsia="Arial" w:hAnsi="Arial"/>
                  <w:sz w:val="16"/>
                  <w:szCs w:val="16"/>
                  <w:color w:val="0000EE"/>
                  <w:w w:val="89"/>
                </w:rPr>
                <w:t>90</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1"/>
        </w:trPr>
        <w:tc>
          <w:tcPr>
            <w:tcW w:w="2620" w:type="dxa"/>
            <w:vAlign w:val="bottom"/>
            <w:tcBorders>
              <w:bottom w:val="single" w:sz="8" w:color="0000EE"/>
            </w:tcBorders>
            <w:gridSpan w:val="16"/>
          </w:tcPr>
          <w:p>
            <w:pPr>
              <w:spacing w:after="0" w:line="161" w:lineRule="exact"/>
              <w:rPr>
                <w:rFonts w:ascii="Arial" w:cs="Arial" w:eastAsia="Arial" w:hAnsi="Arial"/>
                <w:sz w:val="16"/>
                <w:szCs w:val="16"/>
                <w:color w:val="0000EE"/>
                <w:w w:val="97"/>
              </w:rPr>
            </w:pPr>
            <w:hyperlink w:anchor="page98">
              <w:r>
                <w:rPr>
                  <w:rFonts w:ascii="Arial" w:cs="Arial" w:eastAsia="Arial" w:hAnsi="Arial"/>
                  <w:sz w:val="16"/>
                  <w:szCs w:val="16"/>
                  <w:color w:val="0000EE"/>
                  <w:w w:val="97"/>
                </w:rPr>
                <w:t>Selected Consolidated Financial Data</w:t>
              </w:r>
            </w:hyperlink>
          </w:p>
        </w:tc>
        <w:tc>
          <w:tcPr>
            <w:tcW w:w="5880" w:type="dxa"/>
            <w:vAlign w:val="bottom"/>
            <w:gridSpan w:val="11"/>
          </w:tcPr>
          <w:p>
            <w:pPr>
              <w:spacing w:after="0"/>
              <w:rPr>
                <w:sz w:val="13"/>
                <w:szCs w:val="13"/>
                <w:color w:val="auto"/>
              </w:rPr>
            </w:pPr>
          </w:p>
        </w:tc>
        <w:tc>
          <w:tcPr>
            <w:tcW w:w="320" w:type="dxa"/>
            <w:vAlign w:val="bottom"/>
            <w:gridSpan w:val="2"/>
          </w:tcPr>
          <w:p>
            <w:pPr>
              <w:spacing w:after="0"/>
              <w:rPr>
                <w:sz w:val="13"/>
                <w:szCs w:val="13"/>
                <w:color w:val="auto"/>
              </w:rPr>
            </w:pPr>
          </w:p>
        </w:tc>
        <w:tc>
          <w:tcPr>
            <w:tcW w:w="180" w:type="dxa"/>
            <w:vAlign w:val="bottom"/>
            <w:tcBorders>
              <w:bottom w:val="single" w:sz="8" w:color="0000EE"/>
            </w:tcBorders>
            <w:gridSpan w:val="2"/>
          </w:tcPr>
          <w:p>
            <w:pPr>
              <w:jc w:val="right"/>
              <w:spacing w:after="0" w:line="161" w:lineRule="exact"/>
              <w:rPr>
                <w:rFonts w:ascii="Arial" w:cs="Arial" w:eastAsia="Arial" w:hAnsi="Arial"/>
                <w:sz w:val="16"/>
                <w:szCs w:val="16"/>
                <w:color w:val="0000EE"/>
                <w:w w:val="89"/>
              </w:rPr>
            </w:pPr>
            <w:hyperlink w:anchor="page98">
              <w:r>
                <w:rPr>
                  <w:rFonts w:ascii="Arial" w:cs="Arial" w:eastAsia="Arial" w:hAnsi="Arial"/>
                  <w:sz w:val="16"/>
                  <w:szCs w:val="16"/>
                  <w:color w:val="0000EE"/>
                  <w:w w:val="89"/>
                </w:rPr>
                <w:t>93</w:t>
              </w:r>
            </w:hyperlink>
          </w:p>
        </w:tc>
      </w:tr>
      <w:tr>
        <w:trPr>
          <w:trHeight w:val="161"/>
        </w:trPr>
        <w:tc>
          <w:tcPr>
            <w:tcW w:w="8500" w:type="dxa"/>
            <w:vAlign w:val="bottom"/>
            <w:gridSpan w:val="27"/>
          </w:tcPr>
          <w:p>
            <w:pPr>
              <w:spacing w:after="0" w:line="161" w:lineRule="exact"/>
              <w:rPr>
                <w:rFonts w:ascii="Arial" w:cs="Arial" w:eastAsia="Arial" w:hAnsi="Arial"/>
                <w:sz w:val="16"/>
                <w:szCs w:val="16"/>
                <w:color w:val="0000EE"/>
              </w:rPr>
            </w:pPr>
            <w:hyperlink w:anchor="page100">
              <w:r>
                <w:rPr>
                  <w:rFonts w:ascii="Arial" w:cs="Arial" w:eastAsia="Arial" w:hAnsi="Arial"/>
                  <w:sz w:val="16"/>
                  <w:szCs w:val="16"/>
                  <w:color w:val="0000EE"/>
                </w:rPr>
                <w:t>Management's Discussion and Analysis of Financial Condition and Results of Operations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100">
              <w:r>
                <w:rPr>
                  <w:rFonts w:ascii="Arial" w:cs="Arial" w:eastAsia="Arial" w:hAnsi="Arial"/>
                  <w:sz w:val="16"/>
                  <w:szCs w:val="16"/>
                  <w:color w:val="0000EE"/>
                </w:rPr>
                <w:t>95</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61"/>
        </w:trPr>
        <w:tc>
          <w:tcPr>
            <w:tcW w:w="640" w:type="dxa"/>
            <w:vAlign w:val="bottom"/>
            <w:gridSpan w:val="3"/>
          </w:tcPr>
          <w:p>
            <w:pPr>
              <w:spacing w:after="0" w:line="161" w:lineRule="exact"/>
              <w:rPr>
                <w:rFonts w:ascii="Arial" w:cs="Arial" w:eastAsia="Arial" w:hAnsi="Arial"/>
                <w:sz w:val="16"/>
                <w:szCs w:val="16"/>
                <w:color w:val="0000EE"/>
                <w:w w:val="95"/>
              </w:rPr>
            </w:pPr>
            <w:hyperlink w:anchor="page118">
              <w:r>
                <w:rPr>
                  <w:rFonts w:ascii="Arial" w:cs="Arial" w:eastAsia="Arial" w:hAnsi="Arial"/>
                  <w:sz w:val="16"/>
                  <w:szCs w:val="16"/>
                  <w:color w:val="0000EE"/>
                  <w:w w:val="95"/>
                </w:rPr>
                <w:t>Business</w:t>
              </w:r>
            </w:hyperlink>
          </w:p>
        </w:tc>
        <w:tc>
          <w:tcPr>
            <w:tcW w:w="5520" w:type="dxa"/>
            <w:vAlign w:val="bottom"/>
            <w:gridSpan w:val="23"/>
          </w:tcPr>
          <w:p>
            <w:pPr>
              <w:spacing w:after="0"/>
              <w:rPr>
                <w:sz w:val="13"/>
                <w:szCs w:val="13"/>
                <w:color w:val="auto"/>
              </w:rPr>
            </w:pPr>
          </w:p>
        </w:tc>
        <w:tc>
          <w:tcPr>
            <w:tcW w:w="2340" w:type="dxa"/>
            <w:vAlign w:val="bottom"/>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18">
              <w:r>
                <w:rPr>
                  <w:rFonts w:ascii="Arial" w:cs="Arial" w:eastAsia="Arial" w:hAnsi="Arial"/>
                  <w:sz w:val="16"/>
                  <w:szCs w:val="16"/>
                  <w:color w:val="0000EE"/>
                </w:rPr>
                <w:t>113</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880" w:type="dxa"/>
            <w:vAlign w:val="bottom"/>
            <w:gridSpan w:val="4"/>
          </w:tcPr>
          <w:p>
            <w:pPr>
              <w:spacing w:after="0" w:line="161" w:lineRule="exact"/>
              <w:rPr>
                <w:rFonts w:ascii="Arial" w:cs="Arial" w:eastAsia="Arial" w:hAnsi="Arial"/>
                <w:sz w:val="16"/>
                <w:szCs w:val="16"/>
                <w:color w:val="0000EE"/>
                <w:w w:val="89"/>
              </w:rPr>
            </w:pPr>
            <w:hyperlink w:anchor="page157">
              <w:r>
                <w:rPr>
                  <w:rFonts w:ascii="Arial" w:cs="Arial" w:eastAsia="Arial" w:hAnsi="Arial"/>
                  <w:sz w:val="16"/>
                  <w:szCs w:val="16"/>
                  <w:color w:val="0000EE"/>
                  <w:w w:val="89"/>
                </w:rPr>
                <w:t>Management</w:t>
              </w:r>
            </w:hyperlink>
          </w:p>
        </w:tc>
        <w:tc>
          <w:tcPr>
            <w:tcW w:w="7620" w:type="dxa"/>
            <w:vAlign w:val="bottom"/>
            <w:gridSpan w:val="23"/>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57">
              <w:r>
                <w:rPr>
                  <w:rFonts w:ascii="Arial" w:cs="Arial" w:eastAsia="Arial" w:hAnsi="Arial"/>
                  <w:sz w:val="16"/>
                  <w:szCs w:val="16"/>
                  <w:color w:val="0000EE"/>
                </w:rPr>
                <w:t>152</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2640" w:type="dxa"/>
            <w:vAlign w:val="bottom"/>
            <w:gridSpan w:val="17"/>
          </w:tcPr>
          <w:p>
            <w:pPr>
              <w:spacing w:after="0" w:line="161" w:lineRule="exact"/>
              <w:rPr>
                <w:rFonts w:ascii="Arial" w:cs="Arial" w:eastAsia="Arial" w:hAnsi="Arial"/>
                <w:sz w:val="16"/>
                <w:szCs w:val="16"/>
                <w:color w:val="0000EE"/>
                <w:w w:val="97"/>
              </w:rPr>
            </w:pPr>
            <w:hyperlink w:anchor="page164">
              <w:r>
                <w:rPr>
                  <w:rFonts w:ascii="Arial" w:cs="Arial" w:eastAsia="Arial" w:hAnsi="Arial"/>
                  <w:sz w:val="16"/>
                  <w:szCs w:val="16"/>
                  <w:color w:val="0000EE"/>
                  <w:w w:val="97"/>
                </w:rPr>
                <w:t>Executive and Director Compensation</w:t>
              </w:r>
            </w:hyperlink>
          </w:p>
        </w:tc>
        <w:tc>
          <w:tcPr>
            <w:tcW w:w="5860" w:type="dxa"/>
            <w:vAlign w:val="bottom"/>
            <w:gridSpan w:val="10"/>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64">
              <w:r>
                <w:rPr>
                  <w:rFonts w:ascii="Arial" w:cs="Arial" w:eastAsia="Arial" w:hAnsi="Arial"/>
                  <w:sz w:val="16"/>
                  <w:szCs w:val="16"/>
                  <w:color w:val="0000EE"/>
                </w:rPr>
                <w:t>159</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3860" w:type="dxa"/>
            <w:vAlign w:val="bottom"/>
            <w:gridSpan w:val="22"/>
          </w:tcPr>
          <w:p>
            <w:pPr>
              <w:spacing w:after="0" w:line="161" w:lineRule="exact"/>
              <w:rPr>
                <w:rFonts w:ascii="Arial" w:cs="Arial" w:eastAsia="Arial" w:hAnsi="Arial"/>
                <w:sz w:val="16"/>
                <w:szCs w:val="16"/>
                <w:color w:val="0000EE"/>
                <w:w w:val="97"/>
              </w:rPr>
            </w:pPr>
            <w:hyperlink w:anchor="page177">
              <w:r>
                <w:rPr>
                  <w:rFonts w:ascii="Arial" w:cs="Arial" w:eastAsia="Arial" w:hAnsi="Arial"/>
                  <w:sz w:val="16"/>
                  <w:szCs w:val="16"/>
                  <w:color w:val="0000EE"/>
                  <w:w w:val="97"/>
                </w:rPr>
                <w:t>Certain Relationships and Related Person Transactions</w:t>
              </w:r>
            </w:hyperlink>
          </w:p>
        </w:tc>
        <w:tc>
          <w:tcPr>
            <w:tcW w:w="4640" w:type="dxa"/>
            <w:vAlign w:val="bottom"/>
            <w:gridSpan w:val="5"/>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77">
              <w:r>
                <w:rPr>
                  <w:rFonts w:ascii="Arial" w:cs="Arial" w:eastAsia="Arial" w:hAnsi="Arial"/>
                  <w:sz w:val="16"/>
                  <w:szCs w:val="16"/>
                  <w:color w:val="0000EE"/>
                </w:rPr>
                <w:t>172</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580" w:type="dxa"/>
            <w:vAlign w:val="bottom"/>
            <w:gridSpan w:val="11"/>
          </w:tcPr>
          <w:p>
            <w:pPr>
              <w:spacing w:after="0" w:line="161" w:lineRule="exact"/>
              <w:rPr>
                <w:rFonts w:ascii="Arial" w:cs="Arial" w:eastAsia="Arial" w:hAnsi="Arial"/>
                <w:sz w:val="16"/>
                <w:szCs w:val="16"/>
                <w:color w:val="0000EE"/>
                <w:w w:val="96"/>
              </w:rPr>
            </w:pPr>
            <w:hyperlink w:anchor="page181">
              <w:r>
                <w:rPr>
                  <w:rFonts w:ascii="Arial" w:cs="Arial" w:eastAsia="Arial" w:hAnsi="Arial"/>
                  <w:sz w:val="16"/>
                  <w:szCs w:val="16"/>
                  <w:color w:val="0000EE"/>
                  <w:w w:val="96"/>
                </w:rPr>
                <w:t>Principal Shareholders</w:t>
              </w:r>
            </w:hyperlink>
          </w:p>
        </w:tc>
        <w:tc>
          <w:tcPr>
            <w:tcW w:w="2280" w:type="dxa"/>
            <w:vAlign w:val="bottom"/>
            <w:gridSpan w:val="11"/>
          </w:tcPr>
          <w:p>
            <w:pPr>
              <w:spacing w:after="0"/>
              <w:rPr>
                <w:sz w:val="13"/>
                <w:szCs w:val="13"/>
                <w:color w:val="auto"/>
              </w:rPr>
            </w:pPr>
          </w:p>
        </w:tc>
        <w:tc>
          <w:tcPr>
            <w:tcW w:w="4640" w:type="dxa"/>
            <w:vAlign w:val="bottom"/>
            <w:gridSpan w:val="5"/>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81">
              <w:r>
                <w:rPr>
                  <w:rFonts w:ascii="Arial" w:cs="Arial" w:eastAsia="Arial" w:hAnsi="Arial"/>
                  <w:sz w:val="16"/>
                  <w:szCs w:val="16"/>
                  <w:color w:val="0000EE"/>
                </w:rPr>
                <w:t>176</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1960" w:type="dxa"/>
            <w:vAlign w:val="bottom"/>
            <w:gridSpan w:val="13"/>
          </w:tcPr>
          <w:p>
            <w:pPr>
              <w:spacing w:after="0" w:line="161" w:lineRule="exact"/>
              <w:rPr>
                <w:rFonts w:ascii="Arial" w:cs="Arial" w:eastAsia="Arial" w:hAnsi="Arial"/>
                <w:sz w:val="16"/>
                <w:szCs w:val="16"/>
                <w:color w:val="0000EE"/>
                <w:w w:val="97"/>
              </w:rPr>
            </w:pPr>
            <w:hyperlink w:anchor="page185">
              <w:r>
                <w:rPr>
                  <w:rFonts w:ascii="Arial" w:cs="Arial" w:eastAsia="Arial" w:hAnsi="Arial"/>
                  <w:sz w:val="16"/>
                  <w:szCs w:val="16"/>
                  <w:color w:val="0000EE"/>
                  <w:w w:val="97"/>
                </w:rPr>
                <w:t>Description of Share Capital</w:t>
              </w:r>
            </w:hyperlink>
          </w:p>
        </w:tc>
        <w:tc>
          <w:tcPr>
            <w:tcW w:w="6540" w:type="dxa"/>
            <w:vAlign w:val="bottom"/>
            <w:gridSpan w:val="14"/>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185">
              <w:r>
                <w:rPr>
                  <w:rFonts w:ascii="Arial" w:cs="Arial" w:eastAsia="Arial" w:hAnsi="Arial"/>
                  <w:sz w:val="16"/>
                  <w:szCs w:val="16"/>
                  <w:color w:val="0000EE"/>
                </w:rPr>
                <w:t>180</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8500" w:type="dxa"/>
            <w:vAlign w:val="bottom"/>
            <w:gridSpan w:val="27"/>
          </w:tcPr>
          <w:p>
            <w:pPr>
              <w:spacing w:after="0" w:line="161" w:lineRule="exact"/>
              <w:rPr>
                <w:rFonts w:ascii="Arial" w:cs="Arial" w:eastAsia="Arial" w:hAnsi="Arial"/>
                <w:sz w:val="16"/>
                <w:szCs w:val="16"/>
                <w:color w:val="0000EE"/>
              </w:rPr>
            </w:pPr>
            <w:hyperlink w:anchor="page196">
              <w:r>
                <w:rPr>
                  <w:rFonts w:ascii="Arial" w:cs="Arial" w:eastAsia="Arial" w:hAnsi="Arial"/>
                  <w:sz w:val="16"/>
                  <w:szCs w:val="16"/>
                  <w:color w:val="0000EE"/>
                </w:rPr>
                <w:t>Shares Eligible for Future Sale</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196">
              <w:r>
                <w:rPr>
                  <w:rFonts w:ascii="Arial" w:cs="Arial" w:eastAsia="Arial" w:hAnsi="Arial"/>
                  <w:sz w:val="16"/>
                  <w:szCs w:val="16"/>
                  <w:color w:val="0000EE"/>
                </w:rPr>
                <w:t>191</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8500" w:type="dxa"/>
            <w:vAlign w:val="bottom"/>
            <w:gridSpan w:val="27"/>
          </w:tcPr>
          <w:p>
            <w:pPr>
              <w:spacing w:after="0" w:line="161" w:lineRule="exact"/>
              <w:rPr>
                <w:rFonts w:ascii="Arial" w:cs="Arial" w:eastAsia="Arial" w:hAnsi="Arial"/>
                <w:sz w:val="16"/>
                <w:szCs w:val="16"/>
                <w:color w:val="0000EE"/>
              </w:rPr>
            </w:pPr>
            <w:hyperlink w:anchor="page199">
              <w:r>
                <w:rPr>
                  <w:rFonts w:ascii="Arial" w:cs="Arial" w:eastAsia="Arial" w:hAnsi="Arial"/>
                  <w:sz w:val="16"/>
                  <w:szCs w:val="16"/>
                  <w:color w:val="0000EE"/>
                </w:rPr>
                <w:t>Bermuda Company Considerations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199">
              <w:r>
                <w:rPr>
                  <w:rFonts w:ascii="Arial" w:cs="Arial" w:eastAsia="Arial" w:hAnsi="Arial"/>
                  <w:sz w:val="16"/>
                  <w:szCs w:val="16"/>
                  <w:color w:val="0000EE"/>
                </w:rPr>
                <w:t>194</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8500" w:type="dxa"/>
            <w:vAlign w:val="bottom"/>
            <w:gridSpan w:val="27"/>
          </w:tcPr>
          <w:p>
            <w:pPr>
              <w:spacing w:after="0" w:line="161" w:lineRule="exact"/>
              <w:rPr>
                <w:rFonts w:ascii="Arial" w:cs="Arial" w:eastAsia="Arial" w:hAnsi="Arial"/>
                <w:sz w:val="16"/>
                <w:szCs w:val="16"/>
                <w:color w:val="0000EE"/>
              </w:rPr>
            </w:pPr>
            <w:hyperlink w:anchor="page207">
              <w:r>
                <w:rPr>
                  <w:rFonts w:ascii="Arial" w:cs="Arial" w:eastAsia="Arial" w:hAnsi="Arial"/>
                  <w:sz w:val="16"/>
                  <w:szCs w:val="16"/>
                  <w:color w:val="0000EE"/>
                </w:rPr>
                <w:t>Material Bermuda and U.S. Federal Income Tax Considerations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207">
              <w:r>
                <w:rPr>
                  <w:rFonts w:ascii="Arial" w:cs="Arial" w:eastAsia="Arial" w:hAnsi="Arial"/>
                  <w:sz w:val="16"/>
                  <w:szCs w:val="16"/>
                  <w:color w:val="0000EE"/>
                </w:rPr>
                <w:t>202</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4400" w:type="dxa"/>
            <w:vAlign w:val="bottom"/>
            <w:gridSpan w:val="23"/>
          </w:tcPr>
          <w:p>
            <w:pPr>
              <w:spacing w:after="0" w:line="161" w:lineRule="exact"/>
              <w:rPr>
                <w:rFonts w:ascii="Arial" w:cs="Arial" w:eastAsia="Arial" w:hAnsi="Arial"/>
                <w:sz w:val="16"/>
                <w:szCs w:val="16"/>
                <w:color w:val="0000EE"/>
              </w:rPr>
            </w:pPr>
            <w:hyperlink w:anchor="page214">
              <w:r>
                <w:rPr>
                  <w:rFonts w:ascii="Arial" w:cs="Arial" w:eastAsia="Arial" w:hAnsi="Arial"/>
                  <w:sz w:val="16"/>
                  <w:szCs w:val="16"/>
                  <w:color w:val="0000EE"/>
                </w:rPr>
                <w:t>Underwriting</w:t>
              </w:r>
            </w:hyperlink>
          </w:p>
        </w:tc>
        <w:tc>
          <w:tcPr>
            <w:tcW w:w="4100" w:type="dxa"/>
            <w:vAlign w:val="bottom"/>
            <w:gridSpan w:val="4"/>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214">
              <w:r>
                <w:rPr>
                  <w:rFonts w:ascii="Arial" w:cs="Arial" w:eastAsia="Arial" w:hAnsi="Arial"/>
                  <w:sz w:val="16"/>
                  <w:szCs w:val="16"/>
                  <w:color w:val="0000EE"/>
                </w:rPr>
                <w:t>209</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960" w:type="dxa"/>
            <w:vAlign w:val="bottom"/>
            <w:gridSpan w:val="6"/>
          </w:tcPr>
          <w:p>
            <w:pPr>
              <w:spacing w:after="0" w:line="161" w:lineRule="exact"/>
              <w:rPr>
                <w:rFonts w:ascii="Arial" w:cs="Arial" w:eastAsia="Arial" w:hAnsi="Arial"/>
                <w:sz w:val="16"/>
                <w:szCs w:val="16"/>
                <w:color w:val="0000EE"/>
                <w:w w:val="96"/>
              </w:rPr>
            </w:pPr>
            <w:hyperlink w:anchor="page219">
              <w:r>
                <w:rPr>
                  <w:rFonts w:ascii="Arial" w:cs="Arial" w:eastAsia="Arial" w:hAnsi="Arial"/>
                  <w:sz w:val="16"/>
                  <w:szCs w:val="16"/>
                  <w:color w:val="0000EE"/>
                  <w:w w:val="96"/>
                </w:rPr>
                <w:t>Legal Matters</w:t>
              </w:r>
            </w:hyperlink>
          </w:p>
        </w:tc>
        <w:tc>
          <w:tcPr>
            <w:tcW w:w="7540" w:type="dxa"/>
            <w:vAlign w:val="bottom"/>
            <w:gridSpan w:val="21"/>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219">
              <w:r>
                <w:rPr>
                  <w:rFonts w:ascii="Arial" w:cs="Arial" w:eastAsia="Arial" w:hAnsi="Arial"/>
                  <w:sz w:val="16"/>
                  <w:szCs w:val="16"/>
                  <w:color w:val="0000EE"/>
                </w:rPr>
                <w:t>214</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540" w:type="dxa"/>
            <w:vAlign w:val="bottom"/>
            <w:gridSpan w:val="2"/>
          </w:tcPr>
          <w:p>
            <w:pPr>
              <w:spacing w:after="0" w:line="161" w:lineRule="exact"/>
              <w:rPr>
                <w:rFonts w:ascii="Arial" w:cs="Arial" w:eastAsia="Arial" w:hAnsi="Arial"/>
                <w:sz w:val="16"/>
                <w:szCs w:val="16"/>
                <w:color w:val="0000EE"/>
                <w:w w:val="95"/>
              </w:rPr>
            </w:pPr>
            <w:hyperlink w:anchor="page219">
              <w:r>
                <w:rPr>
                  <w:rFonts w:ascii="Arial" w:cs="Arial" w:eastAsia="Arial" w:hAnsi="Arial"/>
                  <w:sz w:val="16"/>
                  <w:szCs w:val="16"/>
                  <w:color w:val="0000EE"/>
                  <w:w w:val="95"/>
                </w:rPr>
                <w:t>Experts</w:t>
              </w:r>
            </w:hyperlink>
          </w:p>
        </w:tc>
        <w:tc>
          <w:tcPr>
            <w:tcW w:w="420" w:type="dxa"/>
            <w:vAlign w:val="bottom"/>
            <w:gridSpan w:val="4"/>
          </w:tcPr>
          <w:p>
            <w:pPr>
              <w:spacing w:after="0"/>
              <w:rPr>
                <w:sz w:val="13"/>
                <w:szCs w:val="13"/>
                <w:color w:val="auto"/>
              </w:rPr>
            </w:pPr>
          </w:p>
        </w:tc>
        <w:tc>
          <w:tcPr>
            <w:tcW w:w="7540" w:type="dxa"/>
            <w:vAlign w:val="bottom"/>
            <w:gridSpan w:val="21"/>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219">
              <w:r>
                <w:rPr>
                  <w:rFonts w:ascii="Arial" w:cs="Arial" w:eastAsia="Arial" w:hAnsi="Arial"/>
                  <w:sz w:val="16"/>
                  <w:szCs w:val="16"/>
                  <w:color w:val="0000EE"/>
                </w:rPr>
                <w:t>214</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8500" w:type="dxa"/>
            <w:vAlign w:val="bottom"/>
            <w:gridSpan w:val="27"/>
          </w:tcPr>
          <w:p>
            <w:pPr>
              <w:spacing w:after="0" w:line="161" w:lineRule="exact"/>
              <w:rPr>
                <w:rFonts w:ascii="Arial" w:cs="Arial" w:eastAsia="Arial" w:hAnsi="Arial"/>
                <w:sz w:val="16"/>
                <w:szCs w:val="16"/>
                <w:color w:val="0000EE"/>
              </w:rPr>
            </w:pPr>
            <w:hyperlink w:anchor="page219">
              <w:r>
                <w:rPr>
                  <w:rFonts w:ascii="Arial" w:cs="Arial" w:eastAsia="Arial" w:hAnsi="Arial"/>
                  <w:sz w:val="16"/>
                  <w:szCs w:val="16"/>
                  <w:color w:val="0000EE"/>
                </w:rPr>
                <w:t>Exchange Controls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219">
              <w:r>
                <w:rPr>
                  <w:rFonts w:ascii="Arial" w:cs="Arial" w:eastAsia="Arial" w:hAnsi="Arial"/>
                  <w:sz w:val="16"/>
                  <w:szCs w:val="16"/>
                  <w:color w:val="0000EE"/>
                </w:rPr>
                <w:t>214</w:t>
              </w:r>
            </w:hyperlink>
          </w:p>
        </w:tc>
      </w:tr>
      <w:tr>
        <w:trPr>
          <w:trHeight w:val="20"/>
        </w:trPr>
        <w:tc>
          <w:tcPr>
            <w:tcW w:w="1320" w:type="dxa"/>
            <w:vAlign w:val="bottom"/>
            <w:gridSpan w:val="9"/>
            <w:shd w:val="clear" w:color="auto" w:fill="0000EE"/>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8500" w:type="dxa"/>
            <w:vAlign w:val="bottom"/>
            <w:gridSpan w:val="27"/>
          </w:tcPr>
          <w:p>
            <w:pPr>
              <w:spacing w:after="0" w:line="161" w:lineRule="exact"/>
              <w:rPr>
                <w:rFonts w:ascii="Arial" w:cs="Arial" w:eastAsia="Arial" w:hAnsi="Arial"/>
                <w:sz w:val="16"/>
                <w:szCs w:val="16"/>
                <w:color w:val="0000EE"/>
              </w:rPr>
            </w:pPr>
            <w:hyperlink w:anchor="page219">
              <w:r>
                <w:rPr>
                  <w:rFonts w:ascii="Arial" w:cs="Arial" w:eastAsia="Arial" w:hAnsi="Arial"/>
                  <w:sz w:val="16"/>
                  <w:szCs w:val="16"/>
                  <w:color w:val="0000EE"/>
                </w:rPr>
                <w:t>Enforcement of Civil Liabilities Under United States Federal Securities Laws</w:t>
              </w:r>
            </w:hyperlink>
          </w:p>
        </w:tc>
        <w:tc>
          <w:tcPr>
            <w:tcW w:w="500" w:type="dxa"/>
            <w:vAlign w:val="bottom"/>
            <w:gridSpan w:val="4"/>
          </w:tcPr>
          <w:p>
            <w:pPr>
              <w:jc w:val="right"/>
              <w:spacing w:after="0" w:line="161" w:lineRule="exact"/>
              <w:rPr>
                <w:rFonts w:ascii="Arial" w:cs="Arial" w:eastAsia="Arial" w:hAnsi="Arial"/>
                <w:sz w:val="16"/>
                <w:szCs w:val="16"/>
                <w:color w:val="0000EE"/>
              </w:rPr>
            </w:pPr>
            <w:hyperlink w:anchor="page219">
              <w:r>
                <w:rPr>
                  <w:rFonts w:ascii="Arial" w:cs="Arial" w:eastAsia="Arial" w:hAnsi="Arial"/>
                  <w:sz w:val="16"/>
                  <w:szCs w:val="16"/>
                  <w:color w:val="0000EE"/>
                </w:rPr>
                <w:t>214</w:t>
              </w:r>
            </w:hyperlink>
          </w:p>
        </w:tc>
      </w:tr>
      <w:tr>
        <w:trPr>
          <w:trHeight w:val="20"/>
        </w:trPr>
        <w:tc>
          <w:tcPr>
            <w:tcW w:w="2680" w:type="dxa"/>
            <w:vAlign w:val="bottom"/>
            <w:gridSpan w:val="18"/>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5260" w:type="dxa"/>
            <w:vAlign w:val="bottom"/>
            <w:gridSpan w:val="24"/>
          </w:tcPr>
          <w:p>
            <w:pPr>
              <w:spacing w:after="0" w:line="161" w:lineRule="exact"/>
              <w:rPr>
                <w:rFonts w:ascii="Arial" w:cs="Arial" w:eastAsia="Arial" w:hAnsi="Arial"/>
                <w:sz w:val="16"/>
                <w:szCs w:val="16"/>
                <w:color w:val="0000EE"/>
              </w:rPr>
            </w:pPr>
            <w:hyperlink w:anchor="page220">
              <w:r>
                <w:rPr>
                  <w:rFonts w:ascii="Arial" w:cs="Arial" w:eastAsia="Arial" w:hAnsi="Arial"/>
                  <w:sz w:val="16"/>
                  <w:szCs w:val="16"/>
                  <w:color w:val="0000EE"/>
                </w:rPr>
                <w:t>Where You Can Find More Information</w:t>
              </w:r>
            </w:hyperlink>
          </w:p>
        </w:tc>
        <w:tc>
          <w:tcPr>
            <w:tcW w:w="3240" w:type="dxa"/>
            <w:vAlign w:val="bottom"/>
            <w:gridSpan w:val="3"/>
          </w:tcPr>
          <w:p>
            <w:pPr>
              <w:spacing w:after="0"/>
              <w:rPr>
                <w:sz w:val="13"/>
                <w:szCs w:val="13"/>
                <w:color w:val="auto"/>
              </w:rPr>
            </w:pPr>
          </w:p>
        </w:tc>
        <w:tc>
          <w:tcPr>
            <w:tcW w:w="500" w:type="dxa"/>
            <w:vAlign w:val="bottom"/>
            <w:gridSpan w:val="4"/>
          </w:tcPr>
          <w:p>
            <w:pPr>
              <w:jc w:val="right"/>
              <w:spacing w:after="0" w:line="161" w:lineRule="exact"/>
              <w:rPr>
                <w:rFonts w:ascii="Arial" w:cs="Arial" w:eastAsia="Arial" w:hAnsi="Arial"/>
                <w:sz w:val="16"/>
                <w:szCs w:val="16"/>
                <w:color w:val="0000EE"/>
              </w:rPr>
            </w:pPr>
            <w:hyperlink w:anchor="page220">
              <w:r>
                <w:rPr>
                  <w:rFonts w:ascii="Arial" w:cs="Arial" w:eastAsia="Arial" w:hAnsi="Arial"/>
                  <w:sz w:val="16"/>
                  <w:szCs w:val="16"/>
                  <w:color w:val="0000EE"/>
                </w:rPr>
                <w:t>215</w:t>
              </w:r>
            </w:hyperlink>
          </w:p>
        </w:tc>
      </w:tr>
      <w:tr>
        <w:trPr>
          <w:trHeight w:val="20"/>
        </w:trPr>
        <w:tc>
          <w:tcPr>
            <w:tcW w:w="2680" w:type="dxa"/>
            <w:vAlign w:val="bottom"/>
            <w:gridSpan w:val="18"/>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61"/>
        </w:trPr>
        <w:tc>
          <w:tcPr>
            <w:tcW w:w="8500" w:type="dxa"/>
            <w:vAlign w:val="bottom"/>
            <w:gridSpan w:val="27"/>
          </w:tcPr>
          <w:p>
            <w:pPr>
              <w:spacing w:after="0" w:line="161" w:lineRule="exact"/>
              <w:rPr>
                <w:rFonts w:ascii="Arial" w:cs="Arial" w:eastAsia="Arial" w:hAnsi="Arial"/>
                <w:sz w:val="16"/>
                <w:szCs w:val="16"/>
                <w:color w:val="0000EE"/>
              </w:rPr>
            </w:pPr>
            <w:hyperlink w:anchor="page221">
              <w:r>
                <w:rPr>
                  <w:rFonts w:ascii="Arial" w:cs="Arial" w:eastAsia="Arial" w:hAnsi="Arial"/>
                  <w:sz w:val="16"/>
                  <w:szCs w:val="16"/>
                  <w:color w:val="0000EE"/>
                </w:rPr>
                <w:t>Index to Consolidated Financial Statements</w:t>
              </w:r>
            </w:hyperlink>
          </w:p>
        </w:tc>
        <w:tc>
          <w:tcPr>
            <w:tcW w:w="260" w:type="dxa"/>
            <w:vAlign w:val="bottom"/>
          </w:tcPr>
          <w:p>
            <w:pPr>
              <w:spacing w:after="0"/>
              <w:rPr>
                <w:sz w:val="13"/>
                <w:szCs w:val="13"/>
                <w:color w:val="auto"/>
              </w:rPr>
            </w:pPr>
          </w:p>
        </w:tc>
        <w:tc>
          <w:tcPr>
            <w:tcW w:w="240" w:type="dxa"/>
            <w:vAlign w:val="bottom"/>
            <w:gridSpan w:val="3"/>
          </w:tcPr>
          <w:p>
            <w:pPr>
              <w:jc w:val="right"/>
              <w:spacing w:after="0" w:line="161" w:lineRule="exact"/>
              <w:rPr>
                <w:rFonts w:ascii="Arial" w:cs="Arial" w:eastAsia="Arial" w:hAnsi="Arial"/>
                <w:sz w:val="16"/>
                <w:szCs w:val="16"/>
                <w:color w:val="0000EE"/>
                <w:w w:val="91"/>
              </w:rPr>
            </w:pPr>
            <w:hyperlink w:anchor="page221">
              <w:r>
                <w:rPr>
                  <w:rFonts w:ascii="Arial" w:cs="Arial" w:eastAsia="Arial" w:hAnsi="Arial"/>
                  <w:sz w:val="16"/>
                  <w:szCs w:val="16"/>
                  <w:color w:val="0000EE"/>
                  <w:w w:val="91"/>
                </w:rPr>
                <w:t>F-1</w:t>
              </w:r>
            </w:hyperlink>
          </w:p>
        </w:tc>
      </w:tr>
      <w:tr>
        <w:trPr>
          <w:trHeight w:val="197"/>
        </w:trPr>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bl>
    <w:p>
      <w:pPr>
        <w:spacing w:after="0" w:line="200" w:lineRule="exact"/>
        <w:rPr>
          <w:sz w:val="20"/>
          <w:szCs w:val="20"/>
          <w:color w:val="auto"/>
        </w:rPr>
      </w:pPr>
    </w:p>
    <w:p>
      <w:pPr>
        <w:spacing w:after="0" w:line="285"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have not, and the underwriters have not,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and only under circumstances and in jurisdictions where it is lawful to do so. The information contained in this prospectus or in any applicable free writing prospectus is current only as of its date, regardless of its time of delivery or any sale of our Class A common shares. Our business, financial condition, results of operations and prospects may have changed since that date.</w:t>
      </w:r>
    </w:p>
    <w:p>
      <w:pPr>
        <w:spacing w:after="0" w:line="18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Class A common shares and the distribution of this prospectus outside the United States.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TRADEMARKS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We own or have rights to trademarks that we use in connection with the operation of our business, including Kiniksa™ and ARCALYST®. Kiniksa™ is a</w:t>
      </w:r>
    </w:p>
    <w:p>
      <w:pPr>
        <w:spacing w:after="0" w:line="222" w:lineRule="auto"/>
        <w:rPr>
          <w:sz w:val="20"/>
          <w:szCs w:val="20"/>
          <w:color w:val="auto"/>
        </w:rPr>
      </w:pPr>
      <w:r>
        <w:rPr>
          <w:rFonts w:ascii="Arial" w:cs="Arial" w:eastAsia="Arial" w:hAnsi="Arial"/>
          <w:sz w:val="15"/>
          <w:szCs w:val="15"/>
          <w:color w:val="auto"/>
        </w:rPr>
        <w:t xml:space="preserve">trademark of Kiniksa Pharmaceuticals, Ltd. and ARCALYST® is a trademark of Regeneron Pharmaceuticals, Inc. Solely for convenience, trademarks, service marks and trade names referred to in this prospectus, including Kiniksa and ARCALYST, are listed without the ®, </w:t>
      </w:r>
      <w:r>
        <w:rPr>
          <w:rFonts w:ascii="Arial" w:cs="Arial" w:eastAsia="Arial" w:hAnsi="Arial"/>
          <w:sz w:val="25"/>
          <w:szCs w:val="25"/>
          <w:b w:val="1"/>
          <w:bCs w:val="1"/>
          <w:color w:val="auto"/>
          <w:vertAlign w:val="superscript"/>
        </w:rPr>
        <w:t>SM</w:t>
      </w:r>
      <w:r>
        <w:rPr>
          <w:rFonts w:ascii="Arial" w:cs="Arial" w:eastAsia="Arial" w:hAnsi="Arial"/>
          <w:sz w:val="15"/>
          <w:szCs w:val="15"/>
          <w:color w:val="auto"/>
        </w:rPr>
        <w:t xml:space="preserve"> and ™ symbols. We will assert, to the fullest extent under applicable law, our rights to our intellectual property. Trademarks, service marks and trade names of third parties are the intellectual property of such parties.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7266305" cy="5052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505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PROSPECTUS SUMMARY</w:t>
      </w:r>
    </w:p>
    <w:p>
      <w:pPr>
        <w:spacing w:after="0" w:line="194" w:lineRule="exact"/>
        <w:rPr>
          <w:sz w:val="20"/>
          <w:szCs w:val="20"/>
          <w:color w:val="auto"/>
        </w:rPr>
      </w:pPr>
    </w:p>
    <w:p>
      <w:pPr>
        <w:ind w:left="200" w:right="140" w:firstLine="435"/>
        <w:spacing w:after="0" w:line="242"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Class A common shares. You should read this entire prospectus carefully, especially the sections entitled "Risk Factors" and "Management's Discussion and Analysis of Financial Condition and Results of Operations" and our consolidated financial statements and the related notes appearing at the end of this prospectus, before making an investment decision. This prospectus includes forward-looking statements that involve risks and uncertainties. See "Special Note Regarding Forward-Looking Statements."</w:t>
      </w:r>
    </w:p>
    <w:p>
      <w:pPr>
        <w:spacing w:after="0" w:line="170" w:lineRule="exact"/>
        <w:rPr>
          <w:sz w:val="20"/>
          <w:szCs w:val="20"/>
          <w:color w:val="auto"/>
        </w:rPr>
      </w:pPr>
    </w:p>
    <w:p>
      <w:pPr>
        <w:ind w:left="200" w:right="720" w:firstLine="435"/>
        <w:spacing w:after="0" w:line="262" w:lineRule="auto"/>
        <w:rPr>
          <w:sz w:val="20"/>
          <w:szCs w:val="20"/>
          <w:color w:val="auto"/>
        </w:rPr>
      </w:pPr>
      <w:r>
        <w:rPr>
          <w:rFonts w:ascii="Arial" w:cs="Arial" w:eastAsia="Arial" w:hAnsi="Arial"/>
          <w:sz w:val="16"/>
          <w:szCs w:val="16"/>
          <w:i w:val="1"/>
          <w:iCs w:val="1"/>
          <w:color w:val="auto"/>
        </w:rPr>
        <w:t>As used in this prospectus, unless the context otherwise requires, references to "we," "us," "our," the "Company" and "Kiniksa" refer to Kiniksa Pharmaceuticals, Ltd. and its consolidated subsidiary, together.</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Overview</w:t>
      </w:r>
    </w:p>
    <w:p>
      <w:pPr>
        <w:spacing w:after="0" w:line="210" w:lineRule="exact"/>
        <w:rPr>
          <w:sz w:val="20"/>
          <w:szCs w:val="20"/>
          <w:color w:val="auto"/>
        </w:rPr>
      </w:pPr>
    </w:p>
    <w:p>
      <w:pPr>
        <w:ind w:left="200" w:right="40" w:firstLine="436"/>
        <w:spacing w:after="0" w:line="257" w:lineRule="auto"/>
        <w:rPr>
          <w:sz w:val="20"/>
          <w:szCs w:val="20"/>
          <w:color w:val="auto"/>
        </w:rPr>
      </w:pPr>
      <w:r>
        <w:rPr>
          <w:rFonts w:ascii="Arial" w:cs="Arial" w:eastAsia="Arial" w:hAnsi="Arial"/>
          <w:sz w:val="15"/>
          <w:szCs w:val="15"/>
          <w:color w:val="auto"/>
        </w:rPr>
        <w:t>We are a clinical-stage biopharmaceutical company focused on discovering, acquiring, developing and commercializing therapeutic medicines for patients suffering from debilitating diseases with significant unmet medical need. We have a pipeline of product candidates across various stages of development, currently focused on autoinflammatory and autoimmune conditions. We have three clinical-stage product candidates, one of which is anticipated to commence a Phase 3 clinical trial in 2018. We follow a disciplined and methodical approach to selectively identify and acquire product candidates with strong biologic rationales or validated mechanisms of action. We believe that each of our product candidates has the potential to address multiple indications.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Programs</w:t>
      </w:r>
    </w:p>
    <w:p>
      <w:pPr>
        <w:spacing w:after="0" w:line="202" w:lineRule="exact"/>
        <w:rPr>
          <w:sz w:val="20"/>
          <w:szCs w:val="20"/>
          <w:color w:val="auto"/>
        </w:rPr>
      </w:pPr>
    </w:p>
    <w:p>
      <w:pPr>
        <w:ind w:left="1180" w:hanging="492"/>
        <w:spacing w:after="0" w:line="239"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b w:val="1"/>
          <w:bCs w:val="1"/>
          <w:u w:val="single" w:color="auto"/>
          <w:color w:val="auto"/>
        </w:rPr>
        <w:t>Rilonacept</w:t>
      </w:r>
      <w:r>
        <w:rPr>
          <w:rFonts w:ascii="Arial" w:cs="Arial" w:eastAsia="Arial" w:hAnsi="Arial"/>
          <w:sz w:val="16"/>
          <w:szCs w:val="16"/>
          <w:b w:val="1"/>
          <w:bCs w:val="1"/>
          <w:color w:val="auto"/>
        </w:rPr>
        <w:t xml:space="preserve"> </w:t>
      </w:r>
      <w:r>
        <w:rPr>
          <w:rFonts w:ascii="Arial" w:cs="Arial" w:eastAsia="Arial" w:hAnsi="Arial"/>
          <w:sz w:val="16"/>
          <w:szCs w:val="16"/>
          <w:color w:val="auto"/>
        </w:rPr>
        <w:t>(ARCALYST) is a protein for inhibiting interleukin-1a</w:t>
      </w:r>
      <w:r>
        <w:rPr>
          <w:rFonts w:ascii="Arial" w:cs="Arial" w:eastAsia="Arial" w:hAnsi="Arial"/>
          <w:sz w:val="16"/>
          <w:szCs w:val="16"/>
          <w:b w:val="1"/>
          <w:bCs w:val="1"/>
          <w:color w:val="auto"/>
        </w:rPr>
        <w:t xml:space="preserve"> </w:t>
      </w:r>
      <w:r>
        <w:rPr>
          <w:rFonts w:ascii="Arial" w:cs="Arial" w:eastAsia="Arial" w:hAnsi="Arial"/>
          <w:sz w:val="16"/>
          <w:szCs w:val="16"/>
          <w:color w:val="auto"/>
        </w:rPr>
        <w:t>and interleukin-1b. Cytokines are small proteins that play a key role in cell</w:t>
      </w:r>
      <w:r>
        <w:rPr>
          <w:rFonts w:ascii="Arial" w:cs="Arial" w:eastAsia="Arial" w:hAnsi="Arial"/>
          <w:sz w:val="16"/>
          <w:szCs w:val="16"/>
          <w:b w:val="1"/>
          <w:bCs w:val="1"/>
          <w:color w:val="auto"/>
        </w:rPr>
        <w:t xml:space="preserve"> </w:t>
      </w:r>
      <w:r>
        <w:rPr>
          <w:rFonts w:ascii="Arial" w:cs="Arial" w:eastAsia="Arial" w:hAnsi="Arial"/>
          <w:sz w:val="16"/>
          <w:szCs w:val="16"/>
          <w:color w:val="auto"/>
        </w:rPr>
        <w:t>signaling. Rilonacept is approved by the U.S. Food and Drug Administration, or FDA, for the treatment of cryopyrin-associated periodic syndromes, or CAPS, and has been commercially available from Regeneron Pharmaceuticals, Inc., or Regeneron, for this indication since 2008. We are initially developing rilonacept for the treatment of recurrent pericarditis, a debilitating inflammatory cardiovascular disease. We are not aware of any therapy currently approved by the FDA for the treatment of recurrent pericarditis. We are currently conducting an open-label Phase 2 proof-of-concept clinical trial in this disease and expect to report preliminary data in 2018. The trial is divided into five parts to evaluate rilonacept in various subgroups of patients with pericarditis. As of April 23, 2018, a total of four subjects were enrolled in the clinical trial. Three of the four subjects were experiencing symptomatic recurrent pericarditis at the time of enrollment. All three subjects showed a reduction in C-reactive protein measurements, as well as a reduction in scores of an 11-point Numerical Rating Scale instrument for assessing pericardial-associated chest pain, in the first week of treatment. The fourth subject, in a separate patient cohort, was on corticosteroids at the time of enrollment but not experiencing active symptoms, and had a history of corticosteroid dependence. This subject was treated with rilonacept and as of April 23, 2018, had been free of pericarditis flares for three weeks. Among these subjects, the most commonly reported adverse reaction associated with rilonacept has been injection-site reactions.</w:t>
      </w:r>
    </w:p>
    <w:p>
      <w:pPr>
        <w:spacing w:after="0" w:line="163" w:lineRule="exact"/>
        <w:rPr>
          <w:rFonts w:ascii="Arial" w:cs="Arial" w:eastAsia="Arial" w:hAnsi="Arial"/>
          <w:sz w:val="16"/>
          <w:szCs w:val="16"/>
          <w:color w:val="auto"/>
        </w:rPr>
      </w:pPr>
    </w:p>
    <w:p>
      <w:pPr>
        <w:jc w:val="both"/>
        <w:ind w:left="1180" w:right="240" w:hanging="492"/>
        <w:spacing w:after="0" w:line="251"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b w:val="1"/>
          <w:bCs w:val="1"/>
          <w:u w:val="single" w:color="auto"/>
          <w:color w:val="auto"/>
        </w:rPr>
        <w:t>Mavrilimumab</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that antagonizes the signaling of granulocyte macrophage colony stimulating factor, or GM-CSF. We</w:t>
      </w:r>
      <w:r>
        <w:rPr>
          <w:rFonts w:ascii="Arial" w:cs="Arial" w:eastAsia="Arial" w:hAnsi="Arial"/>
          <w:sz w:val="16"/>
          <w:szCs w:val="16"/>
          <w:b w:val="1"/>
          <w:bCs w:val="1"/>
          <w:color w:val="auto"/>
        </w:rPr>
        <w:t xml:space="preserve"> </w:t>
      </w:r>
      <w:r>
        <w:rPr>
          <w:rFonts w:ascii="Arial" w:cs="Arial" w:eastAsia="Arial" w:hAnsi="Arial"/>
          <w:sz w:val="16"/>
          <w:szCs w:val="16"/>
          <w:color w:val="auto"/>
        </w:rPr>
        <w:t>are focusing our initial development efforts for mavrilimumab on giant cell arteritis, or GCA, an inflammatory disease of the blood vessels with unmet medical need that can lead to blindness if left untreated. MedImmune</w:t>
      </w: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3872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387286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180"/>
        <w:spacing w:after="0" w:line="237" w:lineRule="auto"/>
        <w:rPr>
          <w:sz w:val="20"/>
          <w:szCs w:val="20"/>
          <w:color w:val="auto"/>
        </w:rPr>
      </w:pPr>
      <w:r>
        <w:rPr>
          <w:rFonts w:ascii="Arial" w:cs="Arial" w:eastAsia="Arial" w:hAnsi="Arial"/>
          <w:sz w:val="16"/>
          <w:szCs w:val="16"/>
          <w:color w:val="auto"/>
        </w:rPr>
        <w:t>Limited, or MedImmune, initially developed mavrilimumab for the treatment of rheumatoid arthritis, or RA. MedImmune's Investigational New Drug application, or IND, for the clinical development of mavrilimumab for the treatment of RA was initially put on clinical hold in 2010 before human data had been generated due to certain effects that were observed in non-clinical studies, which coincides with a theoretical risk of developing pulmonary alveolar proteinosis, or PAP, possibly in the setting of GM-CSF inhibition. Since then, in 2014, the FDA acknowledged that clinical studies in refractory RA may be appropriate based on MedImmune's clinical studies in Europe in which it dosed over 550 RA patients with mavrilimumab with no evidence of PAP. MedImmune has since withdrawn the IND for mavrilimumab for the treatment of RA. We intend to develop mavrilimumab for the treatment of GCA under a new IND in the United States and new Clinical Trial Application, or CTA, in Europe, and plan to initiate a Phase 2 clinical trial in 2018.</w:t>
      </w:r>
    </w:p>
    <w:p>
      <w:pPr>
        <w:spacing w:after="0" w:line="179" w:lineRule="exact"/>
        <w:rPr>
          <w:sz w:val="20"/>
          <w:szCs w:val="20"/>
          <w:color w:val="auto"/>
        </w:rPr>
      </w:pPr>
    </w:p>
    <w:p>
      <w:pPr>
        <w:ind w:left="1180" w:right="60" w:hanging="492"/>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KPL-716</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that simultaneously inhibits the signaling of the cytokines interleukin-31, or IL-31, and oncostatin M, or OSM,</w:t>
      </w:r>
      <w:r>
        <w:rPr>
          <w:rFonts w:ascii="Arial" w:cs="Arial" w:eastAsia="Arial" w:hAnsi="Arial"/>
          <w:sz w:val="16"/>
          <w:szCs w:val="16"/>
          <w:b w:val="1"/>
          <w:bCs w:val="1"/>
          <w:color w:val="auto"/>
        </w:rPr>
        <w:t xml:space="preserve"> </w:t>
      </w:r>
      <w:r>
        <w:rPr>
          <w:rFonts w:ascii="Arial" w:cs="Arial" w:eastAsia="Arial" w:hAnsi="Arial"/>
          <w:sz w:val="16"/>
          <w:szCs w:val="16"/>
          <w:color w:val="auto"/>
        </w:rPr>
        <w:t>by targeting their common receptor subunit, oncostatin M receptor beta, or OSMRb. We plan to study KPL-716 in a variety of pruritic and fibrotic indications driven by these cytokines and we believe KPL-716 is the only monoclonal antibody in development that simultaneously targets both pathways. We are currently enrolling subjects in a Phase 1a/1b clinical trial in healthy volunteers and in subjects with atopic dermatitis as a proof-of-concept for pruritic conditions. We have completed dosing in the first portion of the Phase 1a/1b clinical trial utilizing a single ascending dose design. Each dose cohort in the first portion received a single dose of KPL-716 administered either intravenously or subcutaneously. We expect to report preliminary data from the single ascending dose cohorts of this portion of the trial in the second half of 2018. In the second portion of the Phase 1a/1b clinical trial, each subject in the cohort will receive repeated single doses of KPL-716 administered subcutaneously. We plan to commence dosing in this portion of the trial in 2018, subject to submission to, and review by, the FDA and Canadian regulatory authorities of our recently completed primate chronic toxicology study. If the data from the Phase 1a/1b clinical trial are favorable, we expect our two initial targeted indications for future development of KPL-716 to be prurigo nodularis and atopic dermatitis, both inflammatory, pruritic skin conditions with unmet medical need.</w:t>
      </w:r>
    </w:p>
    <w:p>
      <w:pPr>
        <w:spacing w:after="0" w:line="156" w:lineRule="exact"/>
        <w:rPr>
          <w:rFonts w:ascii="Arial" w:cs="Arial" w:eastAsia="Arial" w:hAnsi="Arial"/>
          <w:sz w:val="16"/>
          <w:szCs w:val="16"/>
          <w:color w:val="auto"/>
        </w:rPr>
      </w:pPr>
    </w:p>
    <w:p>
      <w:pPr>
        <w:ind w:left="1180" w:right="140" w:hanging="492"/>
        <w:spacing w:after="0" w:line="251"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KPL-045</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inhibitor of the CD30/CD30L interaction, a T-cell co-stimulatory receptor involved in activated T-memory cell</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 We are planning IND-enabling studies in T-cell dependent, B-cell mediated diseases, and expect to file an IND with the FDA for this program in 2019.</w:t>
      </w:r>
    </w:p>
    <w:p>
      <w:pPr>
        <w:spacing w:after="0" w:line="146" w:lineRule="exact"/>
        <w:rPr>
          <w:rFonts w:ascii="Arial" w:cs="Arial" w:eastAsia="Arial" w:hAnsi="Arial"/>
          <w:sz w:val="16"/>
          <w:szCs w:val="16"/>
          <w:color w:val="auto"/>
        </w:rPr>
      </w:pPr>
    </w:p>
    <w:p>
      <w:pPr>
        <w:jc w:val="both"/>
        <w:ind w:left="1180" w:right="80" w:hanging="492"/>
        <w:spacing w:after="0" w:line="251"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KPL-404</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inhibitor of the CD40/CD40L interaction, a central control node of T-cell-dependent, B-cell-mediated humoral</w:t>
      </w:r>
      <w:r>
        <w:rPr>
          <w:rFonts w:ascii="Arial" w:cs="Arial" w:eastAsia="Arial" w:hAnsi="Arial"/>
          <w:sz w:val="16"/>
          <w:szCs w:val="16"/>
          <w:b w:val="1"/>
          <w:bCs w:val="1"/>
          <w:color w:val="auto"/>
        </w:rPr>
        <w:t xml:space="preserve"> </w:t>
      </w:r>
      <w:r>
        <w:rPr>
          <w:rFonts w:ascii="Arial" w:cs="Arial" w:eastAsia="Arial" w:hAnsi="Arial"/>
          <w:sz w:val="16"/>
          <w:szCs w:val="16"/>
          <w:color w:val="auto"/>
        </w:rPr>
        <w:t>adaptive immunity. We are planning IND-enabling studies in T-cell dependent, B-cell mediated diseases, and expect to file an IND with the FDA for this program in 2019.</w:t>
      </w: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6063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305" cy="606361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our current pipeline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right="20" w:firstLine="436"/>
        <w:spacing w:after="0" w:line="239" w:lineRule="auto"/>
        <w:rPr>
          <w:sz w:val="20"/>
          <w:szCs w:val="20"/>
          <w:color w:val="auto"/>
        </w:rPr>
      </w:pPr>
      <w:r>
        <w:rPr>
          <w:rFonts w:ascii="Arial" w:cs="Arial" w:eastAsia="Arial" w:hAnsi="Arial"/>
          <w:sz w:val="16"/>
          <w:szCs w:val="16"/>
          <w:color w:val="auto"/>
        </w:rPr>
        <w:t>In addition to the indications described above, we plan to evaluate rilonacept, mavrilimumab and KPL-716 in other indications. We also plan to be opportunistic in our business development activities to identify and potentially acquire the rights to additional programs. We have also initiated our own internal research efforts to discover and develop molecules to address areas of unmet medical need.</w:t>
      </w:r>
    </w:p>
    <w:p>
      <w:pPr>
        <w:spacing w:after="0" w:line="186" w:lineRule="exact"/>
        <w:rPr>
          <w:sz w:val="20"/>
          <w:szCs w:val="20"/>
          <w:color w:val="auto"/>
        </w:rPr>
      </w:pPr>
    </w:p>
    <w:p>
      <w:pPr>
        <w:ind w:left="200" w:right="100" w:firstLine="436"/>
        <w:spacing w:after="0" w:line="239" w:lineRule="auto"/>
        <w:rPr>
          <w:sz w:val="20"/>
          <w:szCs w:val="20"/>
          <w:color w:val="auto"/>
        </w:rPr>
      </w:pPr>
      <w:r>
        <w:rPr>
          <w:rFonts w:ascii="Arial" w:cs="Arial" w:eastAsia="Arial" w:hAnsi="Arial"/>
          <w:sz w:val="16"/>
          <w:szCs w:val="16"/>
          <w:color w:val="auto"/>
        </w:rPr>
        <w:t>We intend to directly commercialize our product candidates, if approved, in the United States and select international markets. In parallel with our product development timelines, we plan to build our own commercial and operational organizations around the world. We anticipate building targeted medical affairs and sales teams focused on specialist physicians who treat the patient populations addressed by our product candidates.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Team</w:t>
      </w:r>
    </w:p>
    <w:p>
      <w:pPr>
        <w:spacing w:after="0" w:line="210" w:lineRule="exact"/>
        <w:rPr>
          <w:sz w:val="20"/>
          <w:szCs w:val="20"/>
          <w:color w:val="auto"/>
        </w:rPr>
      </w:pPr>
    </w:p>
    <w:p>
      <w:pPr>
        <w:ind w:left="200" w:firstLine="436"/>
        <w:spacing w:after="0" w:line="237" w:lineRule="auto"/>
        <w:rPr>
          <w:sz w:val="20"/>
          <w:szCs w:val="20"/>
          <w:color w:val="auto"/>
        </w:rPr>
      </w:pPr>
      <w:r>
        <w:rPr>
          <w:rFonts w:ascii="Arial" w:cs="Arial" w:eastAsia="Arial" w:hAnsi="Arial"/>
          <w:sz w:val="16"/>
          <w:szCs w:val="16"/>
          <w:color w:val="auto"/>
        </w:rPr>
        <w:t>We have assembled an experienced management team with a successful track record, many of whom have previously worked together at companies that developed and commercialized therapeutics for underserved, rare and specialty-focused patient populations. Our team has expertise across the spectrum of global drug discovery, development, manufacturing and commercialization activities in diseases within both large and orphan indications. Our Chairman and Chief Executive Officer, Sanj K. Patel, has more than 25 years of scientific, clinical and commercial experience in the pharmaceutical and biotechnology industries. Our Chief Medical Officer, John F. Paolini, M.D., Ph.D., has more than 15 years of experience planning, operating and executing clinical development programs across a range of disease indications from orphan diseases to large cardiovascular diseases, and ten years as a practicing cardiologist.</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Strategy</w:t>
      </w:r>
    </w:p>
    <w:p>
      <w:pPr>
        <w:spacing w:after="0" w:line="210" w:lineRule="exact"/>
        <w:rPr>
          <w:sz w:val="20"/>
          <w:szCs w:val="20"/>
          <w:color w:val="auto"/>
        </w:rPr>
      </w:pPr>
    </w:p>
    <w:p>
      <w:pPr>
        <w:ind w:left="200" w:right="440" w:firstLine="436"/>
        <w:spacing w:after="0" w:line="239" w:lineRule="auto"/>
        <w:rPr>
          <w:sz w:val="20"/>
          <w:szCs w:val="20"/>
          <w:color w:val="auto"/>
        </w:rPr>
      </w:pPr>
      <w:r>
        <w:rPr>
          <w:rFonts w:ascii="Arial" w:cs="Arial" w:eastAsia="Arial" w:hAnsi="Arial"/>
          <w:sz w:val="16"/>
          <w:szCs w:val="16"/>
          <w:color w:val="auto"/>
        </w:rPr>
        <w:t>Our vision is to build a fully-integrated global biopharmaceutical company by discovering, acquiring, developing and commercializing life-changing therapies for debilitating diseases. We are currently developing a pipeline of novel drug product candidates for the treatment of autoinflammatory and autoimmune diseases, and we aim to be an industry leader in these areas.</w:t>
      </w: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4914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305" cy="491490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are pursuing multiple programs in parallel, with the goal of delivering safe and effective therapies to patients as efficiently as possible.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Critical components of our business strategy include the following:</w:t>
      </w:r>
    </w:p>
    <w:p>
      <w:pPr>
        <w:spacing w:after="0" w:line="182" w:lineRule="exact"/>
        <w:rPr>
          <w:sz w:val="20"/>
          <w:szCs w:val="20"/>
          <w:color w:val="auto"/>
        </w:rPr>
      </w:pPr>
    </w:p>
    <w:p>
      <w:pPr>
        <w:ind w:left="1180" w:right="80" w:hanging="492"/>
        <w:spacing w:after="0" w:line="2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Efficiently and rapidly advance our product candidates through the development process. </w:t>
      </w:r>
      <w:r>
        <w:rPr>
          <w:rFonts w:ascii="Arial" w:cs="Arial" w:eastAsia="Arial" w:hAnsi="Arial"/>
          <w:sz w:val="16"/>
          <w:szCs w:val="16"/>
          <w:color w:val="auto"/>
        </w:rPr>
        <w:t>We believe that our product candidates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potential to address significant unmet medical needs and intend to develop them as efficiently and rapidly as possible. In 2018, we expect to report preliminary Phase 2 data for rilonacept and, if the Phase 2 data are favorable, we plan to initiate a Phase 3 clinical trial for rilonacept in recurrent pericarditis. For KPL-716, we anticipate reporting preliminary data from the single dose cohorts in our Phase 1a/1b clinical trial in normal healthy volunteers and subjects with atopic dermatitis in the second half of 2018. We also expect to initiate a Phase 2 clinical trial of mavrilimumab in GCA in 2018.</w:t>
      </w:r>
    </w:p>
    <w:p>
      <w:pPr>
        <w:spacing w:after="0" w:line="153" w:lineRule="exact"/>
        <w:rPr>
          <w:rFonts w:ascii="Arial" w:cs="Arial" w:eastAsia="Arial" w:hAnsi="Arial"/>
          <w:sz w:val="16"/>
          <w:szCs w:val="16"/>
          <w:color w:val="auto"/>
        </w:rPr>
      </w:pPr>
    </w:p>
    <w:p>
      <w:pPr>
        <w:ind w:left="1180" w:right="40" w:hanging="492"/>
        <w:spacing w:after="0" w:line="2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Commercialize our product candidates to bring new or improved therapies to patients in need. </w:t>
      </w:r>
      <w:r>
        <w:rPr>
          <w:rFonts w:ascii="Arial" w:cs="Arial" w:eastAsia="Arial" w:hAnsi="Arial"/>
          <w:sz w:val="16"/>
          <w:szCs w:val="16"/>
          <w:color w:val="auto"/>
        </w:rPr>
        <w:t>We intend to market and commercialize</w:t>
      </w:r>
      <w:r>
        <w:rPr>
          <w:rFonts w:ascii="Arial" w:cs="Arial" w:eastAsia="Arial" w:hAnsi="Arial"/>
          <w:sz w:val="16"/>
          <w:szCs w:val="16"/>
          <w:b w:val="1"/>
          <w:bCs w:val="1"/>
          <w:color w:val="auto"/>
        </w:rPr>
        <w:t xml:space="preserve"> </w:t>
      </w:r>
      <w:r>
        <w:rPr>
          <w:rFonts w:ascii="Arial" w:cs="Arial" w:eastAsia="Arial" w:hAnsi="Arial"/>
          <w:sz w:val="16"/>
          <w:szCs w:val="16"/>
          <w:color w:val="auto"/>
        </w:rPr>
        <w:t>our product candidates, if approved, in the United States and select international markets by developing our own sales, marketing, medical affairs and reimbursement organizations. We anticipate creating a targeted sales organization that supports specialist physicians who treat these specific patient populations and plan to build out this organization as our product candidates approach potential regulatory approval. We believe this approach will allow us to effectively reach patients and prescribers that our product candidates target and leverage the commercial potential of our product candidates.</w:t>
      </w:r>
    </w:p>
    <w:p>
      <w:pPr>
        <w:spacing w:after="0" w:line="153" w:lineRule="exact"/>
        <w:rPr>
          <w:rFonts w:ascii="Arial" w:cs="Arial" w:eastAsia="Arial" w:hAnsi="Arial"/>
          <w:sz w:val="16"/>
          <w:szCs w:val="16"/>
          <w:color w:val="auto"/>
        </w:rPr>
      </w:pPr>
    </w:p>
    <w:p>
      <w:pPr>
        <w:ind w:left="1180" w:right="100" w:hanging="492"/>
        <w:spacing w:after="0" w:line="245"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Maximize our existing portfolio opportunity by expanding use across multiple indications. </w:t>
      </w:r>
      <w:r>
        <w:rPr>
          <w:rFonts w:ascii="Arial" w:cs="Arial" w:eastAsia="Arial" w:hAnsi="Arial"/>
          <w:sz w:val="16"/>
          <w:szCs w:val="16"/>
          <w:color w:val="auto"/>
        </w:rPr>
        <w:t>A core component of our approach to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is identifying assets that each have the potential to treat multiple diseases. We aim to develop and commercialize our product candidates to produce meaningful impact for patients across all relevant indications. Our assets are designed to specifically modulate signaling pathways that are implicated across a spectrum of autoimmune and autoinflammatory conditions. For example, our lead product candidate, rilonacept, is being studied in recurrent pericarditis, and we believe it may be effective in other IL-1a-mediated diseases characterized by painful serosal inflammation. We also believe that both mavrilimumab and KPL-716 have potential in additional indications.</w:t>
      </w:r>
    </w:p>
    <w:p>
      <w:pPr>
        <w:spacing w:after="0" w:line="163" w:lineRule="exact"/>
        <w:rPr>
          <w:rFonts w:ascii="Arial" w:cs="Arial" w:eastAsia="Arial" w:hAnsi="Arial"/>
          <w:sz w:val="16"/>
          <w:szCs w:val="16"/>
          <w:color w:val="auto"/>
        </w:rPr>
      </w:pPr>
    </w:p>
    <w:p>
      <w:pPr>
        <w:ind w:left="1180" w:hanging="492"/>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value-driven approach to identify, acquire, discover and develop new therapies. </w:t>
      </w:r>
      <w:r>
        <w:rPr>
          <w:rFonts w:ascii="Arial" w:cs="Arial" w:eastAsia="Arial" w:hAnsi="Arial"/>
          <w:sz w:val="16"/>
          <w:szCs w:val="16"/>
          <w:color w:val="auto"/>
        </w:rPr>
        <w:t>We follow a disciplined and methodical</w:t>
      </w:r>
      <w:r>
        <w:rPr>
          <w:rFonts w:ascii="Arial" w:cs="Arial" w:eastAsia="Arial" w:hAnsi="Arial"/>
          <w:sz w:val="16"/>
          <w:szCs w:val="16"/>
          <w:b w:val="1"/>
          <w:bCs w:val="1"/>
          <w:color w:val="auto"/>
        </w:rPr>
        <w:t xml:space="preserve"> </w:t>
      </w:r>
      <w:r>
        <w:rPr>
          <w:rFonts w:ascii="Arial" w:cs="Arial" w:eastAsia="Arial" w:hAnsi="Arial"/>
          <w:sz w:val="16"/>
          <w:szCs w:val="16"/>
          <w:color w:val="auto"/>
        </w:rPr>
        <w:t>approach to our review of new opportunities. We focus on research-based and comprehensive indication mapping exercises to categorize and prioritize indications of interest. We evaluate a variety of factors for potential product candidates and discovery targets, including biologic rationale for addressing the disease, potential for regulatory approval, commercial viability, intellectual property position, prospects for favorable pricing and reimbursement and the impact of competition. We also look at assets that could potentially address multiple indications. In building our current pipeline, we evaluated a large number of opportunities and negotiated agreements with parties for the assets that met our criteria and have acquired the rights to develop and commercialize five separate biologics. Going forward, we intend to be opportunistic in our business development activities.</w:t>
      </w:r>
    </w:p>
    <w:p>
      <w:pPr>
        <w:spacing w:after="0" w:line="156" w:lineRule="exact"/>
        <w:rPr>
          <w:rFonts w:ascii="Arial" w:cs="Arial" w:eastAsia="Arial" w:hAnsi="Arial"/>
          <w:sz w:val="16"/>
          <w:szCs w:val="16"/>
          <w:color w:val="auto"/>
        </w:rPr>
      </w:pPr>
    </w:p>
    <w:p>
      <w:pPr>
        <w:ind w:left="1180" w:right="220" w:hanging="492"/>
        <w:spacing w:after="0" w:line="246"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Build our core capability in autoimmune and autoinflammatory diseases to establish a leadership position in the field. </w:t>
      </w:r>
      <w:r>
        <w:rPr>
          <w:rFonts w:ascii="Arial" w:cs="Arial" w:eastAsia="Arial" w:hAnsi="Arial"/>
          <w:sz w:val="16"/>
          <w:szCs w:val="16"/>
          <w:color w:val="auto"/>
        </w:rPr>
        <w:t>Our current</w:t>
      </w:r>
      <w:r>
        <w:rPr>
          <w:rFonts w:ascii="Arial" w:cs="Arial" w:eastAsia="Arial" w:hAnsi="Arial"/>
          <w:sz w:val="16"/>
          <w:szCs w:val="16"/>
          <w:b w:val="1"/>
          <w:bCs w:val="1"/>
          <w:color w:val="auto"/>
        </w:rPr>
        <w:t xml:space="preserve"> </w:t>
      </w:r>
      <w:r>
        <w:rPr>
          <w:rFonts w:ascii="Arial" w:cs="Arial" w:eastAsia="Arial" w:hAnsi="Arial"/>
          <w:sz w:val="16"/>
          <w:szCs w:val="16"/>
          <w:color w:val="auto"/>
        </w:rPr>
        <w:t>pipeline consists of protein therapeutics across various stages of drug development, including a cytokine trap, rilonacept, and four monoclonal antibodies—mavrilimumab, KPL-716, KPL-045 and KPL-404. Both categories of therapeutics functionally inhibit signaling pathways that are implicated in autoinflammatory-</w:t>
      </w: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4570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305" cy="457009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180" w:right="180"/>
        <w:spacing w:after="0" w:line="241" w:lineRule="auto"/>
        <w:rPr>
          <w:sz w:val="20"/>
          <w:szCs w:val="20"/>
          <w:color w:val="auto"/>
        </w:rPr>
      </w:pPr>
      <w:r>
        <w:rPr>
          <w:rFonts w:ascii="Arial" w:cs="Arial" w:eastAsia="Arial" w:hAnsi="Arial"/>
          <w:sz w:val="16"/>
          <w:szCs w:val="16"/>
          <w:color w:val="auto"/>
        </w:rPr>
        <w:t>or autoimmune-driven pathologies. We intend to leverage our internal discovery efforts and business development capabilities to complement our existing portfolio to build our core capability and establish a leadership position in the field.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Capital Structure</w:t>
      </w:r>
    </w:p>
    <w:p>
      <w:pPr>
        <w:spacing w:after="0" w:line="210" w:lineRule="exact"/>
        <w:rPr>
          <w:sz w:val="20"/>
          <w:szCs w:val="20"/>
          <w:color w:val="auto"/>
        </w:rPr>
      </w:pPr>
    </w:p>
    <w:p>
      <w:pPr>
        <w:ind w:left="200" w:firstLine="436"/>
        <w:spacing w:after="0" w:line="237" w:lineRule="auto"/>
        <w:rPr>
          <w:sz w:val="20"/>
          <w:szCs w:val="20"/>
          <w:color w:val="auto"/>
        </w:rPr>
      </w:pPr>
      <w:r>
        <w:rPr>
          <w:rFonts w:ascii="Arial" w:cs="Arial" w:eastAsia="Arial" w:hAnsi="Arial"/>
          <w:sz w:val="16"/>
          <w:szCs w:val="16"/>
          <w:color w:val="auto"/>
        </w:rPr>
        <w:t>Following this offering, we will have four classes of common shares: Class A, Class A1, Class B and Class B1. All classes of our common shares will be economically equivalent to each other. The rights of the holders of our Class A common shares, Class A1 common shares, Class B common shares and Class B1 common shares will be identical, except with respect to voting, conversion and transferability. Holders of our Class A common shares — the only class of common shares being sold in this offering — will be entitled to one vote per Class A common share, while holders of our Class B common shares will be entitled to ten votes per Class B common share. Our Class A1 common shares and Class B1 common shares will have no associated voting rights. Following this offering, the Class A common shares will account for 22.2% of our aggregate voting power and the Class B common shares will account for the remaining 77.8% of the aggregate voting power. In addition, the number of Class A1 common shares to be outstanding after this offering will be 12,995,954 and the number of Class B1 common shares to be outstanding after this offering will be 16,057,618. See "Principal Shareholders" and "Description of Share Capital" for more information on beneficial ownership immediately following this offering.</w:t>
      </w:r>
    </w:p>
    <w:p>
      <w:pPr>
        <w:spacing w:after="0" w:line="186" w:lineRule="exact"/>
        <w:rPr>
          <w:sz w:val="20"/>
          <w:szCs w:val="20"/>
          <w:color w:val="auto"/>
        </w:rPr>
      </w:pPr>
    </w:p>
    <w:p>
      <w:pPr>
        <w:ind w:left="200" w:firstLine="427"/>
        <w:spacing w:after="0" w:line="236" w:lineRule="auto"/>
        <w:rPr>
          <w:sz w:val="20"/>
          <w:szCs w:val="20"/>
          <w:color w:val="auto"/>
        </w:rPr>
      </w:pPr>
      <w:r>
        <w:rPr>
          <w:rFonts w:ascii="Arial" w:cs="Arial" w:eastAsia="Arial" w:hAnsi="Arial"/>
          <w:sz w:val="16"/>
          <w:szCs w:val="16"/>
          <w:color w:val="auto"/>
        </w:rPr>
        <w:t>As a result of the Class A common shares and Class B common shares that they will hold upon the closing of this offering, our executive officers and certain other members of our senior management will be able to exercise voting rights with respect to an aggregate of 856,166 Class A common shares and 4,244,005 Class B common shares, which will collectively represent 72.6% of the voting power of our outstanding share capital immediately following this offering. As a result, our executive officers and certain other members of our senior management will have the ability to control the outcome of all matters submitted to our shareholders for approval, including the election, removal, and replacement of directors and any merger, consolidation, or sale of all or substantially all of our assets. However, this percentage may change depending on any conversion of Class A1 common shares, Class B1 common shares or Class B common shares. Each holder of Class A1 common shares may elect to convert its Class A1 common shares into voting Class A common shares at any time, unless, immediately prior to or following such conversion, the holder and its affiliates beneficially own, or would beneficially own, more than 4.99% of the issued and outstanding Class A common shares. Each holder of Class B1 common shares may elect to convert its Class B1 common shares into voting Class A common shares or Class B common shares at any time, unless, immediately prior to or following such conversion, the holder and its affiliates beneficially own, or would beneficially own, more than 4.99% of the issued and outstanding Class A common shares. Any such holder of Class A1 common shares or Class B1 common shares will have the right to increase, decrease or waive this beneficial ownership limitation at its sole discretion by providing us with 61-days' prior written notice. As a result, upon 61-days' prior written notice, entities managed by Baker Bros. Advisors LP could convert their Class A1 common shares and Class B1 common shares into Class A common shares and Class B common shares, respectively, which in the aggregate would result in such entities holding 73.8% of the voting power of our outstanding share capital following this offering.</w:t>
      </w:r>
    </w:p>
    <w:p>
      <w:pPr>
        <w:spacing w:after="0" w:line="193" w:lineRule="exact"/>
        <w:rPr>
          <w:sz w:val="20"/>
          <w:szCs w:val="20"/>
          <w:color w:val="auto"/>
        </w:rPr>
      </w:pPr>
    </w:p>
    <w:p>
      <w:pPr>
        <w:ind w:left="200" w:firstLine="433"/>
        <w:spacing w:after="0" w:line="238" w:lineRule="auto"/>
        <w:rPr>
          <w:sz w:val="20"/>
          <w:szCs w:val="20"/>
          <w:color w:val="auto"/>
        </w:rPr>
      </w:pPr>
      <w:r>
        <w:rPr>
          <w:rFonts w:ascii="Arial" w:cs="Arial" w:eastAsia="Arial" w:hAnsi="Arial"/>
          <w:sz w:val="16"/>
          <w:szCs w:val="16"/>
          <w:color w:val="auto"/>
        </w:rPr>
        <w:t>This concentrated control could delay, defer, or prevent a change of control, merger, consolidation, or sale of all or substantially all of our assets that our other shareholders support. Conversely, this concentrated control could allow our executive officers and certain other members of our senior management to consummate a transaction that our other shareholders do not support. See "Risk Factors — Risks Related to Our Common Shares and This Offering — After this</w:t>
      </w:r>
    </w:p>
    <w:p>
      <w:pPr>
        <w:spacing w:after="0" w:line="200" w:lineRule="exact"/>
        <w:rPr>
          <w:sz w:val="20"/>
          <w:szCs w:val="20"/>
          <w:color w:val="auto"/>
        </w:rPr>
      </w:pPr>
    </w:p>
    <w:p>
      <w:pPr>
        <w:spacing w:after="0" w:line="397"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140"/>
          </w:cols>
          <w:pgMar w:left="240" w:top="142" w:right="5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5619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305" cy="561975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0" w:right="240"/>
        <w:spacing w:after="0" w:line="241" w:lineRule="auto"/>
        <w:rPr>
          <w:sz w:val="20"/>
          <w:szCs w:val="20"/>
          <w:color w:val="auto"/>
        </w:rPr>
      </w:pPr>
      <w:r>
        <w:rPr>
          <w:rFonts w:ascii="Arial" w:cs="Arial" w:eastAsia="Arial" w:hAnsi="Arial"/>
          <w:sz w:val="16"/>
          <w:szCs w:val="16"/>
          <w:color w:val="auto"/>
        </w:rPr>
        <w:t>offering, our executive officers and certain other members of our senior management will have the ability to control all matters submitted to shareholders for approval."</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Risks Associated with Our Business</w:t>
      </w:r>
    </w:p>
    <w:p>
      <w:pPr>
        <w:spacing w:after="0" w:line="210" w:lineRule="exact"/>
        <w:rPr>
          <w:sz w:val="20"/>
          <w:szCs w:val="20"/>
          <w:color w:val="auto"/>
        </w:rPr>
      </w:pPr>
    </w:p>
    <w:p>
      <w:pPr>
        <w:ind w:left="200" w:right="300" w:firstLine="436"/>
        <w:spacing w:after="0" w:line="241"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titled "Risk Factors" immediately following this prospectus summary. Some of these risks are:</w:t>
      </w:r>
    </w:p>
    <w:p>
      <w:pPr>
        <w:spacing w:after="0" w:line="197" w:lineRule="exact"/>
        <w:rPr>
          <w:sz w:val="20"/>
          <w:szCs w:val="20"/>
          <w:color w:val="auto"/>
        </w:rPr>
      </w:pPr>
    </w:p>
    <w:p>
      <w:pPr>
        <w:ind w:left="1180" w:right="180" w:hanging="492"/>
        <w:spacing w:after="0" w:line="241"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173" w:lineRule="exact"/>
        <w:rPr>
          <w:rFonts w:ascii="Arial" w:cs="Arial" w:eastAsia="Arial" w:hAnsi="Arial"/>
          <w:sz w:val="16"/>
          <w:szCs w:val="16"/>
          <w:color w:val="auto"/>
        </w:rPr>
      </w:pPr>
    </w:p>
    <w:p>
      <w:pPr>
        <w:ind w:left="1180" w:hanging="492"/>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be successful in our efforts to identify, discover, develop or acquire additional product candidates;</w:t>
      </w:r>
    </w:p>
    <w:p>
      <w:pPr>
        <w:spacing w:after="0" w:line="177" w:lineRule="exact"/>
        <w:rPr>
          <w:rFonts w:ascii="Arial" w:cs="Arial" w:eastAsia="Arial" w:hAnsi="Arial"/>
          <w:sz w:val="16"/>
          <w:szCs w:val="16"/>
          <w:color w:val="auto"/>
        </w:rPr>
      </w:pPr>
    </w:p>
    <w:p>
      <w:pPr>
        <w:ind w:left="1180" w:right="120" w:hanging="492"/>
        <w:spacing w:after="0" w:line="241"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depend heavily on the success of our product candidates and cannot give any assurance that our product candidates will receive regulatory approval for any indication, which is necessary before they can be commercialized;</w:t>
      </w:r>
    </w:p>
    <w:p>
      <w:pPr>
        <w:spacing w:after="0" w:line="185" w:lineRule="exact"/>
        <w:rPr>
          <w:rFonts w:ascii="Arial" w:cs="Arial" w:eastAsia="Arial" w:hAnsi="Arial"/>
          <w:sz w:val="16"/>
          <w:szCs w:val="16"/>
          <w:color w:val="auto"/>
        </w:rPr>
      </w:pPr>
    </w:p>
    <w:p>
      <w:pPr>
        <w:ind w:left="1180" w:right="200" w:hanging="492"/>
        <w:spacing w:after="0" w:line="239"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need additional funding to complete the development and commercialization of our product candidates, if approved, and to acquire additional product candidates, and if we are unable to raise capital when needed, we could be forced to delay, reduce or eliminate our product development programs or future commercialization efforts;</w:t>
      </w:r>
    </w:p>
    <w:p>
      <w:pPr>
        <w:spacing w:after="0" w:line="174" w:lineRule="exact"/>
        <w:rPr>
          <w:rFonts w:ascii="Arial" w:cs="Arial" w:eastAsia="Arial" w:hAnsi="Arial"/>
          <w:sz w:val="16"/>
          <w:szCs w:val="16"/>
          <w:color w:val="auto"/>
        </w:rPr>
      </w:pPr>
    </w:p>
    <w:p>
      <w:pPr>
        <w:ind w:left="1180" w:right="40" w:hanging="492"/>
        <w:spacing w:after="0" w:line="238"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had no involvement with or control over the pre-clinical and clinical development of our current product candidates prior to our acquisition of them, and we are dependent on the parties from whom we licensed or acquired such product candidates having conducted their research and development in accordance with the applicable protocols and standards, accurately reported the results of all clinical trials conducted prior to our acquisition and correctly collected and interpreted the data from these trials;</w:t>
      </w:r>
    </w:p>
    <w:p>
      <w:pPr>
        <w:spacing w:after="0" w:line="174" w:lineRule="exact"/>
        <w:rPr>
          <w:rFonts w:ascii="Arial" w:cs="Arial" w:eastAsia="Arial" w:hAnsi="Arial"/>
          <w:sz w:val="16"/>
          <w:szCs w:val="16"/>
          <w:color w:val="auto"/>
        </w:rPr>
      </w:pPr>
    </w:p>
    <w:p>
      <w:pPr>
        <w:ind w:left="1180" w:right="180" w:hanging="492"/>
        <w:spacing w:after="0" w:line="241"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acquired product candidates with positive clinical data in diseases other than our target indications, and we cannot be certain that our product candidates will prove to be effective in treating our target indications;</w:t>
      </w:r>
    </w:p>
    <w:p>
      <w:pPr>
        <w:spacing w:after="0" w:line="185" w:lineRule="exact"/>
        <w:rPr>
          <w:rFonts w:ascii="Arial" w:cs="Arial" w:eastAsia="Arial" w:hAnsi="Arial"/>
          <w:sz w:val="16"/>
          <w:szCs w:val="16"/>
          <w:color w:val="auto"/>
        </w:rPr>
      </w:pPr>
    </w:p>
    <w:p>
      <w:pPr>
        <w:ind w:left="1180" w:right="20" w:hanging="492"/>
        <w:spacing w:after="0" w:line="239"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and expect to continue to rely, on third parties to conduct our clinical trials and to manufacture our product candidates for pre-clinical and clinical testing, including our sole source of supply for each of our active pharmaceutical ingredients, and those third parties may not perform satisfactorily, which could delay our product development activities;</w:t>
      </w:r>
    </w:p>
    <w:p>
      <w:pPr>
        <w:spacing w:after="0" w:line="174" w:lineRule="exact"/>
        <w:rPr>
          <w:rFonts w:ascii="Arial" w:cs="Arial" w:eastAsia="Arial" w:hAnsi="Arial"/>
          <w:sz w:val="16"/>
          <w:szCs w:val="16"/>
          <w:color w:val="auto"/>
        </w:rPr>
      </w:pPr>
    </w:p>
    <w:p>
      <w:pPr>
        <w:ind w:left="1180" w:hanging="492"/>
        <w:spacing w:after="0" w:line="239"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of our product candidates have been licensed or acquired from other parties; if we are unable to adequately protect our product candidates, or to secure and maintain freedom to operate, others could preclude us from commercializing our product candidates or compete against us more directly;</w:t>
      </w:r>
    </w:p>
    <w:p>
      <w:pPr>
        <w:spacing w:after="0" w:line="174" w:lineRule="exact"/>
        <w:rPr>
          <w:rFonts w:ascii="Arial" w:cs="Arial" w:eastAsia="Arial" w:hAnsi="Arial"/>
          <w:sz w:val="16"/>
          <w:szCs w:val="16"/>
          <w:color w:val="auto"/>
        </w:rPr>
      </w:pPr>
    </w:p>
    <w:p>
      <w:pPr>
        <w:ind w:left="1180" w:hanging="492"/>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significant competition from other biotechnology and pharmaceutical companies;</w:t>
      </w:r>
    </w:p>
    <w:p>
      <w:pPr>
        <w:spacing w:after="0" w:line="189" w:lineRule="exact"/>
        <w:rPr>
          <w:rFonts w:ascii="Arial" w:cs="Arial" w:eastAsia="Arial" w:hAnsi="Arial"/>
          <w:sz w:val="16"/>
          <w:szCs w:val="16"/>
          <w:color w:val="auto"/>
        </w:rPr>
      </w:pPr>
    </w:p>
    <w:p>
      <w:pPr>
        <w:ind w:left="1180" w:right="360" w:hanging="492"/>
        <w:spacing w:after="0" w:line="241"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concentration of ownership of the voting power of our common shares may prevent new investors in this offering from influencing significant corporate decisions and may have an adverse effect on the price of our Class A common shares; and</w:t>
      </w:r>
    </w:p>
    <w:p>
      <w:pPr>
        <w:spacing w:after="0" w:line="173" w:lineRule="exact"/>
        <w:rPr>
          <w:rFonts w:ascii="Arial" w:cs="Arial" w:eastAsia="Arial" w:hAnsi="Arial"/>
          <w:sz w:val="16"/>
          <w:szCs w:val="16"/>
          <w:color w:val="auto"/>
        </w:rPr>
      </w:pPr>
    </w:p>
    <w:p>
      <w:pPr>
        <w:ind w:left="1180" w:right="40" w:hanging="492"/>
        <w:spacing w:after="0" w:line="239"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likely be classified as a passive foreign investment company and we believe we have been classified as a controlled foreign corporation in the current taxable year and may be classified as a passive foreign investment company or controlled foreign corporation in any future taxable year, which may result in adverse U.S. federal income tax consequences to U.S. holders of our Class A common shares.</w:t>
      </w:r>
    </w:p>
    <w:p>
      <w:pPr>
        <w:spacing w:after="0" w:line="200" w:lineRule="exact"/>
        <w:rPr>
          <w:sz w:val="20"/>
          <w:szCs w:val="20"/>
          <w:color w:val="auto"/>
        </w:rPr>
      </w:pP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5175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305" cy="517525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Corporate Information</w:t>
      </w:r>
    </w:p>
    <w:p>
      <w:pPr>
        <w:spacing w:after="0" w:line="210" w:lineRule="exact"/>
        <w:rPr>
          <w:sz w:val="20"/>
          <w:szCs w:val="20"/>
          <w:color w:val="auto"/>
        </w:rPr>
      </w:pPr>
    </w:p>
    <w:p>
      <w:pPr>
        <w:ind w:left="200" w:right="40" w:firstLine="436"/>
        <w:spacing w:after="0" w:line="258" w:lineRule="auto"/>
        <w:rPr>
          <w:sz w:val="20"/>
          <w:szCs w:val="20"/>
          <w:color w:val="auto"/>
        </w:rPr>
      </w:pPr>
      <w:r>
        <w:rPr>
          <w:rFonts w:ascii="Arial" w:cs="Arial" w:eastAsia="Arial" w:hAnsi="Arial"/>
          <w:sz w:val="15"/>
          <w:szCs w:val="15"/>
          <w:color w:val="auto"/>
        </w:rPr>
        <w:t xml:space="preserve">We are an exempted company incorporated under the laws of Bermuda in July 2015. Our registered office is located in Bermuda at Clarendon House, 2 Church Street, Hamilton HM11, Bermuda. The telephone number of our registered office is +1 (441) 295-5950. Our website address is </w:t>
      </w:r>
      <w:r>
        <w:rPr>
          <w:rFonts w:ascii="Arial" w:cs="Arial" w:eastAsia="Arial" w:hAnsi="Arial"/>
          <w:sz w:val="15"/>
          <w:szCs w:val="15"/>
          <w:i w:val="1"/>
          <w:iCs w:val="1"/>
          <w:color w:val="auto"/>
        </w:rPr>
        <w:t>www.kiniksa.com</w:t>
      </w:r>
      <w:r>
        <w:rPr>
          <w:rFonts w:ascii="Arial" w:cs="Arial" w:eastAsia="Arial" w:hAnsi="Arial"/>
          <w:sz w:val="15"/>
          <w:szCs w:val="15"/>
          <w:color w:val="auto"/>
        </w:rPr>
        <w:t>. The information contained on our website is not incorporated by reference into this prospectus, and you should not consider any information contained on, or that can be accessed through, our website as part of this prospectus or in deciding whether to purchase our Class A common shares.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210" w:lineRule="exact"/>
        <w:rPr>
          <w:sz w:val="20"/>
          <w:szCs w:val="20"/>
          <w:color w:val="auto"/>
        </w:rPr>
      </w:pPr>
    </w:p>
    <w:p>
      <w:pPr>
        <w:ind w:left="200" w:right="40" w:firstLine="436"/>
        <w:spacing w:after="0" w:line="239" w:lineRule="auto"/>
        <w:rPr>
          <w:sz w:val="20"/>
          <w:szCs w:val="20"/>
          <w:color w:val="auto"/>
        </w:rPr>
      </w:pPr>
      <w:r>
        <w:rPr>
          <w:rFonts w:ascii="Arial" w:cs="Arial" w:eastAsia="Arial" w:hAnsi="Arial"/>
          <w:sz w:val="16"/>
          <w:szCs w:val="16"/>
          <w:color w:val="auto"/>
        </w:rPr>
        <w:t>We qualify as an "emerging growth company" as defined in Section 2(a) of the Securities Act of 1933, as amended, or the Securities Act, as modified by the Jumpstart Our Business Startups Act of 2012, or the JOBS Act. An "emerging growth company" may take advantage of exemptions from some of the reporting requirements that are otherwise applicable to public companies. These exceptions include:</w:t>
      </w:r>
    </w:p>
    <w:p>
      <w:pPr>
        <w:spacing w:after="0" w:line="198" w:lineRule="exact"/>
        <w:rPr>
          <w:sz w:val="20"/>
          <w:szCs w:val="20"/>
          <w:color w:val="auto"/>
        </w:rPr>
      </w:pPr>
    </w:p>
    <w:p>
      <w:pPr>
        <w:ind w:left="1180" w:right="60" w:hanging="492"/>
        <w:spacing w:after="0" w:line="239"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74" w:lineRule="exact"/>
        <w:rPr>
          <w:rFonts w:ascii="Arial" w:cs="Arial" w:eastAsia="Arial" w:hAnsi="Arial"/>
          <w:sz w:val="16"/>
          <w:szCs w:val="16"/>
          <w:color w:val="auto"/>
        </w:rPr>
      </w:pPr>
    </w:p>
    <w:p>
      <w:pPr>
        <w:ind w:left="1180" w:hanging="492"/>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177" w:lineRule="exact"/>
        <w:rPr>
          <w:rFonts w:ascii="Arial" w:cs="Arial" w:eastAsia="Arial" w:hAnsi="Arial"/>
          <w:sz w:val="16"/>
          <w:szCs w:val="16"/>
          <w:color w:val="auto"/>
        </w:rPr>
      </w:pPr>
    </w:p>
    <w:p>
      <w:pPr>
        <w:ind w:left="1180" w:right="80" w:hanging="492"/>
        <w:spacing w:after="0" w:line="241"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exemption from compliance with the requirement of the Public Company Accounting Oversight Board regarding the communication of critical audit matters in the auditor's report on the financial statements;</w:t>
      </w:r>
    </w:p>
    <w:p>
      <w:pPr>
        <w:spacing w:after="0" w:line="185" w:lineRule="exact"/>
        <w:rPr>
          <w:rFonts w:ascii="Arial" w:cs="Arial" w:eastAsia="Arial" w:hAnsi="Arial"/>
          <w:sz w:val="16"/>
          <w:szCs w:val="16"/>
          <w:color w:val="auto"/>
        </w:rPr>
      </w:pPr>
    </w:p>
    <w:p>
      <w:pPr>
        <w:ind w:left="1180" w:hanging="492"/>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77" w:lineRule="exact"/>
        <w:rPr>
          <w:rFonts w:ascii="Arial" w:cs="Arial" w:eastAsia="Arial" w:hAnsi="Arial"/>
          <w:sz w:val="16"/>
          <w:szCs w:val="16"/>
          <w:color w:val="auto"/>
        </w:rPr>
      </w:pPr>
    </w:p>
    <w:p>
      <w:pPr>
        <w:ind w:left="1180" w:right="260" w:hanging="492"/>
        <w:spacing w:after="0" w:line="241"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shareholder approval of any golden parachute payments not previously approved.</w:t>
      </w:r>
    </w:p>
    <w:p>
      <w:pPr>
        <w:spacing w:after="0" w:line="185" w:lineRule="exact"/>
        <w:rPr>
          <w:sz w:val="20"/>
          <w:szCs w:val="20"/>
          <w:color w:val="auto"/>
        </w:rPr>
      </w:pPr>
    </w:p>
    <w:p>
      <w:pPr>
        <w:ind w:left="200" w:firstLine="436"/>
        <w:spacing w:after="0" w:line="236" w:lineRule="auto"/>
        <w:rPr>
          <w:sz w:val="20"/>
          <w:szCs w:val="20"/>
          <w:color w:val="auto"/>
        </w:rPr>
      </w:pPr>
      <w:r>
        <w:rPr>
          <w:rFonts w:ascii="Arial" w:cs="Arial" w:eastAsia="Arial" w:hAnsi="Arial"/>
          <w:sz w:val="16"/>
          <w:szCs w:val="16"/>
          <w:color w:val="auto"/>
        </w:rPr>
        <w:t>We may take advantage of these exemptions until the last day of our fiscal year following the fifth anniversary of the closing of this offering. However, we will cease to be an emerging growth company prior to the end of such five-year period if (i) we become a "large accelerated filer" as defined in Rule 12b-2 under the Securities Exchange Act of 1934, as amended, which would occur if the market value of our common equity held by non-affiliates exceeds</w:t>
      </w:r>
    </w:p>
    <w:p>
      <w:pPr>
        <w:ind w:left="200" w:right="280"/>
        <w:spacing w:after="0" w:line="241" w:lineRule="auto"/>
        <w:rPr>
          <w:sz w:val="20"/>
          <w:szCs w:val="20"/>
          <w:color w:val="auto"/>
        </w:rPr>
      </w:pPr>
      <w:r>
        <w:rPr>
          <w:rFonts w:ascii="Arial" w:cs="Arial" w:eastAsia="Arial" w:hAnsi="Arial"/>
          <w:sz w:val="16"/>
          <w:szCs w:val="16"/>
          <w:color w:val="auto"/>
        </w:rPr>
        <w:t>$700 million as of the last business day of our most recently completed second fiscal quarter; (ii) our annual gross revenue exceeds $1.07 billion; or (iii) we issue more than $1.0 billion of non-convertible debt in any three-year period.</w:t>
      </w:r>
    </w:p>
    <w:p>
      <w:pPr>
        <w:spacing w:after="0" w:line="185" w:lineRule="exact"/>
        <w:rPr>
          <w:sz w:val="20"/>
          <w:szCs w:val="20"/>
          <w:color w:val="auto"/>
        </w:rPr>
      </w:pPr>
    </w:p>
    <w:p>
      <w:pPr>
        <w:ind w:left="200" w:right="60" w:firstLine="436"/>
        <w:spacing w:after="0" w:line="239"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may elect to take advantage of other reduced reporting requirements in future filings. As a result, the information that we provide to our shareholders may be different than you might receive from other public reporting companies in which you hold equity interests.</w:t>
      </w:r>
    </w:p>
    <w:p>
      <w:pPr>
        <w:spacing w:after="0" w:line="186" w:lineRule="exact"/>
        <w:rPr>
          <w:sz w:val="20"/>
          <w:szCs w:val="20"/>
          <w:color w:val="auto"/>
        </w:rPr>
      </w:pPr>
    </w:p>
    <w:p>
      <w:pPr>
        <w:ind w:left="200" w:right="300" w:firstLine="436"/>
        <w:spacing w:after="0" w:line="239"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7266305" cy="5757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305" cy="575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11440"/>
          </w:cols>
          <w:pgMar w:left="240" w:top="142" w:right="219" w:bottom="1440" w:gutter="0" w:footer="0" w:header="0"/>
        </w:sectPr>
      </w:pPr>
    </w:p>
    <w:p>
      <w:pPr>
        <w:spacing w:after="0" w:line="22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Class A common shares offered by us</w:t>
      </w:r>
    </w:p>
    <w:p>
      <w:pPr>
        <w:spacing w:after="0" w:line="190" w:lineRule="exact"/>
        <w:rPr>
          <w:sz w:val="20"/>
          <w:szCs w:val="20"/>
          <w:color w:val="auto"/>
        </w:rPr>
      </w:pPr>
    </w:p>
    <w:p>
      <w:pPr>
        <w:ind w:left="1320"/>
        <w:spacing w:after="0" w:line="541" w:lineRule="auto"/>
        <w:rPr>
          <w:sz w:val="20"/>
          <w:szCs w:val="20"/>
          <w:color w:val="auto"/>
        </w:rPr>
      </w:pPr>
      <w:r>
        <w:rPr>
          <w:rFonts w:ascii="Arial" w:cs="Arial" w:eastAsia="Arial" w:hAnsi="Arial"/>
          <w:sz w:val="15"/>
          <w:szCs w:val="15"/>
          <w:color w:val="auto"/>
        </w:rPr>
        <w:t>Option to purchase additional Class A common shares Class A common shares to be outstanding after this offering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7,000,000 shares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1,050,000 shares</w:t>
      </w:r>
    </w:p>
    <w:p>
      <w:pPr>
        <w:spacing w:after="0" w:line="190" w:lineRule="exact"/>
        <w:rPr>
          <w:sz w:val="20"/>
          <w:szCs w:val="20"/>
          <w:color w:val="auto"/>
        </w:rPr>
      </w:pPr>
    </w:p>
    <w:p>
      <w:pPr>
        <w:ind w:right="1340"/>
        <w:spacing w:after="0" w:line="239" w:lineRule="auto"/>
        <w:rPr>
          <w:sz w:val="20"/>
          <w:szCs w:val="20"/>
          <w:color w:val="auto"/>
        </w:rPr>
      </w:pPr>
      <w:r>
        <w:rPr>
          <w:rFonts w:ascii="Arial" w:cs="Arial" w:eastAsia="Arial" w:hAnsi="Arial"/>
          <w:sz w:val="16"/>
          <w:szCs w:val="16"/>
          <w:color w:val="auto"/>
        </w:rPr>
        <w:t>13,270,569 shares (14,320,569 shares if the underwriters exercise their option to purchase additional Class A common shares in full)</w:t>
      </w:r>
    </w:p>
    <w:p>
      <w:pPr>
        <w:spacing w:after="0" w:line="186" w:lineRule="exact"/>
        <w:rPr>
          <w:sz w:val="20"/>
          <w:szCs w:val="20"/>
          <w:color w:val="auto"/>
        </w:rPr>
      </w:pPr>
    </w:p>
    <w:p>
      <w:pPr>
        <w:sectPr>
          <w:pgSz w:w="11900" w:h="16838" w:orient="portrait"/>
          <w:cols w:equalWidth="0" w:num="2">
            <w:col w:w="5460" w:space="440"/>
            <w:col w:w="5540"/>
          </w:cols>
          <w:pgMar w:left="240" w:top="142" w:right="21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Class B common shares to be outstanding after this offering</w:t>
      </w:r>
    </w:p>
    <w:p>
      <w:pPr>
        <w:spacing w:after="0" w:line="201" w:lineRule="exact"/>
        <w:rPr>
          <w:sz w:val="20"/>
          <w:szCs w:val="20"/>
          <w:color w:val="auto"/>
        </w:rPr>
      </w:pPr>
    </w:p>
    <w:p>
      <w:pPr>
        <w:ind w:left="1460" w:right="480" w:hanging="144"/>
        <w:spacing w:after="0" w:line="241" w:lineRule="auto"/>
        <w:rPr>
          <w:sz w:val="20"/>
          <w:szCs w:val="20"/>
          <w:color w:val="auto"/>
        </w:rPr>
      </w:pPr>
      <w:r>
        <w:rPr>
          <w:rFonts w:ascii="Arial" w:cs="Arial" w:eastAsia="Arial" w:hAnsi="Arial"/>
          <w:sz w:val="16"/>
          <w:szCs w:val="16"/>
          <w:color w:val="auto"/>
        </w:rPr>
        <w:t>Class A1 common shares to be outstanding after this offering</w:t>
      </w:r>
    </w:p>
    <w:p>
      <w:pPr>
        <w:spacing w:after="0" w:line="185" w:lineRule="exact"/>
        <w:rPr>
          <w:sz w:val="20"/>
          <w:szCs w:val="20"/>
          <w:color w:val="auto"/>
        </w:rPr>
      </w:pPr>
    </w:p>
    <w:p>
      <w:pPr>
        <w:ind w:left="1460" w:right="480" w:hanging="144"/>
        <w:spacing w:after="0" w:line="241" w:lineRule="auto"/>
        <w:rPr>
          <w:sz w:val="20"/>
          <w:szCs w:val="20"/>
          <w:color w:val="auto"/>
        </w:rPr>
      </w:pPr>
      <w:r>
        <w:rPr>
          <w:rFonts w:ascii="Arial" w:cs="Arial" w:eastAsia="Arial" w:hAnsi="Arial"/>
          <w:sz w:val="16"/>
          <w:szCs w:val="16"/>
          <w:color w:val="auto"/>
        </w:rPr>
        <w:t>Class B1 common shares to be outstanding after this offering</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Total common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4,638,855 shares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12,995,954 shares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16,057,618 shares</w:t>
      </w:r>
    </w:p>
    <w:p>
      <w:pPr>
        <w:spacing w:after="0" w:line="190" w:lineRule="exact"/>
        <w:rPr>
          <w:sz w:val="20"/>
          <w:szCs w:val="20"/>
          <w:color w:val="auto"/>
        </w:rPr>
      </w:pPr>
    </w:p>
    <w:p>
      <w:pPr>
        <w:ind w:right="1340"/>
        <w:spacing w:after="0" w:line="239" w:lineRule="auto"/>
        <w:rPr>
          <w:sz w:val="20"/>
          <w:szCs w:val="20"/>
          <w:color w:val="auto"/>
        </w:rPr>
      </w:pPr>
      <w:r>
        <w:rPr>
          <w:rFonts w:ascii="Arial" w:cs="Arial" w:eastAsia="Arial" w:hAnsi="Arial"/>
          <w:sz w:val="16"/>
          <w:szCs w:val="16"/>
          <w:color w:val="auto"/>
        </w:rPr>
        <w:t>46,962,996 shares (48,012,996 shares if the underwriters exercise their option to purchase additional Class A common shares in full)</w:t>
      </w:r>
    </w:p>
    <w:p>
      <w:pPr>
        <w:spacing w:after="0" w:line="183" w:lineRule="exact"/>
        <w:rPr>
          <w:sz w:val="20"/>
          <w:szCs w:val="20"/>
          <w:color w:val="auto"/>
        </w:rPr>
      </w:pPr>
    </w:p>
    <w:p>
      <w:pPr>
        <w:sectPr>
          <w:pgSz w:w="11900" w:h="16838" w:orient="portrait"/>
          <w:cols w:equalWidth="0" w:num="2">
            <w:col w:w="5460" w:space="440"/>
            <w:col w:w="5540"/>
          </w:cols>
          <w:pgMar w:left="240" w:top="142" w:right="2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4060" w:type="dxa"/>
            <w:vAlign w:val="bottom"/>
          </w:tcPr>
          <w:p>
            <w:pPr>
              <w:ind w:left="1320"/>
              <w:spacing w:after="0"/>
              <w:rPr>
                <w:sz w:val="20"/>
                <w:szCs w:val="20"/>
                <w:color w:val="auto"/>
              </w:rPr>
            </w:pPr>
            <w:r>
              <w:rPr>
                <w:rFonts w:ascii="Arial" w:cs="Arial" w:eastAsia="Arial" w:hAnsi="Arial"/>
                <w:sz w:val="16"/>
                <w:szCs w:val="16"/>
                <w:color w:val="auto"/>
              </w:rPr>
              <w:t>Voting rights</w:t>
            </w:r>
          </w:p>
        </w:tc>
        <w:tc>
          <w:tcPr>
            <w:tcW w:w="7380" w:type="dxa"/>
            <w:vAlign w:val="bottom"/>
          </w:tcPr>
          <w:p>
            <w:pPr>
              <w:ind w:left="1840"/>
              <w:spacing w:after="0"/>
              <w:rPr>
                <w:sz w:val="20"/>
                <w:szCs w:val="20"/>
                <w:color w:val="auto"/>
              </w:rPr>
            </w:pPr>
            <w:r>
              <w:rPr>
                <w:rFonts w:ascii="Arial" w:cs="Arial" w:eastAsia="Arial" w:hAnsi="Arial"/>
                <w:sz w:val="16"/>
                <w:szCs w:val="16"/>
                <w:color w:val="auto"/>
              </w:rPr>
              <w:t>Following this offering, we will have four classes of common</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shares outstanding: Class A common shares, Class A1</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common shares, Class B common shares and Class B1</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common shares. Each Class A common share will entitle its</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holder to one vote per Class A common share. Each Class B</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common share will entitle its holder to ten votes per Class B</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common share. Our Class A1 common shares and Class B1</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common shares will not have voting rights. Immediately</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following this offering, the holders of our Class A common</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shares will account for 22.2% of our aggregate voting power</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and the holders of our Class B common shares will account</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for the remaining 77.8% of our aggregate voting power. See</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"Principal Shareholders" and "Description of Share Capital"</w:t>
            </w:r>
          </w:p>
        </w:tc>
      </w:tr>
      <w:tr>
        <w:trPr>
          <w:trHeight w:val="188"/>
        </w:trPr>
        <w:tc>
          <w:tcPr>
            <w:tcW w:w="4060" w:type="dxa"/>
            <w:vAlign w:val="bottom"/>
          </w:tcPr>
          <w:p>
            <w:pPr>
              <w:spacing w:after="0"/>
              <w:rPr>
                <w:sz w:val="16"/>
                <w:szCs w:val="16"/>
                <w:color w:val="auto"/>
              </w:rPr>
            </w:pPr>
          </w:p>
        </w:tc>
        <w:tc>
          <w:tcPr>
            <w:tcW w:w="7380" w:type="dxa"/>
            <w:vAlign w:val="bottom"/>
          </w:tcPr>
          <w:p>
            <w:pPr>
              <w:ind w:left="1840"/>
              <w:spacing w:after="0"/>
              <w:rPr>
                <w:sz w:val="20"/>
                <w:szCs w:val="20"/>
                <w:color w:val="auto"/>
              </w:rPr>
            </w:pPr>
            <w:r>
              <w:rPr>
                <w:rFonts w:ascii="Arial" w:cs="Arial" w:eastAsia="Arial" w:hAnsi="Arial"/>
                <w:sz w:val="16"/>
                <w:szCs w:val="16"/>
                <w:color w:val="auto"/>
              </w:rPr>
              <w:t>for additional information.</w:t>
            </w:r>
          </w:p>
        </w:tc>
      </w:tr>
      <w:tr>
        <w:trPr>
          <w:trHeight w:val="367"/>
        </w:trPr>
        <w:tc>
          <w:tcPr>
            <w:tcW w:w="4060" w:type="dxa"/>
            <w:vAlign w:val="bottom"/>
          </w:tcPr>
          <w:p>
            <w:pPr>
              <w:ind w:left="1320"/>
              <w:spacing w:after="0"/>
              <w:rPr>
                <w:sz w:val="20"/>
                <w:szCs w:val="20"/>
                <w:color w:val="auto"/>
              </w:rPr>
            </w:pPr>
            <w:r>
              <w:rPr>
                <w:rFonts w:ascii="Arial" w:cs="Arial" w:eastAsia="Arial" w:hAnsi="Arial"/>
                <w:sz w:val="16"/>
                <w:szCs w:val="16"/>
                <w:color w:val="auto"/>
              </w:rPr>
              <w:t>Use of proceeds</w:t>
            </w:r>
          </w:p>
        </w:tc>
        <w:tc>
          <w:tcPr>
            <w:tcW w:w="7380" w:type="dxa"/>
            <w:vAlign w:val="bottom"/>
          </w:tcPr>
          <w:p>
            <w:pPr>
              <w:ind w:left="1840"/>
              <w:spacing w:after="0"/>
              <w:rPr>
                <w:sz w:val="20"/>
                <w:szCs w:val="20"/>
                <w:color w:val="auto"/>
              </w:rPr>
            </w:pPr>
            <w:r>
              <w:rPr>
                <w:rFonts w:ascii="Arial" w:cs="Arial" w:eastAsia="Arial" w:hAnsi="Arial"/>
                <w:sz w:val="16"/>
                <w:szCs w:val="16"/>
                <w:color w:val="auto"/>
              </w:rPr>
              <w:t>We estimate that the net proceeds from this offering will be</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approximately $113.4 million (or approximately $131.0</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million if the underwriters exercise their option to purchase</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additional Class A common shares in full), based on an</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assumed initial public offering price of $18.00 per share,</w:t>
            </w:r>
          </w:p>
        </w:tc>
      </w:tr>
      <w:tr>
        <w:trPr>
          <w:trHeight w:val="181"/>
        </w:trPr>
        <w:tc>
          <w:tcPr>
            <w:tcW w:w="4060" w:type="dxa"/>
            <w:vAlign w:val="bottom"/>
          </w:tcPr>
          <w:p>
            <w:pPr>
              <w:spacing w:after="0"/>
              <w:rPr>
                <w:sz w:val="15"/>
                <w:szCs w:val="15"/>
                <w:color w:val="auto"/>
              </w:rPr>
            </w:pPr>
          </w:p>
        </w:tc>
        <w:tc>
          <w:tcPr>
            <w:tcW w:w="7380" w:type="dxa"/>
            <w:vAlign w:val="bottom"/>
          </w:tcPr>
          <w:p>
            <w:pPr>
              <w:ind w:left="1840"/>
              <w:spacing w:after="0" w:line="181" w:lineRule="exact"/>
              <w:rPr>
                <w:sz w:val="20"/>
                <w:szCs w:val="20"/>
                <w:color w:val="auto"/>
              </w:rPr>
            </w:pPr>
            <w:r>
              <w:rPr>
                <w:rFonts w:ascii="Arial" w:cs="Arial" w:eastAsia="Arial" w:hAnsi="Arial"/>
                <w:sz w:val="16"/>
                <w:szCs w:val="16"/>
                <w:color w:val="auto"/>
              </w:rPr>
              <w:t>which is the midpoint of the price range set forth on the</w:t>
            </w:r>
          </w:p>
        </w:tc>
      </w:tr>
      <w:tr>
        <w:trPr>
          <w:trHeight w:val="188"/>
        </w:trPr>
        <w:tc>
          <w:tcPr>
            <w:tcW w:w="4060" w:type="dxa"/>
            <w:vAlign w:val="bottom"/>
          </w:tcPr>
          <w:p>
            <w:pPr>
              <w:spacing w:after="0"/>
              <w:rPr>
                <w:sz w:val="16"/>
                <w:szCs w:val="16"/>
                <w:color w:val="auto"/>
              </w:rPr>
            </w:pPr>
          </w:p>
        </w:tc>
        <w:tc>
          <w:tcPr>
            <w:tcW w:w="7380" w:type="dxa"/>
            <w:vAlign w:val="bottom"/>
          </w:tcPr>
          <w:p>
            <w:pPr>
              <w:ind w:left="1840"/>
              <w:spacing w:after="0"/>
              <w:rPr>
                <w:sz w:val="20"/>
                <w:szCs w:val="20"/>
                <w:color w:val="auto"/>
              </w:rPr>
            </w:pPr>
            <w:r>
              <w:rPr>
                <w:rFonts w:ascii="Arial" w:cs="Arial" w:eastAsia="Arial" w:hAnsi="Arial"/>
                <w:sz w:val="16"/>
                <w:szCs w:val="16"/>
                <w:color w:val="auto"/>
              </w:rPr>
              <w:t>cover page of this prospectus.</w:t>
            </w:r>
          </w:p>
        </w:tc>
      </w:tr>
      <w:tr>
        <w:trPr>
          <w:trHeight w:val="384"/>
        </w:trPr>
        <w:tc>
          <w:tcPr>
            <w:tcW w:w="40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380"/>
        </w:trPr>
        <w:tc>
          <w:tcPr>
            <w:tcW w:w="4060" w:type="dxa"/>
            <w:vAlign w:val="bottom"/>
          </w:tcPr>
          <w:p>
            <w:pPr>
              <w:spacing w:after="0"/>
              <w:rPr>
                <w:sz w:val="24"/>
                <w:szCs w:val="24"/>
                <w:color w:val="auto"/>
              </w:rPr>
            </w:pPr>
          </w:p>
        </w:tc>
        <w:tc>
          <w:tcPr>
            <w:tcW w:w="7380" w:type="dxa"/>
            <w:vAlign w:val="bottom"/>
          </w:tcPr>
          <w:p>
            <w:pPr>
              <w:ind w:left="1620"/>
              <w:spacing w:after="0"/>
              <w:rPr>
                <w:sz w:val="20"/>
                <w:szCs w:val="20"/>
                <w:color w:val="auto"/>
              </w:rPr>
            </w:pPr>
            <w:r>
              <w:rPr>
                <w:rFonts w:ascii="Arial" w:cs="Arial" w:eastAsia="Arial" w:hAnsi="Arial"/>
                <w:sz w:val="16"/>
                <w:szCs w:val="16"/>
                <w:color w:val="auto"/>
              </w:rPr>
              <w:t>8</w:t>
            </w:r>
          </w:p>
        </w:tc>
      </w:tr>
      <w:tr>
        <w:trPr>
          <w:trHeight w:val="191"/>
        </w:trPr>
        <w:tc>
          <w:tcPr>
            <w:tcW w:w="4060" w:type="dxa"/>
            <w:vAlign w:val="bottom"/>
            <w:tcBorders>
              <w:bottom w:val="single" w:sz="8" w:color="808080"/>
            </w:tcBorders>
          </w:tcPr>
          <w:p>
            <w:pPr>
              <w:spacing w:after="0"/>
              <w:rPr>
                <w:sz w:val="16"/>
                <w:szCs w:val="16"/>
                <w:color w:val="auto"/>
              </w:rPr>
            </w:pPr>
          </w:p>
        </w:tc>
        <w:tc>
          <w:tcPr>
            <w:tcW w:w="73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5512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305" cy="5512435"/>
                    </a:xfrm>
                    <a:prstGeom prst="rect">
                      <a:avLst/>
                    </a:prstGeom>
                    <a:noFill/>
                  </pic:spPr>
                </pic:pic>
              </a:graphicData>
            </a:graphic>
          </wp:anchor>
        </w:drawing>
      </w:r>
    </w:p>
    <w:p>
      <w:pPr>
        <w:spacing w:after="0" w:line="37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We intend to use the net proceeds from this offering to</w:t>
      </w:r>
    </w:p>
    <w:p>
      <w:pPr>
        <w:ind w:left="5900"/>
        <w:spacing w:after="0" w:line="236" w:lineRule="auto"/>
        <w:rPr>
          <w:sz w:val="20"/>
          <w:szCs w:val="20"/>
          <w:color w:val="auto"/>
        </w:rPr>
      </w:pPr>
      <w:r>
        <w:rPr>
          <w:rFonts w:ascii="Arial" w:cs="Arial" w:eastAsia="Arial" w:hAnsi="Arial"/>
          <w:sz w:val="16"/>
          <w:szCs w:val="16"/>
          <w:color w:val="auto"/>
        </w:rPr>
        <w:t>advance the clinical development of rilonacept,</w:t>
      </w:r>
    </w:p>
    <w:p>
      <w:pPr>
        <w:ind w:left="5900"/>
        <w:spacing w:after="0"/>
        <w:rPr>
          <w:sz w:val="20"/>
          <w:szCs w:val="20"/>
          <w:color w:val="auto"/>
        </w:rPr>
      </w:pPr>
      <w:r>
        <w:rPr>
          <w:rFonts w:ascii="Arial" w:cs="Arial" w:eastAsia="Arial" w:hAnsi="Arial"/>
          <w:sz w:val="15"/>
          <w:szCs w:val="15"/>
          <w:color w:val="auto"/>
        </w:rPr>
        <w:t>mavrilimumab and KPL-716, and to fund other research and</w:t>
      </w:r>
    </w:p>
    <w:p>
      <w:pPr>
        <w:spacing w:after="0" w:line="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development activities and for working capital and general</w:t>
      </w:r>
    </w:p>
    <w:p>
      <w:pPr>
        <w:ind w:left="5900"/>
        <w:spacing w:after="0" w:line="236" w:lineRule="auto"/>
        <w:rPr>
          <w:sz w:val="20"/>
          <w:szCs w:val="20"/>
          <w:color w:val="auto"/>
        </w:rPr>
      </w:pPr>
      <w:r>
        <w:rPr>
          <w:rFonts w:ascii="Arial" w:cs="Arial" w:eastAsia="Arial" w:hAnsi="Arial"/>
          <w:sz w:val="16"/>
          <w:szCs w:val="16"/>
          <w:color w:val="auto"/>
        </w:rPr>
        <w:t>corporate purposes. See "Use of Proceeds" beginning on</w:t>
      </w:r>
    </w:p>
    <w:p>
      <w:pPr>
        <w:ind w:left="5900"/>
        <w:spacing w:after="0"/>
        <w:rPr>
          <w:sz w:val="20"/>
          <w:szCs w:val="20"/>
          <w:color w:val="auto"/>
        </w:rPr>
      </w:pPr>
      <w:r>
        <w:rPr>
          <w:rFonts w:ascii="Arial" w:cs="Arial" w:eastAsia="Arial" w:hAnsi="Arial"/>
          <w:sz w:val="16"/>
          <w:szCs w:val="16"/>
          <w:color w:val="auto"/>
        </w:rPr>
        <w:t>page 83.</w:t>
      </w:r>
    </w:p>
    <w:p>
      <w:pPr>
        <w:sectPr>
          <w:pgSz w:w="11900" w:h="16838" w:orient="portrait"/>
          <w:cols w:equalWidth="0" w:num="1">
            <w:col w:w="11220"/>
          </w:cols>
          <w:pgMar w:left="240" w:top="142" w:right="439" w:bottom="1440" w:gutter="0" w:footer="0" w:header="0"/>
        </w:sectPr>
      </w:pPr>
    </w:p>
    <w:p>
      <w:pPr>
        <w:spacing w:after="0" w:line="19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See "Risk Factors" beginning on page 13 and the other</w:t>
      </w:r>
    </w:p>
    <w:p>
      <w:pPr>
        <w:spacing w:after="0"/>
        <w:rPr>
          <w:sz w:val="20"/>
          <w:szCs w:val="20"/>
          <w:color w:val="auto"/>
        </w:rPr>
      </w:pPr>
      <w:r>
        <w:rPr>
          <w:rFonts w:ascii="Arial" w:cs="Arial" w:eastAsia="Arial" w:hAnsi="Arial"/>
          <w:sz w:val="15"/>
          <w:szCs w:val="15"/>
          <w:color w:val="auto"/>
        </w:rPr>
        <w:t>information included in this prospectus for a discussion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factors you should consider carefully before deciding to</w:t>
      </w:r>
    </w:p>
    <w:p>
      <w:pPr>
        <w:spacing w:after="0"/>
        <w:rPr>
          <w:sz w:val="20"/>
          <w:szCs w:val="20"/>
          <w:color w:val="auto"/>
        </w:rPr>
      </w:pPr>
      <w:r>
        <w:rPr>
          <w:rFonts w:ascii="Arial" w:cs="Arial" w:eastAsia="Arial" w:hAnsi="Arial"/>
          <w:sz w:val="16"/>
          <w:szCs w:val="16"/>
          <w:color w:val="auto"/>
        </w:rPr>
        <w:t>invest in our Class A common shares.</w:t>
      </w:r>
    </w:p>
    <w:p>
      <w:pPr>
        <w:spacing w:after="0" w:line="190" w:lineRule="exact"/>
        <w:rPr>
          <w:sz w:val="20"/>
          <w:szCs w:val="20"/>
          <w:color w:val="auto"/>
        </w:rPr>
      </w:pPr>
    </w:p>
    <w:p>
      <w:pPr>
        <w:sectPr>
          <w:pgSz w:w="11900" w:h="16838" w:orient="portrait"/>
          <w:cols w:equalWidth="0" w:num="2">
            <w:col w:w="5180" w:space="720"/>
            <w:col w:w="5320"/>
          </w:cols>
          <w:pgMar w:left="240" w:top="142" w:right="439" w:bottom="1440" w:gutter="0" w:footer="0" w:header="0"/>
          <w:type w:val="continuous"/>
        </w:sectPr>
      </w:pPr>
    </w:p>
    <w:p>
      <w:pPr>
        <w:jc w:val="center"/>
        <w:ind w:left="740"/>
        <w:spacing w:after="0"/>
        <w:rPr>
          <w:sz w:val="20"/>
          <w:szCs w:val="20"/>
          <w:color w:val="auto"/>
        </w:rPr>
      </w:pPr>
      <w:r>
        <w:rPr>
          <w:rFonts w:ascii="Arial" w:cs="Arial" w:eastAsia="Arial" w:hAnsi="Arial"/>
          <w:sz w:val="15"/>
          <w:szCs w:val="15"/>
          <w:color w:val="auto"/>
        </w:rPr>
        <w:t>Proposed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"KNSA"</w:t>
      </w:r>
    </w:p>
    <w:p>
      <w:pPr>
        <w:spacing w:after="0" w:line="200" w:lineRule="exact"/>
        <w:rPr>
          <w:sz w:val="20"/>
          <w:szCs w:val="20"/>
          <w:color w:val="auto"/>
        </w:rPr>
      </w:pPr>
    </w:p>
    <w:p>
      <w:pPr>
        <w:sectPr>
          <w:pgSz w:w="11900" w:h="16838" w:orient="portrait"/>
          <w:cols w:equalWidth="0" w:num="2">
            <w:col w:w="5180" w:space="720"/>
            <w:col w:w="5320"/>
          </w:cols>
          <w:pgMar w:left="240" w:top="142" w:right="439" w:bottom="1440" w:gutter="0" w:footer="0" w:header="0"/>
          <w:type w:val="continuous"/>
        </w:sectPr>
      </w:pPr>
    </w:p>
    <w:p>
      <w:pPr>
        <w:spacing w:after="0" w:line="1" w:lineRule="exact"/>
        <w:rPr>
          <w:sz w:val="20"/>
          <w:szCs w:val="20"/>
          <w:color w:val="auto"/>
        </w:rPr>
      </w:pPr>
    </w:p>
    <w:p>
      <w:pPr>
        <w:ind w:left="200" w:right="20" w:firstLine="433"/>
        <w:spacing w:after="0" w:line="238" w:lineRule="auto"/>
        <w:rPr>
          <w:sz w:val="20"/>
          <w:szCs w:val="20"/>
          <w:color w:val="auto"/>
        </w:rPr>
      </w:pPr>
      <w:r>
        <w:rPr>
          <w:rFonts w:ascii="Arial" w:cs="Arial" w:eastAsia="Arial" w:hAnsi="Arial"/>
          <w:sz w:val="16"/>
          <w:szCs w:val="16"/>
          <w:color w:val="auto"/>
        </w:rPr>
        <w:t>The total number of common shares to be outstanding after this offering is based on 6,270,569 Class A common shares and 4,638,855 Class B common shares outstanding as of March 31, 2018 and includes the conversion of all of our preferred shares outstanding as of March 31, 2018 into 5,546,019 Class A common shares, 1,070,502 Class B common shares, 12,995,954 Class A1 common shares and 16,057,618 Class B1 common shares, in each case upon the closing of this offering. This amount excludes:</w:t>
      </w:r>
    </w:p>
    <w:p>
      <w:pPr>
        <w:spacing w:after="0" w:line="199" w:lineRule="exact"/>
        <w:rPr>
          <w:sz w:val="20"/>
          <w:szCs w:val="20"/>
          <w:color w:val="auto"/>
        </w:rPr>
      </w:pPr>
    </w:p>
    <w:p>
      <w:pPr>
        <w:ind w:left="1180" w:right="200" w:hanging="492"/>
        <w:spacing w:after="0" w:line="241"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4,702,190 Class A common shares issuable upon exercise of share options outstanding as of March 31, 2018, at a weighted average exercise price of $5.41 per share;</w:t>
      </w:r>
    </w:p>
    <w:p>
      <w:pPr>
        <w:spacing w:after="0" w:line="173" w:lineRule="exact"/>
        <w:rPr>
          <w:rFonts w:ascii="Arial" w:cs="Arial" w:eastAsia="Arial" w:hAnsi="Arial"/>
          <w:sz w:val="16"/>
          <w:szCs w:val="16"/>
          <w:color w:val="auto"/>
        </w:rPr>
      </w:pPr>
    </w:p>
    <w:p>
      <w:pPr>
        <w:ind w:left="1180" w:hanging="492"/>
        <w:spacing w:after="0" w:line="237"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4,466,500 Class A common shares that will become available for future issuance under our 2018 Incentive Award Plan, or 2018 Plan, which will become effective in connection with this offering, as well as common shares that become available pursuant to provisions in the 2018 Plan that automatically increase the share reserve under the 2018 Plan as described in "Executive and Director Compensation — Executive Compensation Plans — 2018 Incentive Award Plan" (including 122,971 Class A common shares issuable upon exercise of share options that will be granted to certain of our directors and employees, at an exercise price per share equal to the initial public offering price of our Class A common shares in this offering); and</w:t>
      </w:r>
    </w:p>
    <w:p>
      <w:pPr>
        <w:spacing w:after="0" w:line="176" w:lineRule="exact"/>
        <w:rPr>
          <w:rFonts w:ascii="Arial" w:cs="Arial" w:eastAsia="Arial" w:hAnsi="Arial"/>
          <w:sz w:val="16"/>
          <w:szCs w:val="16"/>
          <w:color w:val="auto"/>
        </w:rPr>
      </w:pPr>
    </w:p>
    <w:p>
      <w:pPr>
        <w:ind w:left="1180" w:right="40" w:hanging="492"/>
        <w:spacing w:after="0" w:line="238"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670,000 Class A common shares that will become available for future issuance under our 2018 Employee Share Purchase Plan, or the ESPP, which will become effective in connection with this offering, as well as common shares that become available pursuant to provisions in the ESPP that automatically increase the share reserve under the ESPP as described in "Executive and Director Compensation — Executive Compensation Plans — 2018 Employee Share Purchase Plan".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Unless otherwise indicated, this prospectus reflects and assumes the following:</w:t>
      </w:r>
    </w:p>
    <w:p>
      <w:pPr>
        <w:spacing w:after="0" w:line="202" w:lineRule="exact"/>
        <w:rPr>
          <w:sz w:val="20"/>
          <w:szCs w:val="20"/>
          <w:color w:val="auto"/>
        </w:rPr>
      </w:pPr>
    </w:p>
    <w:p>
      <w:pPr>
        <w:ind w:left="1180" w:hanging="492"/>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1-for-2.73235 reverse share split of our common and preferred shares effected on May 11, 2018;</w:t>
      </w:r>
    </w:p>
    <w:p>
      <w:pPr>
        <w:spacing w:after="0" w:line="177" w:lineRule="exact"/>
        <w:rPr>
          <w:rFonts w:ascii="Arial" w:cs="Arial" w:eastAsia="Arial" w:hAnsi="Arial"/>
          <w:sz w:val="16"/>
          <w:szCs w:val="16"/>
          <w:color w:val="auto"/>
        </w:rPr>
      </w:pPr>
    </w:p>
    <w:p>
      <w:pPr>
        <w:ind w:left="1180" w:right="180" w:hanging="492"/>
        <w:spacing w:after="0" w:line="241"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conversion of all of our preferred shares into 5,546,019 Class A common shares, 12,995,954 Class A1 common shares, 1,070,502 Class B common shares and 16,057,618 Class B1 common shares, in each case upon the closing of this offering;</w:t>
      </w:r>
    </w:p>
    <w:p>
      <w:pPr>
        <w:spacing w:after="0" w:line="173" w:lineRule="exact"/>
        <w:rPr>
          <w:rFonts w:ascii="Arial" w:cs="Arial" w:eastAsia="Arial" w:hAnsi="Arial"/>
          <w:sz w:val="16"/>
          <w:szCs w:val="16"/>
          <w:color w:val="auto"/>
        </w:rPr>
      </w:pPr>
    </w:p>
    <w:p>
      <w:pPr>
        <w:ind w:left="1180" w:hanging="492"/>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exercise of outstanding share options after March 31, 2018;</w:t>
      </w:r>
    </w:p>
    <w:p>
      <w:pPr>
        <w:spacing w:after="0" w:line="189" w:lineRule="exact"/>
        <w:rPr>
          <w:rFonts w:ascii="Arial" w:cs="Arial" w:eastAsia="Arial" w:hAnsi="Arial"/>
          <w:sz w:val="16"/>
          <w:szCs w:val="16"/>
          <w:color w:val="auto"/>
        </w:rPr>
      </w:pPr>
    </w:p>
    <w:p>
      <w:pPr>
        <w:ind w:left="1180" w:hanging="492"/>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effectiveness of our amended and restated bye-laws immediately following the closing of this offering; and</w:t>
      </w: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13303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6305" cy="133032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180" w:hanging="492"/>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additional Class A common shares.</w:t>
      </w:r>
    </w:p>
    <w:p>
      <w:pPr>
        <w:spacing w:after="0" w:line="190" w:lineRule="exact"/>
        <w:rPr>
          <w:sz w:val="20"/>
          <w:szCs w:val="20"/>
          <w:color w:val="auto"/>
        </w:rPr>
      </w:pPr>
    </w:p>
    <w:p>
      <w:pPr>
        <w:ind w:left="200" w:firstLine="436"/>
        <w:spacing w:after="0" w:line="257" w:lineRule="auto"/>
        <w:rPr>
          <w:sz w:val="20"/>
          <w:szCs w:val="20"/>
          <w:color w:val="auto"/>
        </w:rPr>
      </w:pPr>
      <w:r>
        <w:rPr>
          <w:rFonts w:ascii="Arial" w:cs="Arial" w:eastAsia="Arial" w:hAnsi="Arial"/>
          <w:sz w:val="15"/>
          <w:szCs w:val="15"/>
          <w:color w:val="auto"/>
        </w:rPr>
        <w:t>Certain of our existing shareholders, including shareholders affiliated with certain of our directors, have indicated an interest in purchasing an aggregate of approximately $50.0 million of Class A common shares in this offering at the initial public offering price per share. However, because indications of interest are not binding agreements or commitments to purchase, the underwriters may determine to sell more, less or no shares in this offering to any of these existing shareholders, or any of these existing shareholders may determine to purchase more, less or no shares in this offering. The underwriters will receive the same underwriting discount on any shares purchased by these existing shareholders as they will on any other shares sold to the public in this offering.</w:t>
      </w:r>
    </w:p>
    <w:p>
      <w:pPr>
        <w:spacing w:after="0" w:line="200" w:lineRule="exact"/>
        <w:rPr>
          <w:sz w:val="20"/>
          <w:szCs w:val="20"/>
          <w:color w:val="auto"/>
        </w:rPr>
      </w:pPr>
    </w:p>
    <w:p>
      <w:pPr>
        <w:spacing w:after="0" w:line="37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140"/>
          </w:cols>
          <w:pgMar w:left="240" w:top="142" w:right="5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7266305" cy="5236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6305" cy="523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SUMMARY CONSOLIDATED FINANCIAL DATA</w:t>
      </w:r>
    </w:p>
    <w:p>
      <w:pPr>
        <w:spacing w:after="0" w:line="210" w:lineRule="exact"/>
        <w:rPr>
          <w:sz w:val="20"/>
          <w:szCs w:val="20"/>
          <w:color w:val="auto"/>
        </w:rPr>
      </w:pPr>
    </w:p>
    <w:p>
      <w:pPr>
        <w:ind w:left="200" w:right="40" w:firstLine="433"/>
        <w:spacing w:after="0" w:line="254" w:lineRule="auto"/>
        <w:rPr>
          <w:sz w:val="20"/>
          <w:szCs w:val="20"/>
          <w:color w:val="auto"/>
        </w:rPr>
      </w:pPr>
      <w:r>
        <w:rPr>
          <w:rFonts w:ascii="Arial" w:cs="Arial" w:eastAsia="Arial" w:hAnsi="Arial"/>
          <w:sz w:val="15"/>
          <w:szCs w:val="15"/>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December 31, 2016 and 2017 from our audited consolidated financial statements appearing at the end of this prospectus. We have derived the consolidated statement of operations data for the three months ended March 31, 2017 and 2018 and the consolidated balance sheet data as of March 31, 2018 from our unaudited consolidated financial statements appearing at the end of this prospectus, which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results that may be expected in any future period, and our results for any interim period are not necessarily indicative of results that may be expected for any full year.</w:t>
      </w:r>
    </w:p>
    <w:p>
      <w:pPr>
        <w:spacing w:after="0" w:line="158" w:lineRule="exact"/>
        <w:rPr>
          <w:sz w:val="20"/>
          <w:szCs w:val="20"/>
          <w:color w:val="auto"/>
        </w:rPr>
      </w:pPr>
    </w:p>
    <w:tbl>
      <w:tblPr>
        <w:tblLayout w:type="fixed"/>
        <w:tblInd w:w="132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7"/>
              </w:rPr>
              <w:t>Year Ended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6"/>
          </w:tcPr>
          <w:p>
            <w:pPr>
              <w:jc w:val="right"/>
              <w:ind w:right="8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97"/>
        </w:trPr>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gridSpan w:val="14"/>
          </w:tcPr>
          <w:p>
            <w:pPr>
              <w:jc w:val="center"/>
              <w:ind w:right="220"/>
              <w:spacing w:after="0"/>
              <w:rPr>
                <w:sz w:val="20"/>
                <w:szCs w:val="20"/>
                <w:color w:val="auto"/>
              </w:rPr>
            </w:pPr>
            <w:r>
              <w:rPr>
                <w:rFonts w:ascii="Arial" w:cs="Arial" w:eastAsia="Arial" w:hAnsi="Arial"/>
                <w:sz w:val="16"/>
                <w:szCs w:val="16"/>
                <w:b w:val="1"/>
                <w:bCs w:val="1"/>
                <w:color w:val="auto"/>
                <w:w w:val="97"/>
              </w:rPr>
              <w:t>(in thousands, except share and per share data)</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Statement of Operations Data:</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gridSpan w:val="2"/>
          </w:tcPr>
          <w:p>
            <w:pPr>
              <w:spacing w:after="0" w:line="181" w:lineRule="exact"/>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ind w:left="160"/>
              <w:spacing w:after="0" w:line="181" w:lineRule="exact"/>
              <w:rPr>
                <w:sz w:val="20"/>
                <w:szCs w:val="20"/>
                <w:color w:val="auto"/>
              </w:rPr>
            </w:pPr>
            <w:r>
              <w:rPr>
                <w:rFonts w:ascii="Arial" w:cs="Arial" w:eastAsia="Arial" w:hAnsi="Arial"/>
                <w:sz w:val="16"/>
                <w:szCs w:val="16"/>
                <w:color w:val="auto"/>
              </w:rPr>
              <w:t>Research and development</w:t>
            </w:r>
          </w:p>
        </w:tc>
        <w:tc>
          <w:tcPr>
            <w:tcW w:w="2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17,439</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56,357</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center"/>
              <w:ind w:right="20"/>
              <w:spacing w:after="0" w:line="181"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3,145</w:t>
            </w: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12,630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80" w:type="dxa"/>
            <w:vAlign w:val="bottom"/>
            <w:gridSpan w:val="2"/>
          </w:tcPr>
          <w:p>
            <w:pPr>
              <w:ind w:left="160"/>
              <w:spacing w:after="0" w:line="181" w:lineRule="exact"/>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6,563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9,043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1,903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3,710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80" w:type="dxa"/>
            <w:vAlign w:val="bottom"/>
            <w:gridSpan w:val="2"/>
            <w:shd w:val="clear" w:color="auto" w:fill="CCEEFF"/>
          </w:tcPr>
          <w:p>
            <w:pPr>
              <w:ind w:left="320"/>
              <w:spacing w:after="0" w:line="173" w:lineRule="exact"/>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24,002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65,400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5,048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16,340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80" w:type="dxa"/>
            <w:vAlign w:val="bottom"/>
            <w:gridSpan w:val="2"/>
          </w:tcPr>
          <w:p>
            <w:pPr>
              <w:spacing w:after="0" w:line="173" w:lineRule="exact"/>
              <w:rPr>
                <w:sz w:val="20"/>
                <w:szCs w:val="20"/>
                <w:color w:val="auto"/>
              </w:rPr>
            </w:pPr>
            <w:r>
              <w:rPr>
                <w:rFonts w:ascii="Arial" w:cs="Arial" w:eastAsia="Arial" w:hAnsi="Arial"/>
                <w:sz w:val="16"/>
                <w:szCs w:val="16"/>
                <w:color w:val="auto"/>
              </w:rPr>
              <w:t>Loss from operations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(24,002)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(65,400)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(5,048)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(16,340)</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305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80" w:type="dxa"/>
            <w:vAlign w:val="bottom"/>
            <w:gridSpan w:val="2"/>
          </w:tcPr>
          <w:p>
            <w:pPr>
              <w:spacing w:after="0" w:line="173" w:lineRule="exact"/>
              <w:rPr>
                <w:sz w:val="20"/>
                <w:szCs w:val="20"/>
                <w:color w:val="auto"/>
              </w:rPr>
            </w:pPr>
            <w:r>
              <w:rPr>
                <w:rFonts w:ascii="Arial" w:cs="Arial" w:eastAsia="Arial" w:hAnsi="Arial"/>
                <w:sz w:val="16"/>
                <w:szCs w:val="16"/>
                <w:color w:val="auto"/>
              </w:rPr>
              <w:t>Loss before benefit (provision) for income taxes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(23,937)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(64,871)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(4,974)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(16,035)</w:t>
            </w:r>
          </w:p>
        </w:tc>
        <w:tc>
          <w:tcPr>
            <w:tcW w:w="0" w:type="dxa"/>
            <w:vAlign w:val="bottom"/>
          </w:tcPr>
          <w:p>
            <w:pPr>
              <w:spacing w:after="0"/>
              <w:rPr>
                <w:sz w:val="1"/>
                <w:szCs w:val="1"/>
                <w:color w:val="auto"/>
              </w:rPr>
            </w:pPr>
          </w:p>
        </w:tc>
      </w:tr>
      <w:tr>
        <w:trPr>
          <w:trHeight w:val="181"/>
        </w:trPr>
        <w:tc>
          <w:tcPr>
            <w:tcW w:w="44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Benefit (provision) for income taxes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line="173" w:lineRule="exact"/>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(23,973)</w:t>
            </w:r>
          </w:p>
        </w:tc>
        <w:tc>
          <w:tcPr>
            <w:tcW w:w="180" w:type="dxa"/>
            <w:vAlign w:val="bottom"/>
            <w:gridSpan w:val="2"/>
          </w:tcPr>
          <w:p>
            <w:pPr>
              <w:jc w:val="center"/>
              <w:spacing w:after="0" w:line="173"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(64,873)</w:t>
            </w:r>
          </w:p>
        </w:tc>
        <w:tc>
          <w:tcPr>
            <w:tcW w:w="200" w:type="dxa"/>
            <w:vAlign w:val="bottom"/>
            <w:gridSpan w:val="2"/>
          </w:tcPr>
          <w:p>
            <w:pPr>
              <w:jc w:val="center"/>
              <w:ind w:right="20"/>
              <w:spacing w:after="0" w:line="173"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(4,941)</w:t>
            </w:r>
          </w:p>
        </w:tc>
        <w:tc>
          <w:tcPr>
            <w:tcW w:w="20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8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w w:val="99"/>
              </w:rPr>
              <w:t>Net loss per share attributable to common shareholders—basic</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80" w:type="dxa"/>
            <w:vAlign w:val="bottom"/>
            <w:gridSpan w:val="2"/>
            <w:shd w:val="clear" w:color="auto" w:fill="CCEEFF"/>
          </w:tcPr>
          <w:p>
            <w:pPr>
              <w:ind w:left="160"/>
              <w:spacing w:after="0" w:line="214" w:lineRule="exact"/>
              <w:rPr>
                <w:sz w:val="20"/>
                <w:szCs w:val="20"/>
                <w:color w:val="auto"/>
              </w:rPr>
            </w:pPr>
            <w:r>
              <w:rPr>
                <w:rFonts w:ascii="Arial" w:cs="Arial" w:eastAsia="Arial" w:hAnsi="Arial"/>
                <w:sz w:val="15"/>
                <w:szCs w:val="15"/>
                <w:color w:val="auto"/>
              </w:rPr>
              <w:t>and diluted</w:t>
            </w:r>
            <w:r>
              <w:rPr>
                <w:rFonts w:ascii="Arial" w:cs="Arial" w:eastAsia="Arial" w:hAnsi="Arial"/>
                <w:sz w:val="24"/>
                <w:szCs w:val="24"/>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(91.61)</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(35.85)</w:t>
            </w:r>
          </w:p>
        </w:tc>
        <w:tc>
          <w:tcPr>
            <w:tcW w:w="20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common shares outstanding—basic and</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ind w:left="160"/>
              <w:spacing w:after="0" w:line="214" w:lineRule="exact"/>
              <w:rPr>
                <w:sz w:val="20"/>
                <w:szCs w:val="20"/>
                <w:color w:val="auto"/>
              </w:rPr>
            </w:pPr>
            <w:r>
              <w:rPr>
                <w:rFonts w:ascii="Arial" w:cs="Arial" w:eastAsia="Arial" w:hAnsi="Arial"/>
                <w:sz w:val="15"/>
                <w:szCs w:val="15"/>
                <w:color w:val="auto"/>
              </w:rPr>
              <w:t>diluted</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1,405,400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2,478,903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8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Pro forma net loss per share attributable to common</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80" w:type="dxa"/>
            <w:vAlign w:val="bottom"/>
            <w:gridSpan w:val="2"/>
            <w:shd w:val="clear" w:color="auto" w:fill="CCEEFF"/>
          </w:tcPr>
          <w:p>
            <w:pPr>
              <w:ind w:left="160"/>
              <w:spacing w:after="0" w:line="214" w:lineRule="exact"/>
              <w:rPr>
                <w:sz w:val="20"/>
                <w:szCs w:val="20"/>
                <w:color w:val="auto"/>
              </w:rPr>
            </w:pPr>
            <w:r>
              <w:rPr>
                <w:rFonts w:ascii="Arial" w:cs="Arial" w:eastAsia="Arial" w:hAnsi="Arial"/>
                <w:sz w:val="15"/>
                <w:szCs w:val="15"/>
                <w:color w:val="auto"/>
              </w:rPr>
              <w:t>shareholders—basic and diluted (unaudited)</w:t>
            </w:r>
            <w:r>
              <w:rPr>
                <w:rFonts w:ascii="Arial" w:cs="Arial" w:eastAsia="Arial" w:hAnsi="Arial"/>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6"/>
                <w:szCs w:val="16"/>
                <w:color w:val="auto"/>
              </w:rPr>
              <w:t>Pro forma weighted average common shares outstanding—</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ind w:left="160"/>
              <w:spacing w:after="0" w:line="214" w:lineRule="exact"/>
              <w:rPr>
                <w:sz w:val="20"/>
                <w:szCs w:val="20"/>
                <w:color w:val="auto"/>
              </w:rPr>
            </w:pPr>
            <w:r>
              <w:rPr>
                <w:rFonts w:ascii="Arial" w:cs="Arial" w:eastAsia="Arial" w:hAnsi="Arial"/>
                <w:sz w:val="15"/>
                <w:szCs w:val="15"/>
                <w:color w:val="auto"/>
              </w:rPr>
              <w:t>basic and diluted (unaudited)</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23,638,410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32,466,951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900" w:type="dxa"/>
            <w:vAlign w:val="bottom"/>
            <w:tcBorders>
              <w:bottom w:val="single" w:sz="8" w:color="auto"/>
            </w:tcBorders>
          </w:tcPr>
          <w:p>
            <w:pPr>
              <w:spacing w:after="0"/>
              <w:rPr>
                <w:sz w:val="6"/>
                <w:szCs w:val="6"/>
                <w:color w:val="auto"/>
              </w:rPr>
            </w:pPr>
          </w:p>
        </w:tc>
        <w:tc>
          <w:tcPr>
            <w:tcW w:w="3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780" w:hanging="473"/>
        <w:spacing w:after="0" w:line="195" w:lineRule="auto"/>
        <w:tabs>
          <w:tab w:leader="none" w:pos="1780" w:val="left"/>
        </w:tabs>
        <w:numPr>
          <w:ilvl w:val="0"/>
          <w:numId w:val="10"/>
        </w:numPr>
        <w:rPr>
          <w:rFonts w:ascii="Arial" w:cs="Arial" w:eastAsia="Arial" w:hAnsi="Arial"/>
          <w:sz w:val="19"/>
          <w:szCs w:val="19"/>
          <w:color w:val="auto"/>
          <w:vertAlign w:val="superscript"/>
        </w:rPr>
      </w:pPr>
      <w:r>
        <w:rPr>
          <w:rFonts w:ascii="Arial" w:cs="Arial" w:eastAsia="Arial" w:hAnsi="Arial"/>
          <w:sz w:val="13"/>
          <w:szCs w:val="13"/>
          <w:color w:val="auto"/>
        </w:rPr>
        <w:t>See Note 11 to our consolidated financial statements included elsewhere in this prospectus for further details on the calculation of basic and diluted net loss per share attributable to common shareholders and on the calculation of pro forma basic and diluted net loss per share attributable to common shareholders.</w:t>
      </w: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3604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305" cy="3604895"/>
                    </a:xfrm>
                    <a:prstGeom prst="rect">
                      <a:avLst/>
                    </a:prstGeom>
                    <a:noFill/>
                  </pic:spPr>
                </pic:pic>
              </a:graphicData>
            </a:graphic>
          </wp:anchor>
        </w:drawing>
      </w:r>
    </w:p>
    <w:p>
      <w:pPr>
        <w:spacing w:after="0" w:line="367" w:lineRule="exact"/>
        <w:rPr>
          <w:sz w:val="20"/>
          <w:szCs w:val="20"/>
          <w:color w:val="auto"/>
        </w:rPr>
      </w:pPr>
    </w:p>
    <w:tbl>
      <w:tblPr>
        <w:tblLayout w:type="fixed"/>
        <w:tblInd w:w="1320" w:type="dxa"/>
        <w:tblCellMar>
          <w:top w:w="0" w:type="dxa"/>
          <w:left w:w="0" w:type="dxa"/>
          <w:bottom w:w="0" w:type="dxa"/>
          <w:right w:w="0" w:type="dxa"/>
        </w:tblCellMar>
      </w:tblPr>
      <w:tr>
        <w:trPr>
          <w:trHeight w:val="202"/>
        </w:trPr>
        <w:tc>
          <w:tcPr>
            <w:tcW w:w="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262"/>
              <w:spacing w:after="0"/>
              <w:rPr>
                <w:sz w:val="20"/>
                <w:szCs w:val="20"/>
                <w:color w:val="auto"/>
              </w:rPr>
            </w:pPr>
            <w:r>
              <w:rPr>
                <w:rFonts w:ascii="Arial" w:cs="Arial" w:eastAsia="Arial" w:hAnsi="Arial"/>
                <w:sz w:val="16"/>
                <w:szCs w:val="16"/>
                <w:b w:val="1"/>
                <w:bCs w:val="1"/>
                <w:color w:val="auto"/>
                <w:w w:val="97"/>
              </w:rPr>
              <w:t>As of March 31, 2018</w:t>
            </w:r>
          </w:p>
        </w:tc>
        <w:tc>
          <w:tcPr>
            <w:tcW w:w="1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67"/>
        </w:trPr>
        <w:tc>
          <w:tcPr>
            <w:tcW w:w="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382"/>
              <w:spacing w:after="0" w:line="168" w:lineRule="exact"/>
              <w:rPr>
                <w:sz w:val="20"/>
                <w:szCs w:val="20"/>
                <w:color w:val="auto"/>
              </w:rPr>
            </w:pPr>
            <w:r>
              <w:rPr>
                <w:rFonts w:ascii="Arial" w:cs="Arial" w:eastAsia="Arial" w:hAnsi="Arial"/>
                <w:sz w:val="16"/>
                <w:szCs w:val="16"/>
                <w:b w:val="1"/>
                <w:bCs w:val="1"/>
                <w:color w:val="auto"/>
              </w:rPr>
              <w:t>Pro Forma</w:t>
            </w:r>
          </w:p>
        </w:tc>
        <w:tc>
          <w:tcPr>
            <w:tcW w:w="140" w:type="dxa"/>
            <w:vAlign w:val="bottom"/>
          </w:tcPr>
          <w:p>
            <w:pPr>
              <w:spacing w:after="0"/>
              <w:rPr>
                <w:sz w:val="14"/>
                <w:szCs w:val="14"/>
                <w:color w:val="auto"/>
              </w:rPr>
            </w:pPr>
          </w:p>
        </w:tc>
      </w:tr>
      <w:tr>
        <w:trPr>
          <w:trHeight w:val="235"/>
        </w:trPr>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82"/>
              <w:spacing w:after="0" w:line="231" w:lineRule="exact"/>
              <w:rPr>
                <w:sz w:val="20"/>
                <w:szCs w:val="20"/>
                <w:color w:val="auto"/>
              </w:rPr>
            </w:pPr>
            <w:r>
              <w:rPr>
                <w:rFonts w:ascii="Arial" w:cs="Arial" w:eastAsia="Arial" w:hAnsi="Arial"/>
                <w:sz w:val="16"/>
                <w:szCs w:val="16"/>
                <w:b w:val="1"/>
                <w:bCs w:val="1"/>
                <w:color w:val="auto"/>
              </w:rPr>
              <w:t>Pro Forma</w:t>
            </w:r>
            <w:r>
              <w:rPr>
                <w:rFonts w:ascii="Arial" w:cs="Arial" w:eastAsia="Arial" w:hAnsi="Arial"/>
                <w:sz w:val="26"/>
                <w:szCs w:val="26"/>
                <w:b w:val="1"/>
                <w:bCs w:val="1"/>
                <w:color w:val="auto"/>
                <w:vertAlign w:val="superscript"/>
              </w:rPr>
              <w:t>(2)</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42"/>
              <w:spacing w:after="0" w:line="231" w:lineRule="exact"/>
              <w:rPr>
                <w:sz w:val="20"/>
                <w:szCs w:val="20"/>
                <w:color w:val="auto"/>
              </w:rPr>
            </w:pPr>
            <w:r>
              <w:rPr>
                <w:rFonts w:ascii="Arial" w:cs="Arial" w:eastAsia="Arial" w:hAnsi="Arial"/>
                <w:sz w:val="16"/>
                <w:szCs w:val="16"/>
                <w:b w:val="1"/>
                <w:bCs w:val="1"/>
                <w:color w:val="auto"/>
                <w:w w:val="94"/>
              </w:rPr>
              <w:t>As Adjusted</w:t>
            </w:r>
            <w:r>
              <w:rPr>
                <w:rFonts w:ascii="Arial" w:cs="Arial" w:eastAsia="Arial" w:hAnsi="Arial"/>
                <w:sz w:val="26"/>
                <w:szCs w:val="26"/>
                <w:b w:val="1"/>
                <w:bCs w:val="1"/>
                <w:color w:val="auto"/>
                <w:w w:val="94"/>
                <w:vertAlign w:val="superscript"/>
              </w:rPr>
              <w:t>(3)</w:t>
            </w:r>
          </w:p>
        </w:tc>
        <w:tc>
          <w:tcPr>
            <w:tcW w:w="140" w:type="dxa"/>
            <w:vAlign w:val="bottom"/>
          </w:tcPr>
          <w:p>
            <w:pPr>
              <w:spacing w:after="0"/>
              <w:rPr>
                <w:sz w:val="20"/>
                <w:szCs w:val="20"/>
                <w:color w:val="auto"/>
              </w:rPr>
            </w:pPr>
          </w:p>
        </w:tc>
      </w:tr>
      <w:tr>
        <w:trPr>
          <w:trHeight w:val="193"/>
        </w:trPr>
        <w:tc>
          <w:tcPr>
            <w:tcW w:w="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3"/>
          </w:tcPr>
          <w:p>
            <w:pPr>
              <w:jc w:val="center"/>
              <w:ind w:left="282"/>
              <w:spacing w:after="0"/>
              <w:rPr>
                <w:sz w:val="20"/>
                <w:szCs w:val="20"/>
                <w:color w:val="auto"/>
              </w:rPr>
            </w:pPr>
            <w:r>
              <w:rPr>
                <w:rFonts w:ascii="Arial" w:cs="Arial" w:eastAsia="Arial" w:hAnsi="Arial"/>
                <w:sz w:val="16"/>
                <w:szCs w:val="16"/>
                <w:b w:val="1"/>
                <w:bCs w:val="1"/>
                <w:color w:val="auto"/>
                <w:w w:val="97"/>
              </w:rPr>
              <w:t>(in thousands)</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1"/>
        </w:trPr>
        <w:tc>
          <w:tcPr>
            <w:tcW w:w="33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Balance Sheet Data:</w:t>
            </w: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3300" w:type="dxa"/>
            <w:vAlign w:val="bottom"/>
            <w:gridSpan w:val="2"/>
          </w:tcPr>
          <w:p>
            <w:pPr>
              <w:spacing w:after="0" w:line="181" w:lineRule="exact"/>
              <w:rPr>
                <w:sz w:val="20"/>
                <w:szCs w:val="20"/>
                <w:color w:val="auto"/>
              </w:rPr>
            </w:pPr>
            <w:r>
              <w:rPr>
                <w:rFonts w:ascii="Arial" w:cs="Arial" w:eastAsia="Arial" w:hAnsi="Arial"/>
                <w:sz w:val="16"/>
                <w:szCs w:val="16"/>
                <w:color w:val="auto"/>
              </w:rPr>
              <w:t>Cash and cash equivalents</w:t>
            </w:r>
          </w:p>
        </w:tc>
        <w:tc>
          <w:tcPr>
            <w:tcW w:w="15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  221,108</w:t>
            </w:r>
          </w:p>
        </w:tc>
        <w:tc>
          <w:tcPr>
            <w:tcW w:w="100" w:type="dxa"/>
            <w:vAlign w:val="bottom"/>
          </w:tcPr>
          <w:p>
            <w:pPr>
              <w:spacing w:after="0"/>
              <w:rPr>
                <w:sz w:val="15"/>
                <w:szCs w:val="15"/>
                <w:color w:val="auto"/>
              </w:rPr>
            </w:pPr>
          </w:p>
        </w:tc>
        <w:tc>
          <w:tcPr>
            <w:tcW w:w="30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1" w:lineRule="exact"/>
              <w:rPr>
                <w:sz w:val="20"/>
                <w:szCs w:val="20"/>
                <w:color w:val="auto"/>
              </w:rPr>
            </w:pPr>
            <w:r>
              <w:rPr>
                <w:rFonts w:ascii="Arial" w:cs="Arial" w:eastAsia="Arial" w:hAnsi="Arial"/>
                <w:sz w:val="16"/>
                <w:szCs w:val="16"/>
                <w:color w:val="auto"/>
              </w:rPr>
              <w:t>221,108</w:t>
            </w:r>
          </w:p>
        </w:tc>
        <w:tc>
          <w:tcPr>
            <w:tcW w:w="580" w:type="dxa"/>
            <w:vAlign w:val="bottom"/>
            <w:gridSpan w:val="2"/>
          </w:tcPr>
          <w:p>
            <w:pPr>
              <w:jc w:val="right"/>
              <w:ind w:right="340"/>
              <w:spacing w:after="0" w:line="181"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1" w:lineRule="exact"/>
              <w:rPr>
                <w:sz w:val="20"/>
                <w:szCs w:val="20"/>
                <w:color w:val="auto"/>
              </w:rPr>
            </w:pPr>
            <w:r>
              <w:rPr>
                <w:rFonts w:ascii="Arial" w:cs="Arial" w:eastAsia="Arial" w:hAnsi="Arial"/>
                <w:sz w:val="16"/>
                <w:szCs w:val="16"/>
                <w:color w:val="auto"/>
              </w:rPr>
              <w:t>334,517</w:t>
            </w:r>
          </w:p>
        </w:tc>
        <w:tc>
          <w:tcPr>
            <w:tcW w:w="140" w:type="dxa"/>
            <w:vAlign w:val="bottom"/>
          </w:tcPr>
          <w:p>
            <w:pPr>
              <w:spacing w:after="0"/>
              <w:rPr>
                <w:sz w:val="15"/>
                <w:szCs w:val="15"/>
                <w:color w:val="auto"/>
              </w:rPr>
            </w:pPr>
          </w:p>
        </w:tc>
      </w:tr>
      <w:tr>
        <w:trPr>
          <w:trHeight w:val="217"/>
        </w:trPr>
        <w:tc>
          <w:tcPr>
            <w:tcW w:w="330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Working capital</w:t>
            </w:r>
            <w:r>
              <w:rPr>
                <w:rFonts w:ascii="Arial" w:cs="Arial" w:eastAsia="Arial" w:hAnsi="Arial"/>
                <w:sz w:val="25"/>
                <w:szCs w:val="25"/>
                <w:color w:val="auto"/>
                <w:vertAlign w:val="superscript"/>
              </w:rPr>
              <w:t>(1)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203,185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203,185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318,173</w:t>
            </w:r>
          </w:p>
        </w:tc>
        <w:tc>
          <w:tcPr>
            <w:tcW w:w="140" w:type="dxa"/>
            <w:vAlign w:val="bottom"/>
            <w:shd w:val="clear" w:color="auto" w:fill="CCEEFF"/>
          </w:tcPr>
          <w:p>
            <w:pPr>
              <w:spacing w:after="0"/>
              <w:rPr>
                <w:sz w:val="18"/>
                <w:szCs w:val="18"/>
                <w:color w:val="auto"/>
              </w:rPr>
            </w:pPr>
          </w:p>
        </w:tc>
      </w:tr>
      <w:tr>
        <w:trPr>
          <w:trHeight w:val="181"/>
        </w:trPr>
        <w:tc>
          <w:tcPr>
            <w:tcW w:w="3300" w:type="dxa"/>
            <w:vAlign w:val="bottom"/>
            <w:gridSpan w:val="2"/>
          </w:tcPr>
          <w:p>
            <w:pPr>
              <w:spacing w:after="0" w:line="181" w:lineRule="exact"/>
              <w:rPr>
                <w:sz w:val="20"/>
                <w:szCs w:val="20"/>
                <w:color w:val="auto"/>
              </w:rPr>
            </w:pPr>
            <w:r>
              <w:rPr>
                <w:rFonts w:ascii="Arial" w:cs="Arial" w:eastAsia="Arial" w:hAnsi="Arial"/>
                <w:sz w:val="16"/>
                <w:szCs w:val="16"/>
                <w:color w:val="auto"/>
              </w:rPr>
              <w:t>Total assets</w:t>
            </w:r>
          </w:p>
        </w:tc>
        <w:tc>
          <w:tcPr>
            <w:tcW w:w="15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224,775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line="181" w:lineRule="exact"/>
              <w:rPr>
                <w:sz w:val="20"/>
                <w:szCs w:val="20"/>
                <w:color w:val="auto"/>
              </w:rPr>
            </w:pPr>
            <w:r>
              <w:rPr>
                <w:rFonts w:ascii="Arial" w:cs="Arial" w:eastAsia="Arial" w:hAnsi="Arial"/>
                <w:sz w:val="16"/>
                <w:szCs w:val="16"/>
                <w:color w:val="auto"/>
              </w:rPr>
              <w:t>224,775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6"/>
                <w:szCs w:val="16"/>
                <w:color w:val="auto"/>
              </w:rPr>
              <w:t>336,576</w:t>
            </w:r>
          </w:p>
        </w:tc>
        <w:tc>
          <w:tcPr>
            <w:tcW w:w="140" w:type="dxa"/>
            <w:vAlign w:val="bottom"/>
          </w:tcPr>
          <w:p>
            <w:pPr>
              <w:spacing w:after="0"/>
              <w:rPr>
                <w:sz w:val="15"/>
                <w:szCs w:val="15"/>
                <w:color w:val="auto"/>
              </w:rPr>
            </w:pPr>
          </w:p>
        </w:tc>
      </w:tr>
      <w:tr>
        <w:trPr>
          <w:trHeight w:val="181"/>
        </w:trPr>
        <w:tc>
          <w:tcPr>
            <w:tcW w:w="33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Convertible preferred shares</w:t>
            </w:r>
          </w:p>
        </w:tc>
        <w:tc>
          <w:tcPr>
            <w:tcW w:w="15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310,592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r>
      <w:tr>
        <w:trPr>
          <w:trHeight w:val="191"/>
        </w:trPr>
        <w:tc>
          <w:tcPr>
            <w:tcW w:w="3300" w:type="dxa"/>
            <w:vAlign w:val="bottom"/>
            <w:gridSpan w:val="2"/>
          </w:tcPr>
          <w:p>
            <w:pPr>
              <w:spacing w:after="0"/>
              <w:rPr>
                <w:sz w:val="20"/>
                <w:szCs w:val="20"/>
                <w:color w:val="auto"/>
              </w:rPr>
            </w:pPr>
            <w:r>
              <w:rPr>
                <w:rFonts w:ascii="Arial" w:cs="Arial" w:eastAsia="Arial" w:hAnsi="Arial"/>
                <w:sz w:val="16"/>
                <w:szCs w:val="16"/>
                <w:color w:val="auto"/>
              </w:rPr>
              <w:t>Total shareholders' (deficit) equity</w:t>
            </w:r>
          </w:p>
        </w:tc>
        <w:tc>
          <w:tcPr>
            <w:tcW w:w="1680" w:type="dxa"/>
            <w:vAlign w:val="bottom"/>
            <w:gridSpan w:val="3"/>
          </w:tcPr>
          <w:p>
            <w:pPr>
              <w:jc w:val="right"/>
              <w:ind w:right="40"/>
              <w:spacing w:after="0"/>
              <w:rPr>
                <w:sz w:val="20"/>
                <w:szCs w:val="20"/>
                <w:color w:val="auto"/>
              </w:rPr>
            </w:pPr>
            <w:r>
              <w:rPr>
                <w:rFonts w:ascii="Arial" w:cs="Arial" w:eastAsia="Arial" w:hAnsi="Arial"/>
                <w:sz w:val="16"/>
                <w:szCs w:val="16"/>
                <w:color w:val="auto"/>
              </w:rPr>
              <w:t>(105,115)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205,477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318,857</w:t>
            </w:r>
          </w:p>
        </w:tc>
        <w:tc>
          <w:tcPr>
            <w:tcW w:w="140" w:type="dxa"/>
            <w:vAlign w:val="bottom"/>
          </w:tcPr>
          <w:p>
            <w:pPr>
              <w:spacing w:after="0"/>
              <w:rPr>
                <w:sz w:val="16"/>
                <w:szCs w:val="16"/>
                <w:color w:val="auto"/>
              </w:rPr>
            </w:pPr>
          </w:p>
        </w:tc>
      </w:tr>
      <w:tr>
        <w:trPr>
          <w:trHeight w:val="87"/>
        </w:trPr>
        <w:tc>
          <w:tcPr>
            <w:tcW w:w="90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33" w:lineRule="exact"/>
        <w:rPr>
          <w:sz w:val="20"/>
          <w:szCs w:val="20"/>
          <w:color w:val="auto"/>
        </w:rPr>
      </w:pPr>
    </w:p>
    <w:p>
      <w:pPr>
        <w:ind w:left="1780" w:hanging="473"/>
        <w:spacing w:after="0"/>
        <w:tabs>
          <w:tab w:leader="none" w:pos="1780"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We define working capital as current assets less current liabilities.</w:t>
      </w:r>
    </w:p>
    <w:p>
      <w:pPr>
        <w:spacing w:after="0" w:line="135" w:lineRule="exact"/>
        <w:rPr>
          <w:rFonts w:ascii="Arial" w:cs="Arial" w:eastAsia="Arial" w:hAnsi="Arial"/>
          <w:sz w:val="19"/>
          <w:szCs w:val="19"/>
          <w:color w:val="auto"/>
          <w:vertAlign w:val="superscript"/>
        </w:rPr>
      </w:pPr>
    </w:p>
    <w:p>
      <w:pPr>
        <w:ind w:left="1780" w:right="180" w:hanging="473"/>
        <w:spacing w:after="0" w:line="195" w:lineRule="auto"/>
        <w:tabs>
          <w:tab w:leader="none" w:pos="1780"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The pro forma balance sheet data give effect to the conversion of all of our outstanding preferred shares into an aggregate of 35,670,093 common shares upon the closing of this offering.</w:t>
      </w:r>
    </w:p>
    <w:p>
      <w:pPr>
        <w:spacing w:after="0" w:line="135" w:lineRule="exact"/>
        <w:rPr>
          <w:rFonts w:ascii="Arial" w:cs="Arial" w:eastAsia="Arial" w:hAnsi="Arial"/>
          <w:sz w:val="19"/>
          <w:szCs w:val="19"/>
          <w:color w:val="auto"/>
          <w:vertAlign w:val="superscript"/>
        </w:rPr>
      </w:pPr>
    </w:p>
    <w:p>
      <w:pPr>
        <w:ind w:left="1780" w:right="140" w:hanging="473"/>
        <w:spacing w:after="0" w:line="205" w:lineRule="auto"/>
        <w:tabs>
          <w:tab w:leader="none" w:pos="1780" w:val="left"/>
        </w:tabs>
        <w:numPr>
          <w:ilvl w:val="0"/>
          <w:numId w:val="11"/>
        </w:numPr>
        <w:rPr>
          <w:rFonts w:ascii="Arial" w:cs="Arial" w:eastAsia="Arial" w:hAnsi="Arial"/>
          <w:sz w:val="19"/>
          <w:szCs w:val="19"/>
          <w:color w:val="auto"/>
          <w:vertAlign w:val="superscript"/>
        </w:rPr>
      </w:pPr>
      <w:r>
        <w:rPr>
          <w:rFonts w:ascii="Arial" w:cs="Arial" w:eastAsia="Arial" w:hAnsi="Arial"/>
          <w:sz w:val="13"/>
          <w:szCs w:val="13"/>
          <w:color w:val="auto"/>
        </w:rPr>
        <w:t>The pro forma as adjusted balance sheet data give further effect to our issuance and sale of 7,000,000 Class A common shares in this offering at an assumed initial public offering price of $18.00 per share, which is the midpoint of the price range set forth on the cover page of this prospectus, after deducting the estimated underwriting discounts and commissions and estimated offering expenses payable by us.</w:t>
      </w:r>
    </w:p>
    <w:p>
      <w:pPr>
        <w:spacing w:after="0" w:line="184" w:lineRule="exact"/>
        <w:rPr>
          <w:sz w:val="20"/>
          <w:szCs w:val="20"/>
          <w:color w:val="auto"/>
        </w:rPr>
      </w:pPr>
    </w:p>
    <w:p>
      <w:pPr>
        <w:ind w:left="200" w:firstLine="436"/>
        <w:spacing w:after="0" w:line="237" w:lineRule="auto"/>
        <w:rPr>
          <w:sz w:val="20"/>
          <w:szCs w:val="20"/>
          <w:color w:val="auto"/>
        </w:rPr>
      </w:pPr>
      <w:r>
        <w:rPr>
          <w:rFonts w:ascii="Arial" w:cs="Arial" w:eastAsia="Arial" w:hAnsi="Arial"/>
          <w:sz w:val="16"/>
          <w:szCs w:val="16"/>
          <w:color w:val="auto"/>
        </w:rPr>
        <w:t>Each $1.00 increase (decrease) in the assumed initial public offering price of $18.00 per share, which is the midpoint of the price range set forth on the cover page of this prospectus, would increase (decrease) the pro forma as adjusted amount of each of cash and cash equivalents, working capital, total assets and total shareholders' equity by $6.5 million, assuming that the number of Class A common shares offered by us, as set forth on the cover page of this prospectus, remains the same and after deducting the estimated underwriting discounts and commissions and estimated offering expenses payable by us. Each increase (decrease) of 1,000,000 shares in the number of Class A common shares offered by us, as set forth on the cover page of this prospectus, would increase (decrease) the pro forma as adjusted amount of each of cash and cash equivalents, working capital, total assets and total shareholders' equity by $16.7 million, assuming no change in the assumed initial public offering price per share and after deducting the estimated underwriting discounts and commissions and estimated offering expenses payable by us.</w:t>
      </w: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 FACTORS</w:t>
      </w:r>
    </w:p>
    <w:p>
      <w:pPr>
        <w:spacing w:after="0" w:line="194" w:lineRule="exact"/>
        <w:rPr>
          <w:sz w:val="20"/>
          <w:szCs w:val="20"/>
          <w:color w:val="auto"/>
        </w:rPr>
      </w:pPr>
    </w:p>
    <w:p>
      <w:pPr>
        <w:ind w:right="500" w:firstLine="436"/>
        <w:spacing w:after="0" w:line="241" w:lineRule="auto"/>
        <w:rPr>
          <w:sz w:val="20"/>
          <w:szCs w:val="20"/>
          <w:color w:val="auto"/>
        </w:rPr>
      </w:pPr>
      <w:r>
        <w:rPr>
          <w:rFonts w:ascii="Arial" w:cs="Arial" w:eastAsia="Arial" w:hAnsi="Arial"/>
          <w:sz w:val="16"/>
          <w:szCs w:val="16"/>
          <w:i w:val="1"/>
          <w:iCs w:val="1"/>
          <w:color w:val="auto"/>
        </w:rPr>
        <w:t>Investing in our Class A common shares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Class A common shares. The occurrence of any of the events or developments described below could adversely affect our business, financial condition, results of operations and growth prospects. In such an event, the market price of our Class A common shares could decline, and you may lose all or part of your investment. Additional risks and uncertainties not presently known to us or that we currently deem immaterial also may impair our business operations.</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Our Financial Position and Capital Needs</w:t>
      </w:r>
    </w:p>
    <w:p>
      <w:pPr>
        <w:spacing w:after="0" w:line="192"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b w:val="1"/>
          <w:bCs w:val="1"/>
          <w:i w:val="1"/>
          <w:iCs w:val="1"/>
          <w:color w:val="auto"/>
        </w:rPr>
        <w:t>We are a clinical-stage biopharmaceutical company with a limited operating history and have not generated any revenue from product sales. We have incurred significant operating losses since our inception and anticipate that we will incur continued losses for the foreseeable future.</w:t>
      </w:r>
    </w:p>
    <w:p>
      <w:pPr>
        <w:spacing w:after="0" w:line="16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incurred losses in each year since our inception in 2015 and anticipate incurring losses for the foreseeable future. To date, we have invested substantially all of our efforts and financial resources in identifying, acquiring, in-licensing and developing our product candidates, including commencing and conducting clinical trials and providing general and administrative support for these operations. Our future success is dependent on our ability to develop, obtain regulatory approval for and successfully commercialize one or more of our product candidates. We have not yet demonstrated our ability to initiate or successfully complete any Phase 3 or other pivotal clinical trials, obtain regulatory approvals, manufacture a commercial scale drug, or conduct sales and marketing activities. We currently generate no revenue from sales of any products, and we may never be able to develop or commercialize a marketable product. Biopharmaceutical product development is a highly speculative undertaking and involves a substantial degree of risk. Typically, it takes many years to develop one new drug from the time it is discovered to when it is available for treating patients, and development may cease for a number of reasons. Consequently, predictions about our future success or viability could be more accurate if we had a longer operating history.</w:t>
      </w:r>
    </w:p>
    <w:p>
      <w:pPr>
        <w:spacing w:after="0" w:line="186"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We have incurred significant losses related to expenses for research and development and our ongoing operations. Our net losses for the years ended December 31, 2016 and 2017 and three months ended March 31, 2017 and 2018 were $24.0 million, $64.9 million, $4.9 million and $16.0 million, respectively. As of March 31, 2018, we had an accumulated deficit of $107.0 million. We expect to continue to incur losses for the foreseeable future, and we anticipate these losses will increase substantially as we:</w:t>
      </w:r>
    </w:p>
    <w:p>
      <w:pPr>
        <w:spacing w:after="0" w:line="187" w:lineRule="exact"/>
        <w:rPr>
          <w:sz w:val="20"/>
          <w:szCs w:val="20"/>
          <w:color w:val="auto"/>
        </w:rPr>
      </w:pPr>
    </w:p>
    <w:p>
      <w:pPr>
        <w:ind w:left="960" w:right="120" w:hanging="481"/>
        <w:spacing w:after="0" w:line="239"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continue our research and pre-clinical and clinical development of our product candidates, including our ongoing open-label Phase 2 proof-of-concept clinical trial for rilonacept for the treatment of recurrent pericarditis and our ongoing Phase 1a/1b clinical trial of KPL-716 in healthy volunteers and in subjects with atopic dermatitis, and commence our Phase 2 clinical trial of mavrilimumab for the treatment of GCA;</w:t>
      </w:r>
    </w:p>
    <w:p>
      <w:pPr>
        <w:spacing w:after="0" w:line="186" w:lineRule="exact"/>
        <w:rPr>
          <w:rFonts w:ascii="Arial" w:cs="Arial" w:eastAsia="Arial" w:hAnsi="Arial"/>
          <w:sz w:val="16"/>
          <w:szCs w:val="16"/>
          <w:color w:val="auto"/>
        </w:rPr>
      </w:pPr>
    </w:p>
    <w:p>
      <w:pPr>
        <w:ind w:left="960" w:hanging="481"/>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the scope of our current clinical trials for our product candidates;</w:t>
      </w:r>
    </w:p>
    <w:p>
      <w:pPr>
        <w:spacing w:after="0" w:line="177" w:lineRule="exact"/>
        <w:rPr>
          <w:rFonts w:ascii="Arial" w:cs="Arial" w:eastAsia="Arial" w:hAnsi="Arial"/>
          <w:sz w:val="16"/>
          <w:szCs w:val="16"/>
          <w:color w:val="auto"/>
        </w:rPr>
      </w:pPr>
    </w:p>
    <w:p>
      <w:pPr>
        <w:ind w:left="960" w:right="300" w:hanging="481"/>
        <w:spacing w:after="0" w:line="241"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advance our programs into more expensive clinical trials, including our plans to commence a Phase 3 clinical trial for rilonacept for the treatment of recurrent pericarditis;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initiate additional pre-clinical studies and clinical trials for our product candidates;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our manufacturing needs or add additional manufacturers or suppliers;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regulatory and marketing approvals for our product candidates that successfully complete clinical trials, if any;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to identify, assess, acquire or develop additional product candidates;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make milestone or other payments under any license or purchase agreements;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to maintain, protect and expand our intellectual property portfolio;</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to attract and retain skilled personnel;</w:t>
      </w:r>
    </w:p>
    <w:p>
      <w:pPr>
        <w:spacing w:after="0" w:line="189" w:lineRule="exact"/>
        <w:rPr>
          <w:rFonts w:ascii="Arial" w:cs="Arial" w:eastAsia="Arial" w:hAnsi="Arial"/>
          <w:sz w:val="16"/>
          <w:szCs w:val="16"/>
          <w:color w:val="auto"/>
        </w:rPr>
      </w:pPr>
    </w:p>
    <w:p>
      <w:pPr>
        <w:ind w:left="960" w:right="300" w:hanging="481"/>
        <w:spacing w:after="0" w:line="241"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create additional infrastructure to support our operations as a public company and our product development and planned future commercialization efforts; and</w:t>
      </w:r>
    </w:p>
    <w:p>
      <w:pPr>
        <w:spacing w:after="0" w:line="173" w:lineRule="exact"/>
        <w:rPr>
          <w:rFonts w:ascii="Arial" w:cs="Arial" w:eastAsia="Arial" w:hAnsi="Arial"/>
          <w:sz w:val="16"/>
          <w:szCs w:val="16"/>
          <w:color w:val="auto"/>
        </w:rPr>
      </w:pPr>
    </w:p>
    <w:p>
      <w:pPr>
        <w:ind w:left="960" w:right="180" w:hanging="481"/>
        <w:spacing w:after="0" w:line="239"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experience any delays or encounter issues with any of the above, including but not limited to failed trials, complex results, safety issues, other regulatory challenges that require longer follow-up of existing trials, additional major trials or additional supportive trials in order to pursue marketing approval.</w:t>
      </w:r>
    </w:p>
    <w:p>
      <w:pPr>
        <w:spacing w:after="0" w:line="186" w:lineRule="exact"/>
        <w:rPr>
          <w:sz w:val="20"/>
          <w:szCs w:val="20"/>
          <w:color w:val="auto"/>
        </w:rPr>
      </w:pPr>
    </w:p>
    <w:p>
      <w:pPr>
        <w:ind w:right="160" w:firstLine="436"/>
        <w:spacing w:after="0" w:line="238" w:lineRule="auto"/>
        <w:rPr>
          <w:sz w:val="20"/>
          <w:szCs w:val="20"/>
          <w:color w:val="auto"/>
        </w:rPr>
      </w:pPr>
      <w:r>
        <w:rPr>
          <w:rFonts w:ascii="Arial" w:cs="Arial" w:eastAsia="Arial" w:hAnsi="Arial"/>
          <w:sz w:val="16"/>
          <w:szCs w:val="16"/>
          <w:color w:val="auto"/>
        </w:rPr>
        <w:t>Further, the net losses we incur may fluctuate significantly from quarter-to-quarter and year to year, such that a period to period comparison of our results of operations may not be a good indication of our future performance. Once we are a public company, we will incur additional costs associated with operating as a public company. Even if we achieve profitability in the future, we may not be able to sustain profitability in subsequent periods. Our prior losses, combined with expected future losses, have had and will continue to have an adverse effect on our shareholders' equity and working capital.</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i w:val="1"/>
          <w:iCs w:val="1"/>
          <w:color w:val="auto"/>
        </w:rPr>
        <w:t>We will require substantial additional financing, and a failure to obtain this necessary capital when needed on acceptable terms, or at all, could force us to delay, limit, reduce or terminate our product development, other operations or commercialization efforts.</w:t>
      </w:r>
    </w:p>
    <w:p>
      <w:pPr>
        <w:spacing w:after="0" w:line="168" w:lineRule="exact"/>
        <w:rPr>
          <w:sz w:val="20"/>
          <w:szCs w:val="20"/>
          <w:color w:val="auto"/>
        </w:rPr>
      </w:pPr>
    </w:p>
    <w:p>
      <w:pPr>
        <w:ind w:firstLine="433"/>
        <w:spacing w:after="0" w:line="254" w:lineRule="auto"/>
        <w:rPr>
          <w:sz w:val="20"/>
          <w:szCs w:val="20"/>
          <w:color w:val="auto"/>
        </w:rPr>
      </w:pPr>
      <w:r>
        <w:rPr>
          <w:rFonts w:ascii="Arial" w:cs="Arial" w:eastAsia="Arial" w:hAnsi="Arial"/>
          <w:sz w:val="15"/>
          <w:szCs w:val="15"/>
          <w:color w:val="auto"/>
        </w:rPr>
        <w:t>The development and commercialization of biopharmaceutical products is capital intensive. We are advancing our product candidates through pre-clinical and clinical development and, in 2018, anticipate beginning new clinical trials for our product candidates, rilonacept, mavrilimumab and KPL-716. We expect our expenses to increase in connection with our ongoing activities as we continue the research and development of, and, if successful, seek marketing approval for, our product candidates. In addition, if we obtain marketing approval for any of our product candidates, we expect to incur significant commercialization expenses related to manufacturing, product sales, marketing, and distribution. As our product candidates progress through development and towards commercialization, we will need to make milestone payments to the licensors and other third parties from whom we have acquired our product candidates. We may also need to raise additional funds sooner if we choose to pursue additional indications for our product candidates or otherwise expand more rapidly than we presently anticipate.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on attractive terms, if at all, we will be forced to delay, reduce or eliminate certain of our clinical development plans, research and development programs or future commercialization efforts.</w:t>
      </w:r>
    </w:p>
    <w:p>
      <w:pPr>
        <w:spacing w:after="0" w:line="177" w:lineRule="exact"/>
        <w:rPr>
          <w:sz w:val="20"/>
          <w:szCs w:val="20"/>
          <w:color w:val="auto"/>
        </w:rPr>
      </w:pPr>
    </w:p>
    <w:p>
      <w:pPr>
        <w:ind w:right="80" w:firstLine="433"/>
        <w:spacing w:after="0" w:line="241" w:lineRule="auto"/>
        <w:rPr>
          <w:sz w:val="20"/>
          <w:szCs w:val="20"/>
          <w:color w:val="auto"/>
        </w:rPr>
      </w:pPr>
      <w:r>
        <w:rPr>
          <w:rFonts w:ascii="Arial" w:cs="Arial" w:eastAsia="Arial" w:hAnsi="Arial"/>
          <w:sz w:val="16"/>
          <w:szCs w:val="16"/>
          <w:color w:val="auto"/>
        </w:rPr>
        <w:t>The development process for our product candidates is highly uncertain, and we cannot estimate with certainty the actual amounts necessary to successfully complete the development,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80"/>
        <w:spacing w:after="0" w:line="239" w:lineRule="auto"/>
        <w:rPr>
          <w:sz w:val="20"/>
          <w:szCs w:val="20"/>
          <w:color w:val="auto"/>
        </w:rPr>
      </w:pPr>
      <w:r>
        <w:rPr>
          <w:rFonts w:ascii="Arial" w:cs="Arial" w:eastAsia="Arial" w:hAnsi="Arial"/>
          <w:sz w:val="16"/>
          <w:szCs w:val="16"/>
          <w:color w:val="auto"/>
        </w:rPr>
        <w:t>regulatory approval process and commercialization of our product candidates. Our operating plans may change as a result of many factors currently unknown to us, and we may need to seek additional funds sooner than expected, through public or private equity, debt financings or other sources. Our future capital requirements will depend on and could increase significantly as a result of many factors, including:</w:t>
      </w:r>
    </w:p>
    <w:p>
      <w:pPr>
        <w:spacing w:after="0" w:line="186" w:lineRule="exact"/>
        <w:rPr>
          <w:sz w:val="20"/>
          <w:szCs w:val="20"/>
          <w:color w:val="auto"/>
        </w:rPr>
      </w:pPr>
    </w:p>
    <w:p>
      <w:pPr>
        <w:ind w:left="960" w:right="160" w:hanging="481"/>
        <w:spacing w:after="0" w:line="238"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results, time and cost necessary for completing our open-label Phase 2 proof-of-concept clinical trial of rilonacept for the treatment of recurrent pericarditis and our Phase 1a/1b clinical trials of KPL-716 for the treatment of atopic dermatitis and commencing our planned Phase 3 clinical trial for rilonacept for the treatment of recurrent pericarditis, our planned Phase 2 clinical trial for mavrilimumab for the treatment of GCA and our planned Phase 2 clinical trial for KPL-716 for the treatment of prurigo nodularis;</w:t>
      </w:r>
    </w:p>
    <w:p>
      <w:pPr>
        <w:spacing w:after="0" w:line="186"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size and type of any additional clinical trials;</w:t>
      </w:r>
    </w:p>
    <w:p>
      <w:pPr>
        <w:spacing w:after="0" w:line="177" w:lineRule="exact"/>
        <w:rPr>
          <w:rFonts w:ascii="Arial" w:cs="Arial" w:eastAsia="Arial" w:hAnsi="Arial"/>
          <w:sz w:val="16"/>
          <w:szCs w:val="16"/>
          <w:color w:val="auto"/>
        </w:rPr>
      </w:pPr>
    </w:p>
    <w:p>
      <w:pPr>
        <w:ind w:left="960" w:right="60" w:hanging="481"/>
        <w:spacing w:after="0" w:line="262" w:lineRule="auto"/>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costs, timing and outcomes of seeking and potentially obtaining approvals from the FDA or comparable foreign regulatory authorities, including the potential for the FDA or comparable regulatory authorities to require that we conduct more studies than those that we currently expect to conduct and the costs of post-marketing studies or risk evaluation and mitigation strategies, or REMS, that could be required by regulatory authorities;</w:t>
      </w:r>
    </w:p>
    <w:p>
      <w:pPr>
        <w:spacing w:after="0" w:line="158" w:lineRule="exact"/>
        <w:rPr>
          <w:rFonts w:ascii="Arial" w:cs="Arial" w:eastAsia="Arial" w:hAnsi="Arial"/>
          <w:sz w:val="15"/>
          <w:szCs w:val="15"/>
          <w:color w:val="auto"/>
        </w:rPr>
      </w:pPr>
    </w:p>
    <w:p>
      <w:pPr>
        <w:ind w:left="960" w:hanging="481"/>
        <w:spacing w:after="0" w:line="273" w:lineRule="auto"/>
        <w:tabs>
          <w:tab w:leader="none" w:pos="9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costs and timing of transferring manufacturing technology to third-party manufacturers, producing product candidates to support clinical trials and preparing to manufacture mavrilimumab and KPL-716 on a commercial scale, as well as producing rilonacept in potential new final form configurations;</w:t>
      </w:r>
    </w:p>
    <w:p>
      <w:pPr>
        <w:spacing w:after="0" w:line="162" w:lineRule="exact"/>
        <w:rPr>
          <w:rFonts w:ascii="Arial" w:cs="Arial" w:eastAsia="Arial" w:hAnsi="Arial"/>
          <w:sz w:val="15"/>
          <w:szCs w:val="15"/>
          <w:color w:val="auto"/>
        </w:rPr>
      </w:pPr>
    </w:p>
    <w:p>
      <w:pPr>
        <w:ind w:left="960" w:right="100" w:hanging="481"/>
        <w:spacing w:after="0" w:line="238"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timing and amount of milestone or other payments we must make under our agreements with Regeneron Pharmaceuticals, Inc., or Regeneron, MedImmune, Limited, or MedImmune, Biogen MA Inc., or Biogen, Novo Nordisk A/S, or Novo Nordisk, and the other third parties from whom we have acquired or in-licensed our product candidates or from whom we may in the future acquire or in-license product candidates or in connection with the exercise of our option to purchase all of the outstanding capital stock of Primatope Therapeutics, Inc., or Primatope;</w:t>
      </w:r>
    </w:p>
    <w:p>
      <w:pPr>
        <w:spacing w:after="0" w:line="174" w:lineRule="exact"/>
        <w:rPr>
          <w:rFonts w:ascii="Arial" w:cs="Arial" w:eastAsia="Arial" w:hAnsi="Arial"/>
          <w:sz w:val="16"/>
          <w:szCs w:val="16"/>
          <w:color w:val="auto"/>
        </w:rPr>
      </w:pPr>
    </w:p>
    <w:p>
      <w:pPr>
        <w:ind w:left="960" w:right="120" w:hanging="481"/>
        <w:spacing w:after="0" w:line="24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successfully commercialize any of our product candidates, including the cost and timing of forming and expanding our sales organization and marketing capabilities;</w:t>
      </w:r>
    </w:p>
    <w:p>
      <w:pPr>
        <w:spacing w:after="0" w:line="173" w:lineRule="exact"/>
        <w:rPr>
          <w:rFonts w:ascii="Arial" w:cs="Arial" w:eastAsia="Arial" w:hAnsi="Arial"/>
          <w:sz w:val="16"/>
          <w:szCs w:val="16"/>
          <w:color w:val="auto"/>
        </w:rPr>
      </w:pPr>
    </w:p>
    <w:p>
      <w:pPr>
        <w:ind w:left="960" w:right="180" w:hanging="481"/>
        <w:spacing w:after="0" w:line="24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of sales revenues from our product candidates, if approved, including the sales price and the availability of coverage and adequate third-party reimbursement;</w:t>
      </w:r>
    </w:p>
    <w:p>
      <w:pPr>
        <w:spacing w:after="0" w:line="185" w:lineRule="exact"/>
        <w:rPr>
          <w:rFonts w:ascii="Arial" w:cs="Arial" w:eastAsia="Arial" w:hAnsi="Arial"/>
          <w:sz w:val="16"/>
          <w:szCs w:val="16"/>
          <w:color w:val="auto"/>
        </w:rPr>
      </w:pPr>
    </w:p>
    <w:p>
      <w:pPr>
        <w:ind w:left="960" w:right="280" w:hanging="481"/>
        <w:spacing w:after="0" w:line="24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competitive and potentially competitive products and technologies and patients' receptivity to our product candidates and the technology underlying them in light of competitive products and technologies;</w:t>
      </w:r>
    </w:p>
    <w:p>
      <w:pPr>
        <w:spacing w:after="0" w:line="173" w:lineRule="exact"/>
        <w:rPr>
          <w:rFonts w:ascii="Arial" w:cs="Arial" w:eastAsia="Arial" w:hAnsi="Arial"/>
          <w:sz w:val="16"/>
          <w:szCs w:val="16"/>
          <w:color w:val="auto"/>
        </w:rPr>
      </w:pPr>
    </w:p>
    <w:p>
      <w:pPr>
        <w:ind w:left="960" w:right="140" w:hanging="481"/>
        <w:spacing w:after="0" w:line="24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cash requirements of any future acquisitions, developments or discovery of additional product candidates, including any licensing or collaboration agreements;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time and cost necessary to respond to technological and market developments;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filing, prosecuting, defending and enforcing any patent claims and other intellectual property rights;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product liability or other lawsuits related to our product candidates or any products;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associated with being a public company;</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need and ability to hire additional personnel; and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260" w:hanging="481"/>
        <w:spacing w:after="0" w:line="241"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receptivity of the capital markets to financings by biotechnology companies generally and companies with product candidates and technologies such as ours specifically.</w:t>
      </w:r>
    </w:p>
    <w:p>
      <w:pPr>
        <w:spacing w:after="0" w:line="185"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Dislocations in the financial markets may make equity and debt financing more difficult to obtain, and may have a material adverse effect on our ability to meet our fundraising needs when they arise. Additional funds may not be available when we need them, on terms that are acceptable to us, or at all. If we are unable to obtain funding on a timely basis, we may be required to significantly curtail, delay or discontinue one or more of our pre-clinical studies, clinical trials or other research or development programs, the commercialization of any product candidate. We may also be unable to expand our operations or otherwise capitalize on our business opportunities or may be required to relinquish rights to our product candidates or products. Any of these occurrences could materially affect our business, financial condition and results of operations.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Raising additional capital may cause dilution to our shareholders, including purchasers of shares in this offering, restrict our operations or require us to relinquish rights to our technologies or product candidates.</w:t>
      </w:r>
    </w:p>
    <w:p>
      <w:pPr>
        <w:spacing w:after="0" w:line="168" w:lineRule="exact"/>
        <w:rPr>
          <w:sz w:val="20"/>
          <w:szCs w:val="20"/>
          <w:color w:val="auto"/>
        </w:rPr>
      </w:pPr>
    </w:p>
    <w:p>
      <w:pPr>
        <w:ind w:right="20" w:firstLine="436"/>
        <w:spacing w:after="0" w:line="236" w:lineRule="auto"/>
        <w:rPr>
          <w:sz w:val="20"/>
          <w:szCs w:val="20"/>
          <w:color w:val="auto"/>
        </w:rPr>
      </w:pPr>
      <w:r>
        <w:rPr>
          <w:rFonts w:ascii="Arial" w:cs="Arial" w:eastAsia="Arial" w:hAnsi="Arial"/>
          <w:sz w:val="16"/>
          <w:szCs w:val="16"/>
          <w:color w:val="auto"/>
        </w:rPr>
        <w:t>Until such time as we can generate substantial product revenues, if ever, we expect to finance our cash needs through securities offerings or debt financings, or possibly, license and collaboration agreements or research grants. The terms of any financing may adversely affect the holdings or the rights of our shareholders and our issuance of additional securities, whether equity or debt, or the possibility of such issuance, may cause the market price of our Class A common shares to decline. The sale of additional equity or convertible securities would dilute all of our shareholders, including your ownership interest.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product candidates or future revenue streams, or otherwise agree to terms unfavorable to us, any of which may have a material adverse effect on our business, operating results and prospects.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shareholders, and may cause the market price of our shares to decline.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Product Development and Regulatory Approval</w:t>
      </w:r>
    </w:p>
    <w:p>
      <w:pPr>
        <w:spacing w:after="0" w:line="19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i w:val="1"/>
          <w:iCs w:val="1"/>
          <w:color w:val="auto"/>
        </w:rPr>
        <w:t>We depend heavily on the success of rilonacept, mavrilimumab and KPL-716, which are in various stages of clinical development. If we are unable to advance our product candidates in clinical development, obtain regulatory approval and ultimately commercialize our product candidates, or experience significant delays in doing so, our business will be materially harmed.</w:t>
      </w:r>
    </w:p>
    <w:p>
      <w:pPr>
        <w:spacing w:after="0" w:line="179" w:lineRule="exact"/>
        <w:rPr>
          <w:sz w:val="20"/>
          <w:szCs w:val="20"/>
          <w:color w:val="auto"/>
        </w:rPr>
      </w:pPr>
    </w:p>
    <w:p>
      <w:pPr>
        <w:ind w:right="140" w:firstLine="436"/>
        <w:spacing w:after="0" w:line="262" w:lineRule="auto"/>
        <w:rPr>
          <w:sz w:val="20"/>
          <w:szCs w:val="20"/>
          <w:color w:val="auto"/>
        </w:rPr>
      </w:pPr>
      <w:r>
        <w:rPr>
          <w:rFonts w:ascii="Arial" w:cs="Arial" w:eastAsia="Arial" w:hAnsi="Arial"/>
          <w:sz w:val="15"/>
          <w:szCs w:val="15"/>
          <w:color w:val="auto"/>
        </w:rPr>
        <w:t>We do not currently generate any revenue from sales of any products, and we may never be able to develop or commercialize marketable products. Each of our product candidates require additional clinical development, management of pre-clinical, clinical or manufacturing activities, regulatory approval, obtaining adequate manufacturing supply, building of a commercial organization, and significant marketing efforts before we generate any revenue from product sales.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We have three product candidates in various stages of clinical development and two at the pre-clinical development stage. None of them have been previously studied in the indications for which we are developing them. We may not be able to demonstrate that they are safe or effective in the indications for which we are studying them and they may not be approved. Although rilonacept is approved and marketed for human use for the treatment of CAPS in the United States by Regeneron, we are studying rilonacept for the treatment of recurrent pericarditis in an open-label Phase 2 proof-of-concept clinical trial, and, if the preliminary data are favorable, we plan to advance development to a Phase 3 clinical trial in 2018. Mavrilimumab has been through Phase 2 clinical trials conducted by MedImmune for the treatment of rheumatoid arthritis, or RA, but we plan to enter into Phase 2 clinical trials with mavrilimumab for the treatment of GCA. Our third product candidate, KPL-716, is currently undergoing a Phase 1a clinical trial in healthy volunteers and a Phase 1b clinical trial in subjects with atopic dermatitis and, if the data from our Phase 1a/1b clinical trial are favorable, we intend to commence Phase 2 clinical trials for atopic dermatitis as well as prurigo nodularis. Our assumptions about why these product candidates are worthy of future development and potential approval in these, or any, indications are based on indirect data primarily collected by other companies. We also have pre-clinical product candidates that will need to progress through IND-enabling studies prior to clinical development. None of our product candidates have advanced into a pivotal study for the indications for which we are studying. We are not permitted to market or promote any of our product candidates before we receive regulatory approval from the FDA or comparable foreign regulatory authorities.</w:t>
      </w:r>
    </w:p>
    <w:p>
      <w:pPr>
        <w:spacing w:after="0" w:line="193" w:lineRule="exact"/>
        <w:rPr>
          <w:sz w:val="20"/>
          <w:szCs w:val="20"/>
          <w:color w:val="auto"/>
        </w:rPr>
      </w:pPr>
    </w:p>
    <w:p>
      <w:pPr>
        <w:ind w:right="120" w:firstLine="436"/>
        <w:spacing w:after="0" w:line="238" w:lineRule="auto"/>
        <w:rPr>
          <w:sz w:val="20"/>
          <w:szCs w:val="20"/>
          <w:color w:val="auto"/>
        </w:rPr>
      </w:pPr>
      <w:r>
        <w:rPr>
          <w:rFonts w:ascii="Arial" w:cs="Arial" w:eastAsia="Arial" w:hAnsi="Arial"/>
          <w:sz w:val="16"/>
          <w:szCs w:val="16"/>
          <w:color w:val="auto"/>
        </w:rPr>
        <w:t>We have not submitted, and we may never submit marketing applications to the FDA or comparable foreign regulatory authorities for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one or more of our product candidates, we may not be able to continue our operations.</w:t>
      </w:r>
    </w:p>
    <w:p>
      <w:pPr>
        <w:spacing w:after="0" w:line="187" w:lineRule="exact"/>
        <w:rPr>
          <w:sz w:val="20"/>
          <w:szCs w:val="20"/>
          <w:color w:val="auto"/>
        </w:rPr>
      </w:pPr>
    </w:p>
    <w:p>
      <w:pPr>
        <w:ind w:right="220" w:firstLine="436"/>
        <w:spacing w:after="0" w:line="239" w:lineRule="auto"/>
        <w:rPr>
          <w:sz w:val="20"/>
          <w:szCs w:val="20"/>
          <w:color w:val="auto"/>
        </w:rPr>
      </w:pPr>
      <w:r>
        <w:rPr>
          <w:rFonts w:ascii="Arial" w:cs="Arial" w:eastAsia="Arial" w:hAnsi="Arial"/>
          <w:sz w:val="16"/>
          <w:szCs w:val="16"/>
          <w:color w:val="auto"/>
        </w:rPr>
        <w:t>Each of our product candidates will require additional pre-clinical and/or clinical development, regulatory approval in one or more jurisdictions, obtaining manufacturing supply, capacity and expertise, building of a commercial organization, substantial investment and significant marketing efforts before we are able to generate any revenue from product sales. The success of our product candidates will depend on several factors, including the following:</w:t>
      </w:r>
    </w:p>
    <w:p>
      <w:pPr>
        <w:spacing w:after="0" w:line="186" w:lineRule="exact"/>
        <w:rPr>
          <w:sz w:val="20"/>
          <w:szCs w:val="20"/>
          <w:color w:val="auto"/>
        </w:rPr>
      </w:pPr>
    </w:p>
    <w:p>
      <w:pPr>
        <w:ind w:left="960" w:right="340" w:hanging="481"/>
        <w:spacing w:after="0" w:line="241"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successful completion of pre-clinical studies, including toxicology studies, biodistribution studies and minimally efficacious dose studies in animals, conducted, where applicable, under the FDA's Good Laboratory Practice, or GLP, regulations;</w:t>
      </w:r>
    </w:p>
    <w:p>
      <w:pPr>
        <w:spacing w:after="0" w:line="185" w:lineRule="exact"/>
        <w:rPr>
          <w:rFonts w:ascii="Arial" w:cs="Arial" w:eastAsia="Arial" w:hAnsi="Arial"/>
          <w:sz w:val="16"/>
          <w:szCs w:val="16"/>
          <w:color w:val="auto"/>
        </w:rPr>
      </w:pPr>
    </w:p>
    <w:p>
      <w:pPr>
        <w:ind w:left="960" w:right="200" w:hanging="481"/>
        <w:spacing w:after="0" w:line="241"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submission to the FDA of INDs and of clinical trial applications to foreign governmental authorities, for our product candidates to commence planned clinical trials or future clinical trials;</w:t>
      </w:r>
    </w:p>
    <w:p>
      <w:pPr>
        <w:spacing w:after="0" w:line="173" w:lineRule="exact"/>
        <w:rPr>
          <w:rFonts w:ascii="Arial" w:cs="Arial" w:eastAsia="Arial" w:hAnsi="Arial"/>
          <w:sz w:val="16"/>
          <w:szCs w:val="16"/>
          <w:color w:val="auto"/>
        </w:rPr>
      </w:pPr>
    </w:p>
    <w:p>
      <w:pPr>
        <w:ind w:left="960" w:right="40" w:hanging="481"/>
        <w:spacing w:after="0" w:line="239"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successful enrollment in, and completion of, clinical trials, the design and implementation of which are agreed to by the applicable regulatory authorities, and the conduct of clinical trials by contract research organizations, or CROs, to successfully conduct such trials within our planned budget and timing parameters and without materially adversely impacting our trials;</w:t>
      </w:r>
    </w:p>
    <w:p>
      <w:pPr>
        <w:spacing w:after="0" w:line="174" w:lineRule="exact"/>
        <w:rPr>
          <w:rFonts w:ascii="Arial" w:cs="Arial" w:eastAsia="Arial" w:hAnsi="Arial"/>
          <w:sz w:val="16"/>
          <w:szCs w:val="16"/>
          <w:color w:val="auto"/>
        </w:rPr>
      </w:pPr>
    </w:p>
    <w:p>
      <w:pPr>
        <w:ind w:left="960" w:right="220" w:hanging="481"/>
        <w:spacing w:after="0" w:line="241"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successful data from our clinical programs that support an acceptable risk-benefit profile of our product candidates for the targeted indications in the intended populations to the satisfaction of the applicable regulatory authorities;</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timely receipt, if at all, of regulatory approvals from applicable regulatory authorities;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establishment of arrangements with third-party manufacturers, as applicable, for continued clinical supply and commercial manufacturing;</w:t>
      </w:r>
    </w:p>
    <w:p>
      <w:pPr>
        <w:spacing w:after="0" w:line="189" w:lineRule="exact"/>
        <w:rPr>
          <w:rFonts w:ascii="Arial" w:cs="Arial" w:eastAsia="Arial" w:hAnsi="Arial"/>
          <w:sz w:val="16"/>
          <w:szCs w:val="16"/>
          <w:color w:val="auto"/>
        </w:rPr>
      </w:pPr>
    </w:p>
    <w:p>
      <w:pPr>
        <w:ind w:left="960" w:right="520" w:hanging="481"/>
        <w:spacing w:after="0" w:line="273" w:lineRule="auto"/>
        <w:tabs>
          <w:tab w:leader="none" w:pos="9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successful development of our manufacturing processes and transfer to new third-party facilities to support future development activities and commercialization that are operated by contract manufacturing organizations, or CMOs, in a manner compliant with all regulatory requirements;</w:t>
      </w:r>
    </w:p>
    <w:p>
      <w:pPr>
        <w:spacing w:after="0" w:line="150" w:lineRule="exact"/>
        <w:rPr>
          <w:rFonts w:ascii="Arial" w:cs="Arial" w:eastAsia="Arial" w:hAnsi="Arial"/>
          <w:sz w:val="15"/>
          <w:szCs w:val="15"/>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establishment and maintenance of patent and trade secret protection or regulatory exclusivity for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successful commercial launch of our product candidates, if and when approved;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acceptance of our products, if and when approved, by patients, the medical community and third-party payors;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 competition with other therapies;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establishment and maintenance of adequate healthcare coverage and reimbursement;</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enforcement and defense of intellectual property rights and claims;</w:t>
      </w:r>
    </w:p>
    <w:p>
      <w:pPr>
        <w:spacing w:after="0" w:line="177" w:lineRule="exact"/>
        <w:rPr>
          <w:rFonts w:ascii="Arial" w:cs="Arial" w:eastAsia="Arial" w:hAnsi="Arial"/>
          <w:sz w:val="16"/>
          <w:szCs w:val="16"/>
          <w:color w:val="auto"/>
        </w:rPr>
      </w:pPr>
    </w:p>
    <w:p>
      <w:pPr>
        <w:ind w:left="960" w:right="140" w:hanging="481"/>
        <w:spacing w:after="0" w:line="241"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continued compliance with any post-marketing requirements imposed by regulatory authorities, including any required post-marketing clinical trials or REMS; and</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maintenance of a continued acceptable safety profile of the product candidates following approval.</w:t>
      </w:r>
    </w:p>
    <w:p>
      <w:pPr>
        <w:spacing w:after="0" w:line="190"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If we do not accomplish one or more of these factors in a timely manner or at all, we could experience significant delays or an inability to successfully commercialize our product candidates, which would materially harm our business. If we do not receive regulatory approvals for one or more of our product candidates, we may not be able to continue our operations. Even if we successfully obtain regulatory approvals to manufacture and market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88" w:lineRule="exact"/>
        <w:rPr>
          <w:sz w:val="20"/>
          <w:szCs w:val="20"/>
          <w:color w:val="auto"/>
        </w:rPr>
      </w:pPr>
    </w:p>
    <w:p>
      <w:pPr>
        <w:ind w:right="240" w:firstLine="436"/>
        <w:spacing w:after="0" w:line="238" w:lineRule="auto"/>
        <w:rPr>
          <w:sz w:val="20"/>
          <w:szCs w:val="20"/>
          <w:color w:val="auto"/>
        </w:rPr>
      </w:pPr>
      <w:r>
        <w:rPr>
          <w:rFonts w:ascii="Arial" w:cs="Arial" w:eastAsia="Arial" w:hAnsi="Arial"/>
          <w:sz w:val="16"/>
          <w:szCs w:val="16"/>
          <w:color w:val="auto"/>
        </w:rPr>
        <w:t>We plan to seek regulatory approval to commercialize our product candidates in the United States and potentially in foreign countries. While the scope of regulatory approval is similar in many countries, to obtain separate regulatory approval in multiple countries will require us to comply with numerous and varying regulatory requirements of each such country or jurisdiction regarding safety and efficacy and governing, among other things, clinical trials and commercial sales, pricing and distribution, and we cannot predict success in any such jurisdictions.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Clinical drug development is a lengthy and expensive process with uncertain timelines and uncertain outcomes. We may encounter substantial delays in our clinical trials, or we may fail to demonstrate safety and efficacy to the satisfaction of applicable regulatory authorities. We may therefore be unable to obtain required regulatory approvals and be unable to commercialize our product candidates on a timely basis, if at all.</w:t>
      </w:r>
    </w:p>
    <w:p>
      <w:pPr>
        <w:spacing w:after="0" w:line="179"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trials to demonstrate the safety and efficacy of the product candidates in humans. Clinical testing is expensive, time consuming and uncertain as to outcome. We cannot guarantee that any clinical trials will be conducted as planned or completed on schedule, if at all.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Subject to obtaining favorable preliminary data from our ongoing open-label Phase 2 proof-of-concept clinical trial of rilonacept, we plan to initiate a Phase 3 clinical trial for rilonacept as a treatment for recurrent pericarditis in 2018. We have not yet had any discussions with the FDA regarding the design of a Phase 3 clinical trial for rilonacept for treatment of recurrent pericarditis. We also plan to initiate a Phase 2 clinical trial of mavrilimumab for the treatment of GCA in 2018. Subject to favorable data from our Phase 1a/1b clinical trial of KPL-716 in healthy volunteers and subjects with atopic dermatitis, we plan to commence Phase 2 clinical trials of KPL-716 for the treatment of atopic dermatitis as well as prurigo nodularis. We are also continuing preparation for IND-enabling studies of KPL-045 and KPL-404 prior to initiating clinical trials. Commencing our planned clinical trials is subject to acceptance by the FDA of an IND or an IND amendment, or acceptance by European regulatory authorities of a CTA, as applicable, and finalizing the trial design based on discussions with the FDA, European regulatory authorities or other applicable regulatory authorities. Even after we receive and incorporate guidance from these regulatory authorities, the FDA or other regulatory authorities could disagree that we have satisfied their requirements to commence our clinical trials, disagree with our interpretation of data from the relevant pre-clinical studies, clinical trials or CMC data, or disagree or change their position on the acceptability of our trial designs including the proposed dosing schedule, our definitions of the patient populations or the clinical endpoints selected, which may require us to complete additional pre-clinical studies, clinical trials, CMC development, other studies or impose stricter approval conditions than we currently expect. For example, prior to us licensing mavrilimumab, MedImmune submitted an IND to the FDA to conduct a clinical trial of mavrilimumab in RA, and the FDA issued a clinical hold based on its review of certain effects in the lungs observed in non-human primates in pre-clinical toxicity studies. However, following subsequent discussions between MedImmune and the FDA regarding the clinical hold and the availability of additional clinical safety data that MedImmune generated in human clinical trials conducted outside of the United States subsequent to the original IND submission, the FDA acknowledged that the risk/benefit assessment for investigation of mavrilimumab in a clinical trial may differ depending on the patient population studied. Specifically, the FDA acknowledged that the risk/benefit assessment for initiation of a clinical trial may be considered favorable in a patient population with high morbidity and limited effective treatment options, including refractory RA. We believe that the FDA's communications with MedImmune suggest that the FDA could find an acceptable risk/benefit for a clinical trial of mavrilimumab in the United States in GCA, a disease with high morbidity and limited treatment options, which we are pursuing. However, the FDA may disagree and may require that we generate additional data, or that we implement additional monitoring or other trial design changes prior to initiating clinical trials of mavrilimumab in the United States.</w:t>
      </w:r>
    </w:p>
    <w:p>
      <w:pPr>
        <w:spacing w:after="0" w:line="193" w:lineRule="exact"/>
        <w:rPr>
          <w:sz w:val="20"/>
          <w:szCs w:val="20"/>
          <w:color w:val="auto"/>
        </w:rPr>
      </w:pPr>
    </w:p>
    <w:p>
      <w:pPr>
        <w:ind w:right="280" w:firstLine="436"/>
        <w:spacing w:after="0" w:line="258" w:lineRule="auto"/>
        <w:rPr>
          <w:sz w:val="20"/>
          <w:szCs w:val="20"/>
          <w:color w:val="auto"/>
        </w:rPr>
      </w:pPr>
      <w:r>
        <w:rPr>
          <w:rFonts w:ascii="Arial" w:cs="Arial" w:eastAsia="Arial" w:hAnsi="Arial"/>
          <w:sz w:val="15"/>
          <w:szCs w:val="15"/>
          <w:color w:val="auto"/>
        </w:rPr>
        <w:t>Further, we could discover that our clinical trial design leads to enrollment difficulties which could require protocol amendments and further delay our study. Successful completion of our clinical trials is a prerequisite to submitting a biologics license application, or BLA, to the FDA and a marketing authorization application, or MAA, to the European Medicines Agency, or EMA, for each product candidate and, consequently, to obtaining approval and initiating commercial marketing of our current and future product candidates. We do not know whether any of our clinical trials will begin or be completed on schedule, if at all.</w:t>
      </w:r>
    </w:p>
    <w:p>
      <w:pPr>
        <w:spacing w:after="0" w:line="175" w:lineRule="exact"/>
        <w:rPr>
          <w:sz w:val="20"/>
          <w:szCs w:val="20"/>
          <w:color w:val="auto"/>
        </w:rPr>
      </w:pPr>
    </w:p>
    <w:p>
      <w:pPr>
        <w:jc w:val="both"/>
        <w:ind w:right="220" w:firstLine="427"/>
        <w:spacing w:after="0" w:line="239" w:lineRule="auto"/>
        <w:rPr>
          <w:sz w:val="20"/>
          <w:szCs w:val="20"/>
          <w:color w:val="auto"/>
        </w:rPr>
      </w:pPr>
      <w:r>
        <w:rPr>
          <w:rFonts w:ascii="Arial" w:cs="Arial" w:eastAsia="Arial" w:hAnsi="Arial"/>
          <w:sz w:val="16"/>
          <w:szCs w:val="16"/>
          <w:color w:val="auto"/>
        </w:rPr>
        <w:t>A failure of one or more clinical trials can occur at any stage of testing, and our future clinical trials may not be successful. We may experience delays in our ongoing clinical trials and we do not know whether planned clinical trials will begin on time, will be allowed by regulatory authorities, need to be redesigned, enroll patients on time or will be completed on schedule, if at all. Events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that may prevent successful or timely completion of clinical development include but are not limited to:</w:t>
      </w:r>
    </w:p>
    <w:p>
      <w:pPr>
        <w:spacing w:after="0" w:line="190" w:lineRule="exact"/>
        <w:rPr>
          <w:sz w:val="20"/>
          <w:szCs w:val="20"/>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inability to generate sufficient pre-clinical, toxicology or other in vivo or in vitro data to support the initiation of human clinical trials;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trial design or implementation;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establishing the appropriate dosage levels or frequency of dosing or treatment in clinical trials;</w:t>
      </w:r>
    </w:p>
    <w:p>
      <w:pPr>
        <w:spacing w:after="0" w:line="177"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CROs, and clinical trial sites, the terms of which can be subject to extensive negotiation and may vary significantly among different CROs and clinical trial sites;</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in obtaining required Institutional Review Board, or IRB, approval at each clinical trial site;</w:t>
      </w:r>
    </w:p>
    <w:p>
      <w:pPr>
        <w:spacing w:after="0" w:line="177" w:lineRule="exact"/>
        <w:rPr>
          <w:rFonts w:ascii="Arial" w:cs="Arial" w:eastAsia="Arial" w:hAnsi="Arial"/>
          <w:sz w:val="16"/>
          <w:szCs w:val="16"/>
          <w:color w:val="auto"/>
        </w:rPr>
      </w:pPr>
    </w:p>
    <w:p>
      <w:pPr>
        <w:ind w:left="960" w:right="340" w:hanging="481"/>
        <w:spacing w:after="0" w:line="24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or failure to obtain regulatory approval to commence a trial, or imposition of a clinical hold by regulatory agencies, after review of an IND, application or amendment, or equivalent application or amendment, or an inspection of our clinical trial operations or study sites;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challenges in recruiting and enrolling suitable patients to participate in our clinical trials;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amendments to protocols amending study criteria and design;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collaborating with patient groups and investigators;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by our CROs, other third parties, or us to adhere to clinical trial requirements or to perform their obligations in a timely or compliant manner;</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perform in accordance with the FDA's good clinical practices requirements, or GCPs, or applicable regulatory guidelines in other countries;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patients not completing participation in a clinical trial or return for post-treatment follow-up;</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clinical trial sites or patients dropping out of a clinical trial;</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participating patients experiencing serious adverse events or undesirable side effects or are exposed to unacceptable health risks;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safety issues, including occurrence of adverse events associated with the product candidate that are viewed to outweigh its potential benefits;</w:t>
      </w:r>
    </w:p>
    <w:p>
      <w:pPr>
        <w:spacing w:after="0" w:line="189"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difficulty in identifying the populations that we are trying to enroll in a particular trial, which may delay enrollment and reduce the power of a clinical trial to detect statistically significant results;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regulatory requirements, policies and guidance that require amending or submitting new clinical protocols;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being greater than we anticipate;</w:t>
      </w:r>
    </w:p>
    <w:p>
      <w:pPr>
        <w:spacing w:after="0" w:line="189" w:lineRule="exact"/>
        <w:rPr>
          <w:rFonts w:ascii="Arial" w:cs="Arial" w:eastAsia="Arial" w:hAnsi="Arial"/>
          <w:sz w:val="16"/>
          <w:szCs w:val="16"/>
          <w:color w:val="auto"/>
        </w:rPr>
      </w:pPr>
    </w:p>
    <w:p>
      <w:pPr>
        <w:ind w:left="960" w:right="540" w:hanging="481"/>
        <w:spacing w:after="0" w:line="24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clinical trials of our product candidates producing negative or inconclusive results, which may result in us deciding, or regulators requiring us, to conduct additional clinical trials or abandon drug development programs; and</w:t>
      </w:r>
    </w:p>
    <w:p>
      <w:pPr>
        <w:spacing w:after="0" w:line="173"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manufacturing, testing, releasing, validating or importing/exporting sufficient stable quantities of our product candidates for use in clinical trials or the inability to do any of the foregoing.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We could encounter delays if a clinical trial is suspended or terminated by us, the IRBs of the institutions in which such trials are being conducted, the Data Safety Monitoring Board, for such trial or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that arise in our trial,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w:t>
      </w:r>
    </w:p>
    <w:p>
      <w:pPr>
        <w:spacing w:after="0" w:line="188"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our product candidates.</w:t>
      </w:r>
    </w:p>
    <w:p>
      <w:pPr>
        <w:spacing w:after="0" w:line="188"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If we experience delays in the completion of any clinical trial of our product candidates or any clinical trial of our product candidates is terminated, the commercial prospects of our product candidates may be harmed, and our ability to generate product revenues from our product candidates, if any, will be delayed. Moreover, any delays in completing our clinical trials will increase our costs, slow down the development and approval process of our product candidates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our product candidates.</w:t>
      </w:r>
    </w:p>
    <w:p>
      <w:pPr>
        <w:spacing w:after="0" w:line="18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Clinical trials must be conducted in accordance with the laws and regulations of the FDA, European Union rules and regulations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our product candidates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European Union and the United States may subject us to further delays and expenses as a result of increased shipment costs, additional regulatory requirements and the engagement of non-EU and non-U.S. CROs, as well as expose us to risks associated with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clinical investigators who are unknown to the FDA or the EMA, and different standards of diagnosis, screening and medical care.</w:t>
      </w:r>
    </w:p>
    <w:p>
      <w:pPr>
        <w:spacing w:after="0" w:line="190"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Further, conducting clinical trials in foreign countries, as we may do for certain of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right="20" w:firstLine="436"/>
        <w:spacing w:after="0" w:line="254" w:lineRule="auto"/>
        <w:rPr>
          <w:sz w:val="20"/>
          <w:szCs w:val="20"/>
          <w:color w:val="auto"/>
        </w:rPr>
      </w:pPr>
      <w:r>
        <w:rPr>
          <w:rFonts w:ascii="Arial" w:cs="Arial" w:eastAsia="Arial" w:hAnsi="Arial"/>
          <w:sz w:val="15"/>
          <w:szCs w:val="15"/>
          <w:color w:val="auto"/>
        </w:rPr>
        <w:t>We must produce, through third parties, sufficient stable quantities of our product candidates for use in our clinical trials. Any delays in the production of our product candidates may lead to a delay in our clinical trials. If we make manufacturing or formulation changes to our product candidates or change manufacturers or manufacturing processes, we may be unsuccessful in producing the product as compared to the process or manufacturer used in prior clinical trials, and therefore may need to conduct additional trials to bridge our modified product candidates to earlier versions, which could impact the timing of commencing or completing our clinical trials. Moreover, there is no assurance that future clinical trials utilizing a new formulation of a product candidate manufactured by different manufacturers or pursuant to a new process will result in the favorable result observed in the prior clinical trials of such product candidates as we have observed to date. For example, we will need to produce mavrilimumab using different media and feed compared to the processes that were used by MedImmune to develop our existing inventory. Further, we will need to identify a third party to manufacture mavrilimumab for any Phase 3 clinical trials and commercialization efforts, if any, and will need to transfer the manufacturing process of mavrilimumab to such third-party CMOs. This manufacturer may be unsuccessful in producing the product in quantities or quality necessary to support our clinical trials or commercialization efforts, if any, which would delay development of the mavrilimumab.</w:t>
      </w:r>
    </w:p>
    <w:p>
      <w:pPr>
        <w:spacing w:after="0" w:line="177"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Clinical trial delays could also shorten any periods during which our products have patent protection and may allow our competitors to bring products to market before we do, which could impair our ability to obtain orphan exclusivity and to successfully commercialize our product candidates and may harm our business and results of operations. Any inability to successfully complete pre-clinical and clinical development could result in additional costs to us or impair our ability to generate revenue and harm our business, financial condition and prospects significantly.</w:t>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We may find it difficult to enroll patients in our clinical trials in a timely manner given the limited number of patients who have the diseases for which our product candidates are being studied, as well as particular enrollment criteria. Difficulty in enrolling patients could delay or prevent clinical trials of our product candidates, and our research and development efforts could be adversely affected.</w:t>
      </w:r>
    </w:p>
    <w:p>
      <w:pPr>
        <w:spacing w:after="0" w:line="179" w:lineRule="exact"/>
        <w:rPr>
          <w:sz w:val="20"/>
          <w:szCs w:val="20"/>
          <w:color w:val="auto"/>
        </w:rPr>
      </w:pPr>
    </w:p>
    <w:p>
      <w:pPr>
        <w:ind w:right="40" w:firstLine="436"/>
        <w:spacing w:after="0" w:line="256" w:lineRule="auto"/>
        <w:rPr>
          <w:sz w:val="20"/>
          <w:szCs w:val="20"/>
          <w:color w:val="auto"/>
        </w:rPr>
      </w:pPr>
      <w:r>
        <w:rPr>
          <w:rFonts w:ascii="Arial" w:cs="Arial" w:eastAsia="Arial" w:hAnsi="Arial"/>
          <w:sz w:val="15"/>
          <w:szCs w:val="15"/>
          <w:color w:val="auto"/>
        </w:rPr>
        <w:t>Identifying and qualifying patients to participate in clinical trials of our product candidates is critical to our success. The timing of our clinical trials depends in part on the speed at which we can recruit patients to participate in testing our product candidates, and we may experience delays in our clinical trials if we encounter difficulties in enrollment. Patient enrollment depends on many factors, including the size and nature of the patient population, eligibility criteria for the clinical trial, the proximity of patients to clinical sites, the design of the clinical protocol, the availability of competing clinical trials, the availability of new drugs approved for the indication the clinical trial is investigating, the risk that patients enrolled in clinical trials will drop out of the trials before completion of their treatment and clinicians' and patients' perceptions as to the safety and potential advantages of the product candidate being studied in relation to other available therapies.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firstLine="436"/>
        <w:spacing w:after="0" w:line="241" w:lineRule="auto"/>
        <w:rPr>
          <w:sz w:val="20"/>
          <w:szCs w:val="20"/>
          <w:color w:val="auto"/>
        </w:rPr>
      </w:pPr>
      <w:r>
        <w:rPr>
          <w:rFonts w:ascii="Arial" w:cs="Arial" w:eastAsia="Arial" w:hAnsi="Arial"/>
          <w:sz w:val="16"/>
          <w:szCs w:val="16"/>
          <w:color w:val="auto"/>
        </w:rPr>
        <w:t>Many of the conditions for which we plan to evaluate our current product candidates in the near future are in small disease populations. Accordingly, there are limited patient pools from which to draw for clinical trials.</w:t>
      </w:r>
    </w:p>
    <w:p>
      <w:pPr>
        <w:spacing w:after="0" w:line="185" w:lineRule="exact"/>
        <w:rPr>
          <w:sz w:val="20"/>
          <w:szCs w:val="20"/>
          <w:color w:val="auto"/>
        </w:rPr>
      </w:pPr>
    </w:p>
    <w:p>
      <w:pPr>
        <w:ind w:right="40" w:firstLine="436"/>
        <w:spacing w:after="0" w:line="253" w:lineRule="auto"/>
        <w:rPr>
          <w:sz w:val="20"/>
          <w:szCs w:val="20"/>
          <w:color w:val="auto"/>
        </w:rPr>
      </w:pPr>
      <w:r>
        <w:rPr>
          <w:rFonts w:ascii="Arial" w:cs="Arial" w:eastAsia="Arial" w:hAnsi="Arial"/>
          <w:sz w:val="15"/>
          <w:szCs w:val="15"/>
          <w:color w:val="auto"/>
        </w:rPr>
        <w:t>In addition to the rarity of these diseases, the eligibility criteria of our clinical trials in any of our clinical trials will further limit the pool of available trial participants as we will require patients to have specific characteristics that we can measure or to assure their disease is either severe enough or not too advanced to include them in a trial. Further, we could learn that our clinical trial design increased the difficulty to enroll patients and could delay our trials. The process of finding and diagnosing patients may prove costly, especially since the rare diseases we are studying are commonly under diagnosed. We also may not be able to identify, recruit, enroll and retain a sufficient number of patients to complete our clinical trials because of the perceived risks and benefits of the product candidate under trial, the proximity and availability of clinical trial sites for prospective patients and the patient referral practices of physicians. The availability and efficacy of competing therapies and clinical trials, and clinicians' and patients' perceptions as to the potential advantages of the product candidate being studied in relation to those available competing therapies and clinical trials, can also adversely impact enrollment. If patients are unwilling to participate in our trials for any reason, the timeline for recruiting patients, conducting trials and obtaining regulatory approval of potential products may be delayed, the commercial prospects of our product candidates will be harmed, and our ability to generate product revenue from any of these product candidates could be delayed or prevented. Moreover, failure to obtain and maintain patient consents can also lead to delay or prevent completion of clinical trials of our product candidates.</w:t>
      </w:r>
    </w:p>
    <w:p>
      <w:pPr>
        <w:spacing w:after="0" w:line="183"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addition, our clinical trials may compete with other clinical trials for product candidates that are in the same therapeutic areas as our product candidates, and this competition may further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Delays in patient enrollment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9" w:lineRule="exact"/>
        <w:rPr>
          <w:sz w:val="20"/>
          <w:szCs w:val="20"/>
          <w:color w:val="auto"/>
        </w:rPr>
      </w:pPr>
    </w:p>
    <w:p>
      <w:pPr>
        <w:ind w:right="420"/>
        <w:spacing w:after="0" w:line="250"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safety risks that could delay or prevent their regulatory approval, limit the commercial profile of an approved label or result in significant negative consequences, including withdrawal of approval, following any potential marketing approval.</w:t>
      </w:r>
    </w:p>
    <w:p>
      <w:pPr>
        <w:spacing w:after="0" w:line="179" w:lineRule="exact"/>
        <w:rPr>
          <w:sz w:val="20"/>
          <w:szCs w:val="20"/>
          <w:color w:val="auto"/>
        </w:rPr>
      </w:pPr>
    </w:p>
    <w:p>
      <w:pPr>
        <w:ind w:right="180" w:firstLine="433"/>
        <w:spacing w:after="0" w:line="239" w:lineRule="auto"/>
        <w:rPr>
          <w:sz w:val="20"/>
          <w:szCs w:val="20"/>
          <w:color w:val="auto"/>
        </w:rPr>
      </w:pPr>
      <w:r>
        <w:rPr>
          <w:rFonts w:ascii="Arial" w:cs="Arial" w:eastAsia="Arial" w:hAnsi="Arial"/>
          <w:sz w:val="16"/>
          <w:szCs w:val="16"/>
          <w:color w:val="auto"/>
        </w:rPr>
        <w:t>Treatment with our product candidates may produce undesirable side effects or adverse reactions or events. 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w:t>
      </w:r>
    </w:p>
    <w:p>
      <w:pPr>
        <w:spacing w:after="0" w:line="186" w:lineRule="exact"/>
        <w:rPr>
          <w:sz w:val="20"/>
          <w:szCs w:val="20"/>
          <w:color w:val="auto"/>
        </w:rPr>
      </w:pPr>
    </w:p>
    <w:p>
      <w:pPr>
        <w:ind w:firstLine="427"/>
        <w:spacing w:after="0" w:line="239" w:lineRule="auto"/>
        <w:rPr>
          <w:sz w:val="20"/>
          <w:szCs w:val="20"/>
          <w:color w:val="auto"/>
        </w:rPr>
      </w:pPr>
      <w:r>
        <w:rPr>
          <w:rFonts w:ascii="Arial" w:cs="Arial" w:eastAsia="Arial" w:hAnsi="Arial"/>
          <w:sz w:val="16"/>
          <w:szCs w:val="16"/>
          <w:color w:val="auto"/>
        </w:rPr>
        <w:t>All of our product candidates modulate the immune system and carry risks associated with immunosuppression, including the theoretical risk of serious infections and cancer. Some common side effects of rilonacept include, cold symptoms, nausea, stomach pain, diarrhea, numbness or tingly feeling and injection site reaction. For mavrilimumab, there is a theoretical risk for the development of pulmonary alveolar proteinosis, or PAP. PAP is a rare lung disorder in which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surfactant-derived lipoproteins accumulate excessively within pulmonary alveoli due to loss of GM-CSF function. The disease can range in severity from a sub-clinical reduction in diffusion capacity to significant dyspnea during mild exertion. In pre-clinical studies conducted by MedImmune, certain effects were observed in the lungs of non-human primates, which led the FDA to issue a clinical hold with respect to MedImmune's proposed clinical trial in rheumatoid arthritis. Pre-clinical data generated to date suggest mavrilimumab does not reach the lungs in sufficient quantities to induce PAP at clinically relevant doses and human trials thus far have not shown a clinical effect on pulmonary function tests attributable to mavrilimumab. If the results of our trials reveal a high or unacceptable severity and prevalence of these or other side effects, the FDA or applicable foreign regulatory agency may not authorize us to initiate our trials, or if initiated, our clinical trials could be suspended or terminated. The FDA or comparable foreign regulatory authorities could order us to cease further development of, or deny or withdraw approval of, any of our product candidates for any or all targeted indications.</w:t>
      </w:r>
    </w:p>
    <w:p>
      <w:pPr>
        <w:spacing w:after="0" w:line="187" w:lineRule="exact"/>
        <w:rPr>
          <w:sz w:val="20"/>
          <w:szCs w:val="20"/>
          <w:color w:val="auto"/>
        </w:rPr>
      </w:pPr>
    </w:p>
    <w:p>
      <w:pPr>
        <w:ind w:right="320" w:firstLine="427"/>
        <w:spacing w:after="0" w:line="241"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caused by such product, a number of potentially significant negative consequences could result, including but not limited to:</w:t>
      </w:r>
    </w:p>
    <w:p>
      <w:pPr>
        <w:spacing w:after="0" w:line="185" w:lineRule="exact"/>
        <w:rPr>
          <w:sz w:val="20"/>
          <w:szCs w:val="20"/>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may withdraw approvals of such product and require us to take them off the market;</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regulatory authorities may require the addition of labeling statements, specific warnings, contraindications or field alerts to physicians and pharmacies;</w:t>
      </w:r>
    </w:p>
    <w:p>
      <w:pPr>
        <w:spacing w:after="0" w:line="189" w:lineRule="exact"/>
        <w:rPr>
          <w:rFonts w:ascii="Arial" w:cs="Arial" w:eastAsia="Arial" w:hAnsi="Arial"/>
          <w:sz w:val="15"/>
          <w:szCs w:val="15"/>
          <w:color w:val="auto"/>
        </w:rPr>
      </w:pPr>
    </w:p>
    <w:p>
      <w:pPr>
        <w:ind w:left="960" w:hanging="481"/>
        <w:spacing w:after="0" w:line="241"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administered, conduct additional clinical trials or change the labeling of products;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subject to limitations on how we promote the product, or sales of the product may decrease significantly;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product may become less competitive; and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190" w:lineRule="exact"/>
        <w:rPr>
          <w:sz w:val="20"/>
          <w:szCs w:val="20"/>
          <w:color w:val="auto"/>
        </w:rPr>
      </w:pPr>
    </w:p>
    <w:p>
      <w:pPr>
        <w:ind w:right="20" w:firstLine="427"/>
        <w:spacing w:after="0" w:line="241"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and could significantly harm our business, results of operations and prospects.</w:t>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i w:val="1"/>
          <w:iCs w:val="1"/>
          <w:color w:val="auto"/>
        </w:rPr>
        <w:t>Prior to our in-license or acquisition of rilonacept, mavrilimumab, KPL-716, KPL-045, and KPL-404, we were not involved in the development of these product candidates and, as a result, we are dependent on Regeneron, MedImmune, Biogen, Novo Nordisk and Primatope having accurately reported the results and correctly collected and interpreted the data from all pre-clinical and clinical trials conducted prior to our acquisition.</w:t>
      </w:r>
    </w:p>
    <w:p>
      <w:pPr>
        <w:spacing w:after="0" w:line="179" w:lineRule="exact"/>
        <w:rPr>
          <w:sz w:val="20"/>
          <w:szCs w:val="20"/>
          <w:color w:val="auto"/>
        </w:rPr>
      </w:pPr>
    </w:p>
    <w:p>
      <w:pPr>
        <w:ind w:right="100" w:firstLine="436"/>
        <w:spacing w:after="0" w:line="238" w:lineRule="auto"/>
        <w:rPr>
          <w:sz w:val="20"/>
          <w:szCs w:val="20"/>
          <w:color w:val="auto"/>
        </w:rPr>
      </w:pPr>
      <w:r>
        <w:rPr>
          <w:rFonts w:ascii="Arial" w:cs="Arial" w:eastAsia="Arial" w:hAnsi="Arial"/>
          <w:sz w:val="16"/>
          <w:szCs w:val="16"/>
          <w:color w:val="auto"/>
        </w:rPr>
        <w:t>We had no involvement with or control over the pre-clinical and clinical development of any of our product candidates prior to our in-license or acquisition of them. We are dependent on Regeneron, MedImmune, Biogen, Novo Nordisk, and Primatope having conducted their research and development in accordance with the applicable protocols and legal, regulatory and scientific standards; having accurately reported the results of all pre-clinical studies and clinical trials conducted prior to our in-license or acquisition; and having correctly collected and interpreted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data from these trials. If these activities were not compliant, accurate or correct, the clinical development, regulatory approval, or commercialization of one or more of our product candidates will be adversely affected.</w:t>
      </w:r>
    </w:p>
    <w:p>
      <w:pPr>
        <w:spacing w:after="0" w:line="167"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b w:val="1"/>
          <w:bCs w:val="1"/>
          <w:i w:val="1"/>
          <w:iCs w:val="1"/>
          <w:color w:val="auto"/>
        </w:rPr>
        <w:t>If we cannot replicate positive results from earlier pre-clinical studies conducted by us or the companies from whom we have licensed or acquired or may in the future license or acquire our product candidates in our later clinical trials, we may be unable to successfully develop, obtain regulatory approval for and commercialize our product candidates. We have not yet generated any human data demonstrating efficacy in the diseases in which we are studying our product candidates, and we may never be able to do so.</w:t>
      </w:r>
    </w:p>
    <w:p>
      <w:pPr>
        <w:spacing w:after="0" w:line="183"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Positive results from our pre-clinical studies, and any positive results we may obtain from our early clinical trials of our product candidates or from the clinical trials conducted by the companies from whom we licensed or acquired or may in the future license or acquire our product candidates, may not necessarily be predictive of the results from our required later pre-clinical studies and clinical trials. Similarly, even if we are able to complete our planned pre-clinical studies or clinical trials of our product candidates, the positive results from the pre-clinical studies and clinical trials of our product candidates may not be replicated in our subsequent pre-clinical studies or clinical trial results. None of our product candidates have been studied for the indications in which we are developing them, and we cannot provide any assurance that their development will be successful. For example, although rilonacept is FDA-approved for the treatment of CAPS, and mavrilimumab has been studied in Phase 2 clinical trials for the treatment of RA, their safety and efficacy has not been determined in recurrent pericarditis or GCA, respectively, and each may fail to receive regulatory approval for those indications.</w:t>
      </w:r>
    </w:p>
    <w:p>
      <w:pPr>
        <w:spacing w:after="0" w:line="187" w:lineRule="exact"/>
        <w:rPr>
          <w:sz w:val="20"/>
          <w:szCs w:val="20"/>
          <w:color w:val="auto"/>
        </w:rPr>
      </w:pPr>
    </w:p>
    <w:p>
      <w:pPr>
        <w:ind w:right="100" w:firstLine="436"/>
        <w:spacing w:after="0" w:line="255" w:lineRule="auto"/>
        <w:rPr>
          <w:sz w:val="20"/>
          <w:szCs w:val="20"/>
          <w:color w:val="auto"/>
        </w:rPr>
      </w:pPr>
      <w:r>
        <w:rPr>
          <w:rFonts w:ascii="Arial" w:cs="Arial" w:eastAsia="Arial" w:hAnsi="Arial"/>
          <w:sz w:val="15"/>
          <w:szCs w:val="15"/>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or EMA approval. Furthermore, the approval policies or regulations of the FDA or the applicable foreign regulatory agencies may significantly change in a manner rendering our clinical data insufficient for approval, which may lead to the FDA or any foreign regulatory bodies delaying, limiting or denying approval of our product candidates.</w:t>
      </w:r>
    </w:p>
    <w:p>
      <w:pPr>
        <w:spacing w:after="0" w:line="159"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8" w:lineRule="exact"/>
        <w:rPr>
          <w:sz w:val="20"/>
          <w:szCs w:val="20"/>
          <w:color w:val="auto"/>
        </w:rPr>
      </w:pPr>
    </w:p>
    <w:p>
      <w:pPr>
        <w:ind w:right="380" w:firstLine="436"/>
        <w:spacing w:after="0" w:line="237" w:lineRule="auto"/>
        <w:rPr>
          <w:sz w:val="20"/>
          <w:szCs w:val="20"/>
          <w:color w:val="auto"/>
        </w:rPr>
      </w:pPr>
      <w:r>
        <w:rPr>
          <w:rFonts w:ascii="Arial" w:cs="Arial" w:eastAsia="Arial" w:hAnsi="Arial"/>
          <w:sz w:val="16"/>
          <w:szCs w:val="16"/>
          <w:color w:val="auto"/>
        </w:rPr>
        <w:t>From time to time, we may publish interim "top-line" or preliminary data from our clinical trials. Preliminary or interim data from clinical trials that we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i w:val="1"/>
          <w:iCs w:val="1"/>
          <w:color w:val="auto"/>
        </w:rPr>
        <w:t>Regulatory approval processes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79" w:lineRule="exact"/>
        <w:rPr>
          <w:sz w:val="20"/>
          <w:szCs w:val="20"/>
          <w:color w:val="auto"/>
        </w:rPr>
      </w:pPr>
    </w:p>
    <w:p>
      <w:pPr>
        <w:ind w:firstLine="436"/>
        <w:spacing w:after="0" w:line="253" w:lineRule="auto"/>
        <w:rPr>
          <w:sz w:val="20"/>
          <w:szCs w:val="20"/>
          <w:color w:val="auto"/>
        </w:rPr>
      </w:pPr>
      <w:r>
        <w:rPr>
          <w:rFonts w:ascii="Arial" w:cs="Arial" w:eastAsia="Arial" w:hAnsi="Arial"/>
          <w:sz w:val="15"/>
          <w:szCs w:val="15"/>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or clearance to market any of our product candidates from regulatory authorities in any jurisdiction and it is possible that none of our product candidates or any product candidates we may seek to develop in the future will ever obtain regulatory approval or clearance. We have only limited experience in filing and supporting the applications necessary to gain regulatory approvals and may need to rely on third-party CROs and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biologic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The FDA and other regulatory authorities have substantial discretion in the approval process, and determining when or whether regulatory approval will be obtained for a product candidate. Even if we believe the data collected from clinical trials are promising, such data may not be sufficient to support approval by the FDA or any other regulatory authority.</w:t>
      </w:r>
    </w:p>
    <w:p>
      <w:pPr>
        <w:spacing w:after="0" w:line="181"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process of obtaining regulatory approvals, both in the United States and in other countries,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trials. Approval by the FDA in the United States, if obtained, does not ensure approval by regulatory authorities in other countries or jurisdictions. Our product candidates could be delayed in receiving, or fail to receive, regulatory approval for many reasons, including the following:</w:t>
      </w:r>
    </w:p>
    <w:p>
      <w:pPr>
        <w:spacing w:after="0" w:line="187" w:lineRule="exact"/>
        <w:rPr>
          <w:sz w:val="20"/>
          <w:szCs w:val="20"/>
          <w:color w:val="auto"/>
        </w:rPr>
      </w:pPr>
    </w:p>
    <w:p>
      <w:pPr>
        <w:ind w:left="960" w:right="260" w:hanging="481"/>
        <w:spacing w:after="0" w:line="24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the number, design or implementation of our clinical trials to support further development or approval;</w:t>
      </w:r>
    </w:p>
    <w:p>
      <w:pPr>
        <w:spacing w:after="0" w:line="185" w:lineRule="exact"/>
        <w:rPr>
          <w:rFonts w:ascii="Arial" w:cs="Arial" w:eastAsia="Arial" w:hAnsi="Arial"/>
          <w:sz w:val="16"/>
          <w:szCs w:val="16"/>
          <w:color w:val="auto"/>
        </w:rPr>
      </w:pPr>
    </w:p>
    <w:p>
      <w:pPr>
        <w:ind w:left="960" w:right="440" w:hanging="481"/>
        <w:spacing w:after="0" w:line="24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w:t>
      </w:r>
    </w:p>
    <w:p>
      <w:pPr>
        <w:spacing w:after="0" w:line="173" w:lineRule="exact"/>
        <w:rPr>
          <w:rFonts w:ascii="Arial" w:cs="Arial" w:eastAsia="Arial" w:hAnsi="Arial"/>
          <w:sz w:val="16"/>
          <w:szCs w:val="16"/>
          <w:color w:val="auto"/>
        </w:rPr>
      </w:pPr>
    </w:p>
    <w:p>
      <w:pPr>
        <w:ind w:left="960" w:right="580" w:hanging="481"/>
        <w:spacing w:after="0" w:line="24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results of clinical trials may not meet the level of statistical significance required by the FDA or comparable foreign regulatory authorities for approval;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77" w:lineRule="exact"/>
        <w:rPr>
          <w:rFonts w:ascii="Arial" w:cs="Arial" w:eastAsia="Arial" w:hAnsi="Arial"/>
          <w:sz w:val="16"/>
          <w:szCs w:val="16"/>
          <w:color w:val="auto"/>
        </w:rPr>
      </w:pPr>
    </w:p>
    <w:p>
      <w:pPr>
        <w:ind w:left="960" w:right="240" w:hanging="481"/>
        <w:spacing w:after="0" w:line="24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that we have provided sufficient safety data or adequately demonstrated clinical benefit in a patient population or subpopulation studied in the clinical trial;</w:t>
      </w:r>
    </w:p>
    <w:p>
      <w:pPr>
        <w:spacing w:after="0" w:line="173" w:lineRule="exact"/>
        <w:rPr>
          <w:rFonts w:ascii="Arial" w:cs="Arial" w:eastAsia="Arial" w:hAnsi="Arial"/>
          <w:sz w:val="16"/>
          <w:szCs w:val="16"/>
          <w:color w:val="auto"/>
        </w:rPr>
      </w:pPr>
    </w:p>
    <w:p>
      <w:pPr>
        <w:ind w:left="960" w:right="420" w:hanging="481"/>
        <w:spacing w:after="0" w:line="24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or other submission or to obtain regulatory approval in the United States or elsewhere;</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authority could require us to collect additional data or conduct additional clinical studies;</w:t>
      </w:r>
    </w:p>
    <w:p>
      <w:pPr>
        <w:spacing w:after="0" w:line="177" w:lineRule="exact"/>
        <w:rPr>
          <w:rFonts w:ascii="Arial" w:cs="Arial" w:eastAsia="Arial" w:hAnsi="Arial"/>
          <w:sz w:val="16"/>
          <w:szCs w:val="16"/>
          <w:color w:val="auto"/>
        </w:rPr>
      </w:pPr>
    </w:p>
    <w:p>
      <w:pPr>
        <w:ind w:left="960" w:right="100" w:hanging="481"/>
        <w:spacing w:after="0" w:line="239"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we may fail to recruit suitable patients to participate in a trial;</w:t>
      </w:r>
    </w:p>
    <w:p>
      <w:pPr>
        <w:spacing w:after="0" w:line="174" w:lineRule="exact"/>
        <w:rPr>
          <w:rFonts w:ascii="Arial" w:cs="Arial" w:eastAsia="Arial" w:hAnsi="Arial"/>
          <w:sz w:val="16"/>
          <w:szCs w:val="16"/>
          <w:color w:val="auto"/>
        </w:rPr>
      </w:pPr>
    </w:p>
    <w:p>
      <w:pPr>
        <w:ind w:left="960" w:hanging="481"/>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89" w:lineRule="exact"/>
        <w:rPr>
          <w:rFonts w:ascii="Arial" w:cs="Arial" w:eastAsia="Arial" w:hAnsi="Arial"/>
          <w:sz w:val="16"/>
          <w:szCs w:val="16"/>
          <w:color w:val="auto"/>
        </w:rPr>
      </w:pPr>
    </w:p>
    <w:p>
      <w:pPr>
        <w:ind w:left="960" w:right="60" w:hanging="481"/>
        <w:spacing w:after="0" w:line="239"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not believe that we have sufficiently demonstrated our ability to manufacture the products to the requisite level of quality standards, or they may fail to approve our manufacturing processes or facilities, or the manufacturing processes or facilities of third-party manufacturers with which we contract for clinical and commercial supplies;</w:t>
      </w:r>
    </w:p>
    <w:p>
      <w:pPr>
        <w:spacing w:after="0" w:line="174" w:lineRule="exact"/>
        <w:rPr>
          <w:rFonts w:ascii="Arial" w:cs="Arial" w:eastAsia="Arial" w:hAnsi="Arial"/>
          <w:sz w:val="16"/>
          <w:szCs w:val="16"/>
          <w:color w:val="auto"/>
        </w:rPr>
      </w:pPr>
    </w:p>
    <w:p>
      <w:pPr>
        <w:ind w:left="960" w:right="220" w:hanging="481"/>
        <w:spacing w:after="0" w:line="24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may be insufficient or inadequate;</w:t>
      </w:r>
    </w:p>
    <w:p>
      <w:pPr>
        <w:spacing w:after="0" w:line="173" w:lineRule="exact"/>
        <w:rPr>
          <w:rFonts w:ascii="Arial" w:cs="Arial" w:eastAsia="Arial" w:hAnsi="Arial"/>
          <w:sz w:val="16"/>
          <w:szCs w:val="16"/>
          <w:color w:val="auto"/>
        </w:rPr>
      </w:pPr>
    </w:p>
    <w:p>
      <w:pPr>
        <w:ind w:left="960" w:right="760" w:hanging="481"/>
        <w:spacing w:after="0" w:line="24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causing us or our investigators, regulators or institutional review boards to suspend or terminate the clinical trials; and</w:t>
      </w:r>
    </w:p>
    <w:p>
      <w:pPr>
        <w:spacing w:after="0" w:line="185"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in a manner rendering our clinical data insufficient for approval.</w:t>
      </w:r>
    </w:p>
    <w:p>
      <w:pPr>
        <w:spacing w:after="0" w:line="185"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In addition, even if we were to obtain approval for one or more of our product candidates, regulatory authorities may approve any of our product candidates for fewer or more limited indications than we request. For example, in connection with our KPL-716 program, regulatory authorities may recognize a narrower patient population as having prurigo nodularis or define the disease differently than we do. Furthermore, regulatory authorities may not approve the price we intend to charge, may grant approval contingent on the performance of costly post-marketing clinical trials, may impose certain post-marketing requirements that impose limits on our marketing and distribution activities,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5" w:lineRule="exact"/>
        <w:rPr>
          <w:sz w:val="20"/>
          <w:szCs w:val="20"/>
          <w:color w:val="auto"/>
        </w:rPr>
      </w:pPr>
    </w:p>
    <w:p>
      <w:pPr>
        <w:ind w:right="200" w:firstLine="436"/>
        <w:spacing w:after="0" w:line="241" w:lineRule="auto"/>
        <w:rPr>
          <w:sz w:val="20"/>
          <w:szCs w:val="20"/>
          <w:color w:val="auto"/>
        </w:rPr>
      </w:pPr>
      <w:r>
        <w:rPr>
          <w:rFonts w:ascii="Arial" w:cs="Arial" w:eastAsia="Arial" w:hAnsi="Arial"/>
          <w:sz w:val="16"/>
          <w:szCs w:val="16"/>
          <w:color w:val="auto"/>
        </w:rPr>
        <w:t>If we experience delays in obtaining approval or if we fail to obtain approval of our product candidates, the commercial prospects for our product candidates may be harmed and our ability to generate revenue will be materially impaired.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regulated as biologics in the United States may face competition sooner than anticipated.</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United States, 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running from this 2008 approval,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have a material adverse effect on the future commercial prospects of our product candidates.</w:t>
      </w:r>
    </w:p>
    <w:p>
      <w:pPr>
        <w:spacing w:after="0" w:line="186"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Rilonacept was approved as a biological product under a BLA for the treatment of CAPS in 2008, and we believe it should qualify for the 12-year period of exclusivity against any biosimilars. However, there is a risk that this exclusivity could be shortened due to congressional action or otherwise, or that the FDA will not consider rilonacept, or any of our other product candidates, to be reference products for competing products, potentially creating the opportunity for generic competition sooner than anticipated. In addition, we plan to submit a supplemental BLA for rilonacept for the treatment of recurrent pericarditis, and the 12-year exclusivity period does not attach to the approval of a supplemental BLA.</w:t>
      </w:r>
    </w:p>
    <w:p>
      <w:pPr>
        <w:spacing w:after="0" w:line="189" w:lineRule="exact"/>
        <w:rPr>
          <w:sz w:val="20"/>
          <w:szCs w:val="20"/>
          <w:color w:val="auto"/>
        </w:rPr>
      </w:pPr>
    </w:p>
    <w:p>
      <w:pPr>
        <w:jc w:val="both"/>
        <w:ind w:right="20" w:firstLine="436"/>
        <w:spacing w:after="0" w:line="239" w:lineRule="auto"/>
        <w:rPr>
          <w:sz w:val="20"/>
          <w:szCs w:val="20"/>
          <w:color w:val="auto"/>
        </w:rPr>
      </w:pPr>
      <w:r>
        <w:rPr>
          <w:rFonts w:ascii="Arial" w:cs="Arial" w:eastAsia="Arial" w:hAnsi="Arial"/>
          <w:sz w:val="16"/>
          <w:szCs w:val="16"/>
          <w:color w:val="auto"/>
        </w:rPr>
        <w:t>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products is not yet clear, and will depend on a number of marketplace and regulatory factors that are still developing.</w:t>
      </w:r>
    </w:p>
    <w:p>
      <w:pPr>
        <w:spacing w:after="0" w:line="168" w:lineRule="exact"/>
        <w:rPr>
          <w:sz w:val="20"/>
          <w:szCs w:val="20"/>
          <w:color w:val="auto"/>
        </w:rPr>
      </w:pPr>
    </w:p>
    <w:p>
      <w:pPr>
        <w:ind w:right="140"/>
        <w:spacing w:after="0" w:line="298" w:lineRule="auto"/>
        <w:rPr>
          <w:sz w:val="20"/>
          <w:szCs w:val="20"/>
          <w:color w:val="auto"/>
        </w:rPr>
      </w:pPr>
      <w:r>
        <w:rPr>
          <w:rFonts w:ascii="Arial" w:cs="Arial" w:eastAsia="Arial" w:hAnsi="Arial"/>
          <w:sz w:val="15"/>
          <w:szCs w:val="15"/>
          <w:b w:val="1"/>
          <w:bCs w:val="1"/>
          <w:i w:val="1"/>
          <w:iCs w:val="1"/>
          <w:color w:val="auto"/>
        </w:rPr>
        <w:t>Even if we obtain marketing approval of our product candidates in a major pharmaceutical market such as the United States or the European Union, we may not obtain approval or commercialize our product candidates in other markets, which would limit our ability to realize their full market potential.</w:t>
      </w:r>
    </w:p>
    <w:p>
      <w:pPr>
        <w:spacing w:after="0" w:line="145"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jc w:val="both"/>
        <w:ind w:right="460"/>
        <w:spacing w:after="0" w:line="250" w:lineRule="auto"/>
        <w:rPr>
          <w:sz w:val="20"/>
          <w:szCs w:val="20"/>
          <w:color w:val="auto"/>
        </w:rPr>
      </w:pPr>
      <w:r>
        <w:rPr>
          <w:rFonts w:ascii="Arial" w:cs="Arial" w:eastAsia="Arial" w:hAnsi="Arial"/>
          <w:sz w:val="16"/>
          <w:szCs w:val="16"/>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any product candidate for which we obtain orphan drug designation.</w:t>
      </w:r>
    </w:p>
    <w:p>
      <w:pPr>
        <w:spacing w:after="0" w:line="179"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As part of our business strategy, we intend to seek orphan drug designation for certain of our product candidates, such as rilonacept, and we may be unsuccessful or unable to maintain the associated benefits. Regulatory authorities in some jurisdictions, including the United States and Europe, may designate drugs or biologics intended to treat relatively small patient populations as orphan drug products. Under the U.S.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In the European Union, the European Commission grants orphan drug designation after receiving the opinion of the EMA's Committee for Orphan Medicinal Products on an Orphan Drug Designation application. In the European Union, Orphan Drug Designation is intended to promote the development of drugs that are intended for the diagnosis, prevention or treatment of life-threatening or chronically debilitating conditions affecting not more than five in 10,000 persons in the European Union and for which no satisfactory method of diagnosis, prevention, or treatment has been authorized (or the product would be a significant benefit to those affected). Additionally, orphan designation is granted for drugs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 as well as potential marketing exclusivity.</w:t>
      </w:r>
    </w:p>
    <w:p>
      <w:pPr>
        <w:spacing w:after="0" w:line="187"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In addition, if a drug or biologic with an orphan drug designation subsequently receives the first marketing approval for the indication for which it has such designation, the drug or biologic is entitled to a period of marketing exclusivity, which precludes the FDA from approving another marketing application for the same drug and indication for that time period, except in limited circumstances. If our competitors are able to obtain orphan drug exclusivity prior to use, for products that constitute the "same drug" and treat the same indications as our product candidates, we may not be able to have competing products approved by the applicable regulatory authority for a significant period of time.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Even if we obtain orphan drug exclusivity for any of our product candidates, that exclusivity may not effectively protect those product candidates from competition because different drugs can be approved for the same condition, and orphan drug exclusivity does not prevent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80"/>
        <w:spacing w:after="0" w:line="239" w:lineRule="auto"/>
        <w:rPr>
          <w:sz w:val="20"/>
          <w:szCs w:val="20"/>
          <w:color w:val="auto"/>
        </w:rPr>
      </w:pPr>
      <w:r>
        <w:rPr>
          <w:rFonts w:ascii="Arial" w:cs="Arial" w:eastAsia="Arial" w:hAnsi="Arial"/>
          <w:sz w:val="16"/>
          <w:szCs w:val="16"/>
          <w:color w:val="auto"/>
        </w:rPr>
        <w:t>or condition. Orphan drug designation neither shortens the development time or regulatory review time of a drug nor gives the drug any advantage in the regulatory review or approval process. While we intend to seek Orphan Drug Designation for our other product candidates in addition to rilonacept, we may never receive such designations. Even if we do receive such designations, there is no guarantee that we will enjoy the benefits of those designations.</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i w:val="1"/>
          <w:iCs w:val="1"/>
          <w:color w:val="auto"/>
        </w:rPr>
        <w:t>We may seek Breakthrough Therapy designation or Fast Track designation by the FDA for one or more of our product candidates, but we may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179" w:lineRule="exact"/>
        <w:rPr>
          <w:sz w:val="20"/>
          <w:szCs w:val="20"/>
          <w:color w:val="auto"/>
        </w:rPr>
      </w:pPr>
    </w:p>
    <w:p>
      <w:pPr>
        <w:ind w:right="220" w:firstLine="436"/>
        <w:spacing w:after="0" w:line="256" w:lineRule="auto"/>
        <w:rPr>
          <w:sz w:val="20"/>
          <w:szCs w:val="20"/>
          <w:color w:val="auto"/>
        </w:rPr>
      </w:pPr>
      <w:r>
        <w:rPr>
          <w:rFonts w:ascii="Arial" w:cs="Arial" w:eastAsia="Arial" w:hAnsi="Arial"/>
          <w:sz w:val="15"/>
          <w:szCs w:val="15"/>
          <w:color w:val="auto"/>
        </w:rPr>
        <w:t>We may seek a Breakthrough Therapy or Fast Track designation for some of our product candidates. 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accelerated approval.</w:t>
      </w:r>
    </w:p>
    <w:p>
      <w:pPr>
        <w:spacing w:after="0" w:line="175"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If a product candidate is intended for the treatment of a serious or life-threatening condition and clinical or pre-clinical data demonstrate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have obtained Fast Track Designation for one or more of our product candidates, we may not experience a faster development process, review or approval compared to non-expedited FDA review procedures. In addition, the FDA may withdraw Fast Track Designation for any product candidate that is granted if it believes that the designation is no longer supported. Fast Track Designation alone does not guarantee qualification for the FDA's priority review procedures.</w:t>
      </w:r>
    </w:p>
    <w:p>
      <w:pPr>
        <w:spacing w:after="0" w:line="188"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Whether to grant Breakthrough Therapy or Fast Track Designation is within the discretion of the FDA. Accordingly, even if we believe one of our product candidates meets the criteria for these designations, the FDA may disagree and instead determine not to make such designation. In any event, the receipt of either of these designations for a product candidate may not result in a faster development process, review or approval compared to product candidates considered for approval under non-expedited FDA review procedures and does not assure ultimate approval by the FDA. In addition, even if one or more of our product candidates qualify for either of these designations, the FDA may later decide that the product candidates no longer meet the conditions for qualification.</w:t>
      </w:r>
    </w:p>
    <w:p>
      <w:pPr>
        <w:spacing w:after="0" w:line="17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b w:val="1"/>
          <w:bCs w:val="1"/>
          <w:i w:val="1"/>
          <w:iCs w:val="1"/>
          <w:color w:val="auto"/>
        </w:rPr>
        <w:t>We have never completed a Phase 3 clinical trial or obtained marketing approval for any product candidate and we may be unable to successfully do so for any of our product candidates. Failure to successfully complete any of these activities in a timely manner for any of our product candidates could have a material adverse impact on our business and financial performance.</w:t>
      </w:r>
    </w:p>
    <w:p>
      <w:pPr>
        <w:spacing w:after="0" w:line="179" w:lineRule="exact"/>
        <w:rPr>
          <w:sz w:val="20"/>
          <w:szCs w:val="20"/>
          <w:color w:val="auto"/>
        </w:rPr>
      </w:pPr>
    </w:p>
    <w:p>
      <w:pPr>
        <w:jc w:val="both"/>
        <w:ind w:right="40" w:firstLine="436"/>
        <w:spacing w:after="0" w:line="239" w:lineRule="auto"/>
        <w:rPr>
          <w:sz w:val="20"/>
          <w:szCs w:val="20"/>
          <w:color w:val="auto"/>
        </w:rPr>
      </w:pPr>
      <w:r>
        <w:rPr>
          <w:rFonts w:ascii="Arial" w:cs="Arial" w:eastAsia="Arial" w:hAnsi="Arial"/>
          <w:sz w:val="16"/>
          <w:szCs w:val="16"/>
          <w:color w:val="auto"/>
        </w:rPr>
        <w:t>Conducting a pivotal clinical trial and preparing, and obtaining marketing approval for, a product candidate is a complicated process. Although members of our management team have participated in pivotal trials and obtained marketing approvals for product candidates in the past while employed at other companies, we as a company have not done so. As a result,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activities may require more time and cost more than we anticipate. Failure to successfully complete, or delays in, any of our eventual pivotal trials or related regulatory submissions would prevent us from or delay us in obtaining regulatory approval for, or clearance of, our product candidates. In addition, it is possible that the FDA may refuse to accept for substantive review any BLA submissions that we submit for our product candidates or may conclude after review of our applications that they are insufficient to obtain marketing approval or clearance of our product candidates. If the FDA does not accept our applications or issue marketing authorizations for our product candidates, it may require that we conduct additional clinical, pre-clinical or manufacturing validation trials and submit that data before it will reconsider our applications. Depending on the extent of these or any other FDA-required trials, approval of any BLA or receipt of other marketing authorizations for any other applications that we submit may be delayed by several years, or may require us to expend more resources than we have available. It is also possible that additional trials, if performed and completed, may not be considered sufficient by the FDA to approve our BLAs or grant other marketing authorizations. 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Manufacturing and Our Dependence on Third Parties</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We contract with third parties for manufacturing our product candidates and for pre-clinical and clinical development and expect to continue to do so for our commercial supply. This reliance on third parties increases the risk that we may not have sufficient quantities of our product candidates or such quantities at an acceptable cost, which could delay, prevent or impair our development or commercialization efforts.</w:t>
      </w:r>
    </w:p>
    <w:p>
      <w:pPr>
        <w:spacing w:after="0" w:line="179"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do not currently own or operate any manufacturing facilities. Although we may build small scale manufacturing facilities for the production of drug substance to support our clinical trials, we rely, and expect to continue to rely, on third parties for the manufacture of our product candidates for the majority of our pre-clinical development and clinical testing, as well as for the commercial manufacture of our product candidates, if approved. We rely on these third parties to develop the processes necessary to produce our product candidates at sufficient quality and quantity to support our development and commercialization efforts. Our reliance increases the risk that we will have insufficient quantities of our product candidates or that our product candidates are not produced at an acceptable cost or quality, which could delay, prevent or impair our development or commercialization efforts.</w:t>
      </w:r>
    </w:p>
    <w:p>
      <w:pPr>
        <w:spacing w:after="0" w:line="188"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We plan to enter into agreements with CMOs to produce mavrilimumab beyond our current inventory. We will need to transfer the technology to manufacture mavrilimumab to these CMOs, and these CMOs may decide or be required to adopt different manufacturing protocols or processes. In addition, we will need to produce mavrilimumab using different media and feed compared to the processes that were used by MedImmune to develop our existing inventory. We cannot provide any assurance that the technology transfer or process development will be successful, or that any CMO will be successful in producing mavrilimumab in sufficient quantities or of acceptable quality, if at all. We also contract with Regeneron to produce rilonacept, with CMOs for the manufacture of KPL-716 drug substance and drug product, and CMOs to produce our pre-clinical product candidates, KPL-045 and KPL-404.</w:t>
      </w:r>
    </w:p>
    <w:p>
      <w:pPr>
        <w:spacing w:after="0" w:line="188" w:lineRule="exact"/>
        <w:rPr>
          <w:sz w:val="20"/>
          <w:szCs w:val="20"/>
          <w:color w:val="auto"/>
        </w:rPr>
      </w:pPr>
    </w:p>
    <w:p>
      <w:pPr>
        <w:ind w:right="20" w:firstLine="433"/>
        <w:spacing w:after="0" w:line="262" w:lineRule="auto"/>
        <w:rPr>
          <w:sz w:val="20"/>
          <w:szCs w:val="20"/>
          <w:color w:val="auto"/>
        </w:rPr>
      </w:pPr>
      <w:r>
        <w:rPr>
          <w:rFonts w:ascii="Arial" w:cs="Arial" w:eastAsia="Arial" w:hAnsi="Arial"/>
          <w:sz w:val="15"/>
          <w:szCs w:val="15"/>
          <w:color w:val="auto"/>
        </w:rPr>
        <w:t>The facilities used by our contract manufacturers to manufacture our product candidates may be inspected by the FDA and other comparable regulatory authorities in connection with the submission of our marketing applications to, and review by, the FDA. While we provide oversight of manufacturing activities, we do not and will not control the manufacturing process of, and will be completely dependent on, our contract manufacturers for compliance with cGMPs and other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regulatory requirements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if approved, operating restrictions and criminal prosecutions, any of which could significantly and adversely affect our business and supplies of our product candidates.</w:t>
      </w:r>
    </w:p>
    <w:p>
      <w:pPr>
        <w:spacing w:after="0" w:line="186" w:lineRule="exact"/>
        <w:rPr>
          <w:sz w:val="20"/>
          <w:szCs w:val="20"/>
          <w:color w:val="auto"/>
        </w:rPr>
      </w:pPr>
    </w:p>
    <w:p>
      <w:pPr>
        <w:ind w:right="200" w:firstLine="427"/>
        <w:spacing w:after="0" w:line="239" w:lineRule="auto"/>
        <w:rPr>
          <w:sz w:val="20"/>
          <w:szCs w:val="20"/>
          <w:color w:val="auto"/>
        </w:rPr>
      </w:pPr>
      <w:r>
        <w:rPr>
          <w:rFonts w:ascii="Arial" w:cs="Arial" w:eastAsia="Arial" w:hAnsi="Arial"/>
          <w:sz w:val="16"/>
          <w:szCs w:val="16"/>
          <w:color w:val="auto"/>
        </w:rPr>
        <w:t>Although we have entered into certain agreements for the manufacture of clinical material for our product candidates, we may be unable to establish new agreements on acceptable terms, if at all, with third-party manufacturers for those product candidates. Even if we are able to establish agreements with third-party manufacturers, reliance on third-party manufacturers entails additional risks, including:</w:t>
      </w:r>
    </w:p>
    <w:p>
      <w:pPr>
        <w:spacing w:after="0" w:line="186" w:lineRule="exact"/>
        <w:rPr>
          <w:sz w:val="20"/>
          <w:szCs w:val="20"/>
          <w:color w:val="auto"/>
        </w:rPr>
      </w:pPr>
    </w:p>
    <w:p>
      <w:pPr>
        <w:ind w:left="960" w:hanging="481"/>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reliance on the third-party for regulatory compliance and quality assurance;</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possible breach of the manufacturing agreement by the third-party;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possible termination or nonrenewal of the agreement by the third-party at a time that is costly or inconvenient for us.</w:t>
      </w:r>
    </w:p>
    <w:p>
      <w:pPr>
        <w:spacing w:after="0" w:line="190"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Our product candidates may compete with other product candidates and approved products for access to manufacturing facilities. There are a limited number of manufacturers that operate under cGMP regulations and that might be capable of manufacturing for us. Further, Regeneron has an exclusive right to produce rilonacept for a period of time.</w:t>
      </w:r>
    </w:p>
    <w:p>
      <w:pPr>
        <w:spacing w:after="0" w:line="186" w:lineRule="exact"/>
        <w:rPr>
          <w:sz w:val="20"/>
          <w:szCs w:val="20"/>
          <w:color w:val="auto"/>
        </w:rPr>
      </w:pPr>
    </w:p>
    <w:p>
      <w:pPr>
        <w:ind w:firstLine="427"/>
        <w:spacing w:after="0" w:line="239"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If our current CMOs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86" w:lineRule="exact"/>
        <w:rPr>
          <w:sz w:val="20"/>
          <w:szCs w:val="20"/>
          <w:color w:val="auto"/>
        </w:rPr>
      </w:pPr>
    </w:p>
    <w:p>
      <w:pPr>
        <w:ind w:right="160" w:firstLine="436"/>
        <w:spacing w:after="0" w:line="258" w:lineRule="auto"/>
        <w:rPr>
          <w:sz w:val="20"/>
          <w:szCs w:val="20"/>
          <w:color w:val="auto"/>
        </w:rPr>
      </w:pPr>
      <w:r>
        <w:rPr>
          <w:rFonts w:ascii="Arial" w:cs="Arial" w:eastAsia="Arial" w:hAnsi="Arial"/>
          <w:sz w:val="15"/>
          <w:szCs w:val="15"/>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175"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68"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owned by us, including the components of our product and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i w:val="1"/>
          <w:iCs w:val="1"/>
          <w:color w:val="auto"/>
        </w:rPr>
        <w:t>Manufacturing issues at the facilities of our third-party service providers could cause product shortages, disrupt or delay our clinical trials or regulatory approvals, delay or stop commercialization of our products, and adversely affect our business.</w:t>
      </w:r>
    </w:p>
    <w:p>
      <w:pPr>
        <w:spacing w:after="0" w:line="168"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manufacture of our product candidates is highly regulated, complex and difficult, requiring a multi-step and controlled process, and even minor problems or deviations could result in defects or failures, such as defective products or manufacturing failures. We have limited experience overseeing the manufacturing process of KPL-716 and no experience overseeing the manufacturing process of rilonacept, mavrilimumab, KPL-404 and KPL-045. Due to the highly technical requirements of manufacturing our products and the strict quality and control specifications, we and our third-party providers may be unable to manufacture or supply our product candidates despite our and their efforts. Failure to produce sufficient quantities of our product candidates could delay their development, result in supply shortages for our patients, result in lost revenue, diminish our potential profitability, any of which may lead to lawsuits or could accelerate introduction of competing products to the market.</w:t>
      </w:r>
    </w:p>
    <w:p>
      <w:pPr>
        <w:spacing w:after="0" w:line="188" w:lineRule="exact"/>
        <w:rPr>
          <w:sz w:val="20"/>
          <w:szCs w:val="20"/>
          <w:color w:val="auto"/>
        </w:rPr>
      </w:pPr>
    </w:p>
    <w:p>
      <w:pPr>
        <w:ind w:right="40" w:firstLine="433"/>
        <w:spacing w:after="0" w:line="256" w:lineRule="auto"/>
        <w:rPr>
          <w:sz w:val="20"/>
          <w:szCs w:val="20"/>
          <w:color w:val="auto"/>
        </w:rPr>
      </w:pPr>
      <w:r>
        <w:rPr>
          <w:rFonts w:ascii="Arial" w:cs="Arial" w:eastAsia="Arial" w:hAnsi="Arial"/>
          <w:sz w:val="15"/>
          <w:szCs w:val="15"/>
          <w:color w:val="auto"/>
        </w:rPr>
        <w:t>The manufacture of our product candidates is at high risk of product loss due to contamination, equipment malfunctions, human error or raw material shortages. Deviations from established manufacturing processes could result in reduced production yields, product defects and other supply disruptions. If microbial, viral or other contaminations are discovered in our product candidates or manufacturing facilities, any related production lot could be lost and the relevant manufacturing facilities may need to close for an extended period of time to investigate and remediate the contaminant. Many additional factors could cause production interruptions at our facilities or at the facilities of our third-party providers, including natural disasters, accidents, labor disputes, acts of terrorism or war. The occurrence of any such event could adversely affect our ability to satisfy the required supply for any of our product candidates, successfully complete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pre-clinical and clinical development which would result in additional costs to us or impair our ability to generate revenue and harm our business, financial condition and prospects significantly.</w:t>
      </w:r>
    </w:p>
    <w:p>
      <w:pPr>
        <w:spacing w:after="0" w:line="185"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Our third-party providers are required to maintain compliance with cGMP and other stringent requirements and are subject to inspections by the FDA and comparable agencies in other jurisdictions to confirm such compliance. Any delay, interruption or other issues that arise in the manufacture, fill-finish, packaging or storage of our product candidates as a result of a failure of the facilities or operations of third parties to pass any regulatory agency inspection could significantly impair our ability to supply our products and product candidates. Significant noncompliance could also result in the imposition of monetary penalties or other civil or criminal sanctions and damage our reputation.</w:t>
      </w:r>
    </w:p>
    <w:p>
      <w:pPr>
        <w:spacing w:after="0" w:line="189" w:lineRule="exact"/>
        <w:rPr>
          <w:sz w:val="20"/>
          <w:szCs w:val="20"/>
          <w:color w:val="auto"/>
        </w:rPr>
      </w:pPr>
    </w:p>
    <w:p>
      <w:pPr>
        <w:ind w:right="420" w:firstLine="427"/>
        <w:spacing w:after="0" w:line="258" w:lineRule="auto"/>
        <w:rPr>
          <w:sz w:val="20"/>
          <w:szCs w:val="20"/>
          <w:color w:val="auto"/>
        </w:rPr>
      </w:pPr>
      <w:r>
        <w:rPr>
          <w:rFonts w:ascii="Arial" w:cs="Arial" w:eastAsia="Arial" w:hAnsi="Arial"/>
          <w:sz w:val="15"/>
          <w:szCs w:val="15"/>
          <w:color w:val="auto"/>
        </w:rPr>
        <w:t>Any adverse developments affecting the operations of our third-party providers could result in a product shortage of clinical or commercial requirements, withdrawal of our product candidates or any approved products, shipment delays, lot failures or recalls. We may also have to write-off inventory and incur other charges and expenses for products that fail to meet specifications, undertake costly remediation efforts or seek more costly manufacturing alternatives. Such manufacturing issues could increase our cost of goods, cause us to lose potential revenue, reduce our potential profitability or damage our reputation.</w:t>
      </w:r>
    </w:p>
    <w:p>
      <w:pPr>
        <w:spacing w:after="0" w:line="157" w:lineRule="exact"/>
        <w:rPr>
          <w:sz w:val="20"/>
          <w:szCs w:val="20"/>
          <w:color w:val="auto"/>
        </w:rPr>
      </w:pPr>
    </w:p>
    <w:p>
      <w:pPr>
        <w:ind w:right="540"/>
        <w:spacing w:after="0" w:line="264" w:lineRule="auto"/>
        <w:rPr>
          <w:sz w:val="20"/>
          <w:szCs w:val="20"/>
          <w:color w:val="auto"/>
        </w:rPr>
      </w:pPr>
      <w:r>
        <w:rPr>
          <w:rFonts w:ascii="Arial" w:cs="Arial" w:eastAsia="Arial" w:hAnsi="Arial"/>
          <w:sz w:val="16"/>
          <w:szCs w:val="16"/>
          <w:b w:val="1"/>
          <w:bCs w:val="1"/>
          <w:i w:val="1"/>
          <w:iCs w:val="1"/>
          <w:color w:val="auto"/>
        </w:rPr>
        <w:t>The third parties upon whom we rely for the supply of the active pharmaceutical ingredient, drug product and drug substance used in our product candidates are our sole source of supply, and the loss of any of these suppliers could significantly harm our business.</w:t>
      </w:r>
    </w:p>
    <w:p>
      <w:pPr>
        <w:spacing w:after="0" w:line="168"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active pharmaceutical ingredients, or API, drug product and drug substance used in rilonacept, mavrilimumab and KPL-716 are supplied to us from single-source suppliers. For example, although Regeneron has been producing rilonacept for over 10 years, they have a contractual right to be our sole source manufacturer of the product, unless they have a persistent failure to satisfy our supply needs. Our ability to successfully develop our product candidates, and to ultimately supply our commercial products in quantities sufficient to meet the market demand, depends in part on our ability to obtain the API, drug product and drug substance for these product candidates in accordance with regulatory requirements and in sufficient quantities for commercialization and clinical testing. We do not currently have arrangements in place for a redundant or second-source supply of any such API, drug product or drug substance in the event any of our current suppliers of such API, drug product and drug substance cease their operations or stop offering us sufficient quantities of these materials for any reason.</w:t>
      </w:r>
    </w:p>
    <w:p>
      <w:pPr>
        <w:spacing w:after="0" w:line="18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on a timely basis in the past, they may subordinate our needs in the future to their other customers.</w:t>
      </w:r>
    </w:p>
    <w:p>
      <w:pPr>
        <w:spacing w:after="0" w:line="187"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addition, to manufacture rilonacept, mavrilimumab and KPL-716 in the quantities that we believe would be required to meet anticipated market demand, our third-party manufacturers may need to increase manufacturing capacity and, in some cases, we could secure alternative sources of commercial supply, which could involve significant challenges and may require additional regulatory approvals. In addition, the development of commercial-scale manufacturing capabilities may require us and our third-party manufacturers to invest substantial additional funds and hire and retain the technical personnel who have the necessary manufacturing experience. Neither we nor our third-party manufacturers may successfully complete any required increase to existing manufacturing capacity in a timely manner, or at 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firstLine="436"/>
        <w:spacing w:after="0" w:line="256" w:lineRule="auto"/>
        <w:rPr>
          <w:sz w:val="20"/>
          <w:szCs w:val="20"/>
          <w:color w:val="auto"/>
        </w:rPr>
      </w:pPr>
      <w:r>
        <w:rPr>
          <w:rFonts w:ascii="Arial" w:cs="Arial" w:eastAsia="Arial" w:hAnsi="Arial"/>
          <w:sz w:val="15"/>
          <w:szCs w:val="15"/>
          <w:color w:val="auto"/>
        </w:rPr>
        <w:t>Moreover, if there is a disruption to one or more of our third-party manufacturers' or suppliers' relevant operations the supply of rilonacept, mavrilimumab and KPL-716 will be delayed until such manufacturer or supplier restores the affected facilities or we or they procure alternative manufacturing facilities or sources of supply. Our ability to progress our pre-clinical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or suppliers' facilities or equipment may significantly impair our ability to manufacture our product candidates on a timely basis.</w:t>
      </w:r>
    </w:p>
    <w:p>
      <w:pPr>
        <w:spacing w:after="0" w:line="175"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product candidates, if required, may not be accomplished quickly and can take several years, if at all. Furthermore, despite our efforts, we may be unable to procure a replacement supplier or do so on commercially reasonable terms, which could have a material adverse impact upon our business.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Certain of the raw materials required in the manufacture and the formulation of our product candidates are derived from biological sources. Such raw materials are difficult to procure and may be subject to contamination or recall. Access to and supply of sufficient quantities of raw materials which meet the technical specifications for the production process is challenging, and often limited to single-source suppliers. Finding an alternative supplier could take a significant amount of time and involve significant expense due to the nature of the products and the need to obtain regulatory approvals. If we or our manufacturers are unable to purchase the raw materials necessary for the manufacture of our product candidates on acceptable terms in a timely manner, at sufficient quality levels, or in adequate quantities, if at all, our ability to produce sufficient quantities of our products for clinical or commercial requirements would be negatively impacted. A material shortage, contamination, recall or restriction on the use of certain biologically derived substances or any raw material used in the manufacture of our products could adversely impact or disrupt manufacturing, which would impair our ability to generate revenues from the sale of such product candidates, if approved or cleared.</w:t>
      </w:r>
    </w:p>
    <w:p>
      <w:pPr>
        <w:spacing w:after="0" w:line="168"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b w:val="1"/>
          <w:bCs w:val="1"/>
          <w:i w:val="1"/>
          <w:iCs w:val="1"/>
          <w:color w:val="auto"/>
        </w:rPr>
        <w:t>We rely, and expect to continue to rely, on third parties, including independent investigators and CROs, to conduct our research, pre-clinical studies, clinical trials and other trials for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3"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We do not have the ability to independently conduct pre-clinical studies or clinical trials that comply with the GLPs or GCP requirements, respectively. We rely on medical institutions, clinical investigators, contract laboratories and other third parties, such as CROs, to conduct or otherwise support our GLP-compliant pre-clinical studies and GCP-compliant clinical trials for our product candidates properly and on time. We also rely on third parties to conduct other research related to our product candidates. We expect to rely heavily on these parties for execution of clinical trials for our product candidates and control only certain aspects of their activities. While we have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agreements governing their activities, we control only certain aspects of their activities and have limited influence over their actual performance. The third parties with whom we contract for execution of our GLP-compliant pre-clinical studies and our GCP-compliant clinical trials play a significant role in the conduct of these trials and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our GLP-compliant pre-clinical studies and GCP-compliant clinical trials, we will remain responsible for ensuring that each of our clinical trials is conducted in accordance with the applicable protocol, legal and regulatory requirements and scientific standards, and our reliance on these third parties does not and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7" w:lineRule="exact"/>
        <w:rPr>
          <w:sz w:val="20"/>
          <w:szCs w:val="20"/>
          <w:color w:val="auto"/>
        </w:rPr>
      </w:pPr>
    </w:p>
    <w:p>
      <w:pPr>
        <w:ind w:right="20" w:firstLine="436"/>
        <w:spacing w:after="0" w:line="236" w:lineRule="auto"/>
        <w:rPr>
          <w:sz w:val="20"/>
          <w:szCs w:val="20"/>
          <w:color w:val="auto"/>
        </w:rPr>
      </w:pPr>
      <w:r>
        <w:rPr>
          <w:rFonts w:ascii="Arial" w:cs="Arial" w:eastAsia="Arial" w:hAnsi="Arial"/>
          <w:sz w:val="16"/>
          <w:szCs w:val="16"/>
          <w:color w:val="auto"/>
        </w:rPr>
        <w:t>We and our CROs will be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ensure that, upon inspection, the FDA will determine that any of our future clinical trials will comply with GCPs. In addition, our clinical trials must be conducted with product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certain clinical trials and post the results of completed clinical trials on a government-sponsored database, ClinicalTrials.gov, within certain timeframes. Failure to do so when required can result in fines, adverse publicity and civil and criminal sanctions.</w:t>
      </w:r>
    </w:p>
    <w:p>
      <w:pPr>
        <w:spacing w:after="0" w:line="193" w:lineRule="exact"/>
        <w:rPr>
          <w:sz w:val="20"/>
          <w:szCs w:val="20"/>
          <w:color w:val="auto"/>
        </w:rPr>
      </w:pPr>
    </w:p>
    <w:p>
      <w:pPr>
        <w:ind w:right="80" w:firstLine="427"/>
        <w:spacing w:after="0" w:line="258" w:lineRule="auto"/>
        <w:rPr>
          <w:sz w:val="20"/>
          <w:szCs w:val="20"/>
          <w:color w:val="auto"/>
        </w:rPr>
      </w:pPr>
      <w:r>
        <w:rPr>
          <w:rFonts w:ascii="Arial" w:cs="Arial" w:eastAsia="Arial" w:hAnsi="Arial"/>
          <w:sz w:val="15"/>
          <w:szCs w:val="15"/>
          <w:color w:val="auto"/>
        </w:rPr>
        <w:t>Although we intend to design the clinical trials for our product candidates, CROs will conduct all of the clinical trials. As a result, many important aspects of our development programs,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5" w:lineRule="exact"/>
        <w:rPr>
          <w:sz w:val="20"/>
          <w:szCs w:val="20"/>
          <w:color w:val="auto"/>
        </w:rPr>
      </w:pPr>
    </w:p>
    <w:p>
      <w:pPr>
        <w:ind w:left="960" w:hanging="481"/>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have staffing difficulties;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 to comply with contractual obligations;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experience regulatory compliance issues;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undergo changes in priorities or become financially distressed; or</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form relationships with other entities, some of which may be our competitors.</w:t>
      </w:r>
    </w:p>
    <w:p>
      <w:pPr>
        <w:spacing w:after="0" w:line="190" w:lineRule="exact"/>
        <w:rPr>
          <w:sz w:val="20"/>
          <w:szCs w:val="20"/>
          <w:color w:val="auto"/>
        </w:rPr>
      </w:pPr>
    </w:p>
    <w:p>
      <w:pPr>
        <w:ind w:right="460" w:firstLine="433"/>
        <w:spacing w:after="0" w:line="239"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commercialization of our product candidates may be delayed, we may not be able to obtain regulatory approval and commercialize our product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1" w:lineRule="exact"/>
        <w:rPr>
          <w:sz w:val="20"/>
          <w:szCs w:val="20"/>
          <w:color w:val="auto"/>
        </w:rPr>
      </w:pPr>
    </w:p>
    <w:p>
      <w:pPr>
        <w:ind w:right="20" w:firstLine="433"/>
        <w:spacing w:after="0" w:line="258" w:lineRule="auto"/>
        <w:rPr>
          <w:sz w:val="20"/>
          <w:szCs w:val="20"/>
          <w:color w:val="auto"/>
        </w:rPr>
      </w:pPr>
      <w:r>
        <w:rPr>
          <w:rFonts w:ascii="Arial" w:cs="Arial" w:eastAsia="Arial" w:hAnsi="Arial"/>
          <w:sz w:val="15"/>
          <w:szCs w:val="15"/>
          <w:color w:val="auto"/>
        </w:rPr>
        <w:t>These third parties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175"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If the third parties conducting our pre-clinical studies or our clinical trials do not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GCPs,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pacing w:after="0" w:line="175" w:lineRule="exact"/>
        <w:rPr>
          <w:sz w:val="20"/>
          <w:szCs w:val="20"/>
          <w:color w:val="auto"/>
        </w:rPr>
      </w:pPr>
    </w:p>
    <w:p>
      <w:pPr>
        <w:ind w:right="100" w:firstLine="436"/>
        <w:spacing w:after="0" w:line="256" w:lineRule="auto"/>
        <w:rPr>
          <w:sz w:val="20"/>
          <w:szCs w:val="20"/>
          <w:color w:val="auto"/>
        </w:rPr>
      </w:pPr>
      <w:r>
        <w:rPr>
          <w:rFonts w:ascii="Arial" w:cs="Arial" w:eastAsia="Arial" w:hAnsi="Arial"/>
          <w:sz w:val="15"/>
          <w:szCs w:val="15"/>
          <w:color w:val="auto"/>
        </w:rPr>
        <w:t>If any of our relationships with these third-party CROs terminate, we may not be able to enter into arrangements with alternative third-party service providers, at all or on commercially reasonable terms.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5" w:lineRule="exact"/>
        <w:rPr>
          <w:sz w:val="20"/>
          <w:szCs w:val="20"/>
          <w:color w:val="auto"/>
        </w:rPr>
      </w:pPr>
    </w:p>
    <w:p>
      <w:pPr>
        <w:jc w:val="both"/>
        <w:ind w:right="20" w:firstLine="436"/>
        <w:spacing w:after="0" w:line="237" w:lineRule="auto"/>
        <w:rPr>
          <w:sz w:val="20"/>
          <w:szCs w:val="20"/>
          <w:color w:val="auto"/>
        </w:rPr>
      </w:pPr>
      <w:r>
        <w:rPr>
          <w:rFonts w:ascii="Arial" w:cs="Arial" w:eastAsia="Arial" w:hAnsi="Arial"/>
          <w:sz w:val="16"/>
          <w:szCs w:val="16"/>
          <w:color w:val="auto"/>
        </w:rPr>
        <w:t>Furthermore,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71"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b w:val="1"/>
          <w:bCs w:val="1"/>
          <w:i w:val="1"/>
          <w:iCs w:val="1"/>
          <w:color w:val="auto"/>
        </w:rPr>
        <w:t>Any collaboration arrangements that we may enter into in the future may not be successful, which could adversely affect our ability to develop and commercialize our product candidates.</w:t>
      </w:r>
    </w:p>
    <w:p>
      <w:pPr>
        <w:spacing w:after="0" w:line="168" w:lineRule="exact"/>
        <w:rPr>
          <w:sz w:val="20"/>
          <w:szCs w:val="20"/>
          <w:color w:val="auto"/>
        </w:rPr>
      </w:pPr>
    </w:p>
    <w:p>
      <w:pPr>
        <w:jc w:val="both"/>
        <w:ind w:right="20" w:firstLine="436"/>
        <w:spacing w:after="0" w:line="239" w:lineRule="auto"/>
        <w:rPr>
          <w:sz w:val="20"/>
          <w:szCs w:val="20"/>
          <w:color w:val="auto"/>
        </w:rPr>
      </w:pPr>
      <w:r>
        <w:rPr>
          <w:rFonts w:ascii="Arial" w:cs="Arial" w:eastAsia="Arial" w:hAnsi="Arial"/>
          <w:sz w:val="16"/>
          <w:szCs w:val="16"/>
          <w:color w:val="auto"/>
        </w:rPr>
        <w:t>We may seek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 collaboration agreements, significant competition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 In addition, our right to grant a sublicense of intellectual property licensed to us under certain of our current agreements requires the consent of the applicable licensor.</w:t>
      </w:r>
    </w:p>
    <w:p>
      <w:pPr>
        <w:spacing w:after="0" w:line="187" w:lineRule="exact"/>
        <w:rPr>
          <w:sz w:val="20"/>
          <w:szCs w:val="20"/>
          <w:color w:val="auto"/>
        </w:rPr>
      </w:pPr>
    </w:p>
    <w:p>
      <w:pPr>
        <w:ind w:right="460" w:firstLine="427"/>
        <w:spacing w:after="0" w:line="241" w:lineRule="auto"/>
        <w:rPr>
          <w:sz w:val="20"/>
          <w:szCs w:val="20"/>
          <w:color w:val="auto"/>
        </w:rPr>
      </w:pPr>
      <w:r>
        <w:rPr>
          <w:rFonts w:ascii="Arial" w:cs="Arial" w:eastAsia="Arial" w:hAnsi="Arial"/>
          <w:sz w:val="16"/>
          <w:szCs w:val="16"/>
          <w:color w:val="auto"/>
        </w:rPr>
        <w:t>Any future collaborations that we enter into may not be successful. The success of our collaboration arrangements will depend heavily on the efforts and activities of our collaborators. Collaborations are subject to numerous risks, which may include risks that:</w:t>
      </w:r>
    </w:p>
    <w:p>
      <w:pPr>
        <w:spacing w:after="0" w:line="185" w:lineRule="exact"/>
        <w:rPr>
          <w:sz w:val="20"/>
          <w:szCs w:val="20"/>
          <w:color w:val="auto"/>
        </w:rPr>
      </w:pPr>
    </w:p>
    <w:p>
      <w:pPr>
        <w:ind w:left="960" w:hanging="481"/>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89" w:lineRule="exact"/>
        <w:rPr>
          <w:rFonts w:ascii="Arial" w:cs="Arial" w:eastAsia="Arial" w:hAnsi="Arial"/>
          <w:sz w:val="16"/>
          <w:szCs w:val="16"/>
          <w:color w:val="auto"/>
        </w:rPr>
      </w:pPr>
    </w:p>
    <w:p>
      <w:pPr>
        <w:ind w:left="960" w:right="260" w:hanging="481"/>
        <w:spacing w:after="0" w:line="241"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collaborator with marketing, manufacturing and distribution rights to one or more products may not commit sufficient resources to or otherwise not perform satisfactorily in carrying out these activities;</w:t>
      </w:r>
    </w:p>
    <w:p>
      <w:pPr>
        <w:spacing w:after="0" w:line="173" w:lineRule="exact"/>
        <w:rPr>
          <w:rFonts w:ascii="Arial" w:cs="Arial" w:eastAsia="Arial" w:hAnsi="Arial"/>
          <w:sz w:val="16"/>
          <w:szCs w:val="16"/>
          <w:color w:val="auto"/>
        </w:rPr>
      </w:pPr>
    </w:p>
    <w:p>
      <w:pPr>
        <w:ind w:left="960" w:hanging="481"/>
        <w:spacing w:after="0" w:line="239"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4"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this may result in a need for additional capital to pursue further development or commercialization of the applicable current or future product candidates;</w:t>
      </w:r>
    </w:p>
    <w:p>
      <w:pPr>
        <w:spacing w:after="0" w:line="185"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products that results from our collaborating with them, and in such cases, we would not have the exclusive right to develop or commercialize such intellectual property;</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disputes may arise with respect to the ownership of any intellectual property developed pursuant to our collaborations; and</w:t>
      </w:r>
    </w:p>
    <w:p>
      <w:pPr>
        <w:spacing w:after="0" w:line="177" w:lineRule="exact"/>
        <w:rPr>
          <w:rFonts w:ascii="Arial" w:cs="Arial" w:eastAsia="Arial" w:hAnsi="Arial"/>
          <w:sz w:val="16"/>
          <w:szCs w:val="16"/>
          <w:color w:val="auto"/>
        </w:rPr>
      </w:pPr>
    </w:p>
    <w:p>
      <w:pPr>
        <w:ind w:left="960" w:right="820" w:hanging="481"/>
        <w:spacing w:after="0" w:line="241"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collaborator's sales and marketing activities or other operations may not be in compliance with applicable laws resulting in civil or criminal proceedings.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6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harm our business. To the extent that we share trade secrets of third parties that are licensed to us, unauthorized use or disclosure could expose us to liability.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Competition, Retaining Key Employees and Managing Growth</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drugs before or more successfully than we do.</w:t>
      </w:r>
    </w:p>
    <w:p>
      <w:pPr>
        <w:spacing w:after="0" w:line="219"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development and commercialization of new drugs and biologics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biologics are pursuing the development of therapies in the fields in which we are interested.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While we are not aware of any therapies currently approved or actively continuing clinical trials in recurrent pericarditis, there is one currently marketed product that modulates the signaling of IL-1a and IL-1b, anakinra (KINERET), and one currently marketed product that modulates the signaling of IL-1b, canakinumab (ILARIS). There are other therapies which modulate IL-1a and IL-1b in various stages of clinical development for diseases other than recurrent pericarditis from companies that include Abbvie, Inc., XBiotech Inc. and Handok Inc. We expect mavrilimumab, if approved, to experience competitive pressure from tocilizumab (ACTEMRA), which was approved in 2017 for use in GCA in combination with glucocorticoids. Additional competition may be experienced from upadacitinib from AbbVie, which is expected to enter clinical trials in GCA in 2018. In addition, Eli Lilly is conducting clinical trials in GCA for baricitinib, and Sanofi S.A.,/ Regeneron intend to initiate a Phase 3 clinical trial in GCA for sarilumab (KEVZARA) in 2018. KPL-716, if approved for atopic dermatitis, will face competitive pressure from dupilumab (DUPIXENT), which is approved to treat atopic dermatitis. KPL-716 may face additional competition from several systemically administered products currently in development for atopic dermatitis including upadacitinib, PF-04965842, ANB-020, nemolizumab, baricitinib, ASn002, GBR-830, ZPL-389, PF-06817024, MEDI9314, tralokinumab and lebrikizumab. Multiple therapies are in development for prurigo nodularis and any that receive FDA approval for this indication will be likely competitors to KPL-716. These products include nemolizumab, serlopitant and nalbuphine ER.</w:t>
      </w:r>
    </w:p>
    <w:p>
      <w:pPr>
        <w:spacing w:after="0" w:line="193"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5" w:lineRule="exact"/>
        <w:rPr>
          <w:sz w:val="20"/>
          <w:szCs w:val="20"/>
          <w:color w:val="auto"/>
        </w:rPr>
      </w:pPr>
    </w:p>
    <w:p>
      <w:pPr>
        <w:ind w:right="160" w:firstLine="436"/>
        <w:spacing w:after="0" w:line="239"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drugs that we or our collaborators may develop. Our competitors also may obtain FDA or other regulatory approval for their products more rapidly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the effectiveness of companion diagnostics in guiding the use of related products, market acceptance by physicians and patients, the level of generic competition and the availability of reimbursement from government and other third-party payors.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executives and to attract, retain and motivate qualified personnel.</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a limited operating history and are highly dependent on the research and development, clinical, commercial and business development expertise of Sanj K. Patel, our Chairman and Chief Executive Officer, Stephen Mahoney, our President and Chief Operating Officer, and John F. Paolini, M.D., Ph.D., our Chief Medical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7" w:lineRule="exact"/>
        <w:rPr>
          <w:sz w:val="20"/>
          <w:szCs w:val="20"/>
          <w:color w:val="auto"/>
        </w:rPr>
      </w:pPr>
    </w:p>
    <w:p>
      <w:pPr>
        <w:ind w:right="60" w:firstLine="436"/>
        <w:spacing w:after="0" w:line="254" w:lineRule="auto"/>
        <w:rPr>
          <w:sz w:val="20"/>
          <w:szCs w:val="20"/>
          <w:color w:val="auto"/>
        </w:rPr>
      </w:pPr>
      <w:r>
        <w:rPr>
          <w:rFonts w:ascii="Arial" w:cs="Arial" w:eastAsia="Arial" w:hAnsi="Arial"/>
          <w:sz w:val="15"/>
          <w:szCs w:val="15"/>
          <w:color w:val="auto"/>
        </w:rPr>
        <w:t>Recruiting and retaining qualified scientific, clinical, manufacturing and sales and marketing personnel will also be critical to our success. The failure to recruit, or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 If we are not able to continue to attract and retain, on acceptable terms, the qualified personnel necessary for the continued development of our business, we may not be able to sustain our operations or growth.</w:t>
      </w:r>
    </w:p>
    <w:p>
      <w:pPr>
        <w:spacing w:after="0" w:line="160"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i w:val="1"/>
          <w:iCs w:val="1"/>
          <w:color w:val="auto"/>
        </w:rPr>
        <w:t>We will need to develop and expand our company, and we may encounter difficulties in managing this development and expansion, which could disrupt our operations.</w:t>
      </w:r>
    </w:p>
    <w:p>
      <w:pPr>
        <w:spacing w:after="0" w:line="168"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certain employees may need to perform activities that are beyond their regular scope of work, and we may not be able to effectively manage the expansion of our operations or recruit and train additional qualified personnel. This may result in weaknesses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6"/>
          <w:szCs w:val="16"/>
          <w:b w:val="1"/>
          <w:bCs w:val="1"/>
          <w:i w:val="1"/>
          <w:iCs w:val="1"/>
          <w:color w:val="auto"/>
        </w:rPr>
        <w:t>We may not be successful in executing our growth strategy to identify, discover, develop, in-license or acquire additional product candidates or our growth strategy may not deliver the anticipated results.</w:t>
      </w:r>
    </w:p>
    <w:p>
      <w:pPr>
        <w:spacing w:after="0" w:line="168" w:lineRule="exact"/>
        <w:rPr>
          <w:sz w:val="20"/>
          <w:szCs w:val="20"/>
          <w:color w:val="auto"/>
        </w:rPr>
      </w:pPr>
    </w:p>
    <w:p>
      <w:pPr>
        <w:ind w:right="160" w:firstLine="436"/>
        <w:spacing w:after="0" w:line="239" w:lineRule="auto"/>
        <w:rPr>
          <w:sz w:val="20"/>
          <w:szCs w:val="20"/>
          <w:color w:val="auto"/>
        </w:rPr>
      </w:pPr>
      <w:r>
        <w:rPr>
          <w:rFonts w:ascii="Arial" w:cs="Arial" w:eastAsia="Arial" w:hAnsi="Arial"/>
          <w:sz w:val="16"/>
          <w:szCs w:val="16"/>
          <w:color w:val="auto"/>
        </w:rPr>
        <w:t>We plan to source new product candidates that are complementary to our existing product candidates through our internal discovery program, or in-licensing or acquiring them from other companies or academic institutions. If we are unable to identify, discover, develop, in-license or acquire and integrate product candidates in accordance with this strategy, our ability to pursue this part of our growth strategy would be limited.</w:t>
      </w:r>
    </w:p>
    <w:p>
      <w:pPr>
        <w:spacing w:after="0" w:line="18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Research programs and business development efforts to identify new product candidates require substantial technical, financial and human resources. We may focus our efforts and resources on potential programs or product candidates that ultimately prove to be unsuccessful. In-licensing and acquisitions of technology often require significant payments, expenses and will consume additional resources. We will need to devote a substantial amount of time and personnel to research, develop and commercialize any acquired technology, in addition to our existing portfolio of programs. Our research programs, business development efforts or licensing attempts may fail to yield additional complementary or successful product candidates for clinical development and commercialization for a number of reasons, including, but not limited to, the following:</w:t>
      </w:r>
    </w:p>
    <w:p>
      <w:pPr>
        <w:spacing w:after="0" w:line="188" w:lineRule="exact"/>
        <w:rPr>
          <w:sz w:val="20"/>
          <w:szCs w:val="20"/>
          <w:color w:val="auto"/>
        </w:rPr>
      </w:pPr>
    </w:p>
    <w:p>
      <w:pPr>
        <w:ind w:left="960" w:hanging="481"/>
        <w:spacing w:after="0" w:line="241"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research or business development methodology or search criteria and process may be unsuccessful in identifying potential product candidates with a high probability of success for development progression;</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not be able or willing to assemble sufficient resources or expertise to in-license, acquire or discover additional product candidates;</w:t>
      </w:r>
    </w:p>
    <w:p>
      <w:pPr>
        <w:spacing w:after="0" w:line="177" w:lineRule="exact"/>
        <w:rPr>
          <w:rFonts w:ascii="Arial" w:cs="Arial" w:eastAsia="Arial" w:hAnsi="Arial"/>
          <w:sz w:val="16"/>
          <w:szCs w:val="16"/>
          <w:color w:val="auto"/>
        </w:rPr>
      </w:pPr>
    </w:p>
    <w:p>
      <w:pPr>
        <w:ind w:left="960" w:right="200" w:hanging="481"/>
        <w:spacing w:after="0" w:line="241"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product candidates we seek to in-license or acquire, we may not be able to agree to acceptable terms with the licensor or owner of those product candidates;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product candidates may not succeed in pre-clinical studies or clinical trials;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not succeed in formulation or process development;</w:t>
      </w:r>
    </w:p>
    <w:p>
      <w:pPr>
        <w:spacing w:after="0" w:line="177" w:lineRule="exact"/>
        <w:rPr>
          <w:rFonts w:ascii="Arial" w:cs="Arial" w:eastAsia="Arial" w:hAnsi="Arial"/>
          <w:sz w:val="16"/>
          <w:szCs w:val="16"/>
          <w:color w:val="auto"/>
        </w:rPr>
      </w:pPr>
    </w:p>
    <w:p>
      <w:pPr>
        <w:ind w:left="960" w:right="340" w:hanging="481"/>
        <w:spacing w:after="0" w:line="241"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product candidates may be shown to have harmful side effects or may have other characteristics that may make the products unmarketable or unlikely to receive regulatory approval;</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competitors may develop alternatives that render our product candidates obsolete or less attractive;</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 candidates that we develop may be covered by third parties' patents or other exclusive rights;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540" w:hanging="481"/>
        <w:spacing w:after="0" w:line="241" w:lineRule="auto"/>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product candidates that we develop may not allow us to leverage our expertise and our development and commercial infrastructure as currently expected;</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market for a product candidate may change during our program so that such a product may become unreasonable to continue to develop;</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product candidate may not be capable of being produced in commercial quantities at an acceptable cost, or at all;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product candidate may not be accepted as safe and effective by patients, the medical community or third-party payors.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any of these events occurs, we may not be successful in executing our growth strategy or our growth strategy may not deliver the anticipated results.</w:t>
      </w: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92"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b w:val="1"/>
          <w:bCs w:val="1"/>
          <w:i w:val="1"/>
          <w:iCs w:val="1"/>
          <w:color w:val="auto"/>
        </w:rPr>
        <w:t>If we are unable to adequately protect our proprietary technology or obtain and maintain patent protection for our technology and products, if the scope of the patent protection obtained is not sufficiently broad, or if the terms of our patents are insufficient to protect our product candidates for an adequate amount of time, our competitors could develop and commercialize technology and products similar or identical to ours, and our ability to successfully commercialize our technology and products may be materially impaired.</w:t>
      </w:r>
    </w:p>
    <w:p>
      <w:pPr>
        <w:spacing w:after="0" w:line="183"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United States and other countries for our product candidates, including rilonacept, mavrilimumab and KPL-716.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9"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acquire, in-license and file patent applications directed to our product candidates in an effort to establish intellectual property positions directed to their compositions of matter as well as uses of these product candidates in the treatment of diseases. Our intellectual property includes patents and patent applications that we own as well as patents and patent applications that we in-license. For example, we have a field-specific exclusive license under a license agreement with Regeneron, or the Regeneron Agreement, to patent applications and patents relating to rilonacept, an exclusive license under a license agreement with MedImmune, or the MedImmune Agreement, to patent applications and patents relating to mavrilimumab, and an exclusive license under our license agreement with Novo Nordisk, or the Novo Nordisk Agreement, to patent applications and patents relating to KPL-045.</w:t>
      </w:r>
    </w:p>
    <w:p>
      <w:pPr>
        <w:spacing w:after="0" w:line="188" w:lineRule="exact"/>
        <w:rPr>
          <w:sz w:val="20"/>
          <w:szCs w:val="20"/>
          <w:color w:val="auto"/>
        </w:rPr>
      </w:pPr>
    </w:p>
    <w:p>
      <w:pPr>
        <w:ind w:right="240" w:firstLine="436"/>
        <w:spacing w:after="0" w:line="239" w:lineRule="auto"/>
        <w:rPr>
          <w:sz w:val="20"/>
          <w:szCs w:val="20"/>
          <w:color w:val="auto"/>
        </w:rPr>
      </w:pPr>
      <w:r>
        <w:rPr>
          <w:rFonts w:ascii="Arial" w:cs="Arial" w:eastAsia="Arial" w:hAnsi="Arial"/>
          <w:sz w:val="16"/>
          <w:szCs w:val="16"/>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86" w:lineRule="exact"/>
        <w:rPr>
          <w:sz w:val="20"/>
          <w:szCs w:val="20"/>
          <w:color w:val="auto"/>
        </w:rPr>
      </w:pPr>
    </w:p>
    <w:p>
      <w:pPr>
        <w:ind w:right="60" w:firstLine="436"/>
        <w:spacing w:after="0" w:line="262" w:lineRule="auto"/>
        <w:rPr>
          <w:sz w:val="20"/>
          <w:szCs w:val="20"/>
          <w:color w:val="auto"/>
        </w:rPr>
      </w:pPr>
      <w:r>
        <w:rPr>
          <w:rFonts w:ascii="Arial" w:cs="Arial" w:eastAsia="Arial" w:hAnsi="Arial"/>
          <w:sz w:val="15"/>
          <w:szCs w:val="15"/>
          <w:color w:val="auto"/>
        </w:rPr>
        <w:t>We or our licensors have not pursued or maintained, and may not pursue or maintain in the future, patent protection for our products in every country or territory in which we may sell our products. In addition, we cannot be sure that any of our pending patent applications or pending trademark applications will issue or that, if issued, they have or will issue in a form that will be advantageous to us. The United States Patent and Trademark Office, or the USPTO, international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patent offices or judicial bodies may deny or significantly narrow claims made under our patent applications and our issued patents may be successfully challenged, may be designed around, or may otherwise be of insufficient scope to provide us with protection for our commercial products. Further, the USPTO, international trademark offices or judicial bodies may deny our trademark applications and, even if published or registered, these trademarks may not effectively protect our brand and goodwill. Like patents, trademarks also may be successfully opposed or challenged.</w:t>
      </w:r>
    </w:p>
    <w:p>
      <w:pPr>
        <w:spacing w:after="0" w:line="187"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owned or in-licensed patents have, or that any of our owned or in-licensed pending patent applications that mature into issued patents will have, claims with a scope sufficient to protect rilonacept, mavrilimumab, KPL-716 or our other product candidates. In addition, the laws of foreign countries may not protect our rights to the same extent as the laws of the United States. Furthermore, patents have a limited lifespan. In the United States, the natural expiration of a patent is generally 20 years after it is filed. Various extensions and adjustments may be available; however, the life of a patent, and the protection it affords, is limited.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93"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Patents may be eligible for limited patent term extension in the United States under the Drug Price Competition and Patent Term Restoration Act of 1984, referred to as the Hatch-Waxman Act. Similar patent extensions exist in the European Union and Japan, subject to the applicable laws in those jurisdictions. We may not receive an extension if we fail to apply within applicable deadlines or fail to apply prior to expiration of relevant patents. For example, no patent term extension was obtained in the United States following the FDA's approval of rilonacept for the treatment of CAPS, and the deadline for applying for such extension has passed. Accordingly, patent term extension in the United States based on the FDA's approval of rilonacept for CAPS, or any other indication for which the FDA may grant approval in the future, is unavailable.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impacting our revenue.</w:t>
      </w:r>
    </w:p>
    <w:p>
      <w:pPr>
        <w:spacing w:after="0" w:line="187"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thereby limiting protection such patent would afford the respective product and any competitive advantage such patent may provide. In some cases, an in-licensed patent portfolio may have undergone a considerable loss of patent term prior to our initiation of development and commercialization of the product candidate. For example, the patents covering rilonacept as a composition of matter have a term that expires in 2019 in the United States, not including patent term adjustment, and in 2023 in Europe, not including any patent term extensions. As a result, our owned and in-licensed patent portfolio may not provide us with adequate and continuing patent protection sufficient to exclude others from commercializing products similar or identical to our product candidates. In such cases, we expect to rely on regulatory exclusivity for our product candidates, such as orphan drug exclusivity, which generally grants seven years of marketing exclusivity under the Federal Food, Drug, and Cosmetic Act, and up to 10 years of marketing exclusivity in Europe. While, we expect to seek orphan drug designation for rilonacept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United States for the treatment of recurrent pericarditis, we may not be successful in obtaining such designation or we may not be able to maintain the benefits of the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See "— We may seek orphan drug designation for some of our product candidates and we may be unsuccessful, or may be unable to maintain the benefits associated with orphan drug designation, including the potential for market exclusivity, for any product candidate for which we obtain orphan drug designation."</w:t>
      </w:r>
    </w:p>
    <w:p>
      <w:pPr>
        <w:spacing w:after="0" w:line="186"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Other parties may have developed or may develop technologies that may be related or competitive to our own, and such parties may have filed or may file patent applications, or may have received or may receive patents, claiming inventions that may overlap or conflict with those claimed in our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cannot be predicted with any certainty.</w:t>
      </w:r>
    </w:p>
    <w:p>
      <w:pPr>
        <w:spacing w:after="0" w:line="187"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USPTO is often significantly narrowed by the time they issue, if at all. The claims of our issued patents or patent applications when issued may not cover our product candidates, proposed commercial technologies or the future products that we develop, or even if such patents provide coverage, the coverage obtained may not provide any competitive advantage.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In the case of our field limited license from Regeneron, another licensee may have the right to enforce patents covering the product in their field. As a result, we may need to coordinate enforcement with another party, and the other party could enforce the patents in a manner adverse to our interests or otherwise put the patents at risk of invalidation.</w:t>
      </w:r>
    </w:p>
    <w:p>
      <w:pPr>
        <w:spacing w:after="0" w:line="193"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Even if we acquire patent protection that we expect should enable us to maintain a competitive advantage, third parties may challenge the validity, enforceability or scope thereof, which may result in such patents being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 xml:space="preserve">narrowed, invalidated or held unenforceable. The issuance of a patent is not conclusive as to its inventorship, scope, validity, enforceability or term,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contested proceedings challenging our patent rights or the patent rights of others from whom we have obtained licenses to such rights. For example, patents granted by the USPTO may be subject to third-party challenges such as (without limitation) derivation, re-examination, interference,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patents granted by the European Patent Office may be challenged by any person in an opposition proceeding within nine months from the publication of the grant. Similar proceedings are available in other jurisdictions, and in some jurisdictions third parties can raise questions of validity with a patent office even before a patent has granted. Competitors may claim that they invented the inventions claimed in our issued patents or patent applications prior to us, or may file patent applications before we do. In such case,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w:t>
      </w:r>
    </w:p>
    <w:p>
      <w:pPr>
        <w:spacing w:after="0" w:line="193" w:lineRule="exact"/>
        <w:rPr>
          <w:sz w:val="20"/>
          <w:szCs w:val="20"/>
          <w:color w:val="auto"/>
        </w:rPr>
      </w:pPr>
    </w:p>
    <w:p>
      <w:pPr>
        <w:ind w:right="20" w:firstLine="436"/>
        <w:spacing w:after="0" w:line="238" w:lineRule="auto"/>
        <w:rPr>
          <w:sz w:val="20"/>
          <w:szCs w:val="20"/>
          <w:color w:val="auto"/>
        </w:rPr>
      </w:pPr>
      <w:r>
        <w:rPr>
          <w:rFonts w:ascii="Arial" w:cs="Arial" w:eastAsia="Arial" w:hAnsi="Arial"/>
          <w:sz w:val="16"/>
          <w:szCs w:val="16"/>
          <w:color w:val="auto"/>
        </w:rPr>
        <w:t>Such proceedings can be expensive, time consuming and may divert the efforts of our technical and managerial personnel, which could in turn harm our business, whether or not we receive a determination favorable to us. We may not be able to correctly estimate or control our future operating expenses in relation to such proceedings, which could affect operating expenses. Our operating expenses may fluctuate significantly in the future as a result of a variety of factors, including the costs of such proceedings.</w:t>
      </w:r>
    </w:p>
    <w:p>
      <w:pPr>
        <w:spacing w:after="0" w:line="187"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Since patent applications are confidential for a period of time after filing, we cannot be certain that we or our licensors were the first to file any patent application related to our product candidates. Competitors may also contest our patents, if issued, by showing the patent examiner that the invention was not original, was not novel or was obvious. In litigation, a competitor could claim that our patents, if issued, are not valid for a number of reasons. If a court agrees, rights to those challenged patents may be diminished or lost.</w:t>
      </w:r>
    </w:p>
    <w:p>
      <w:pPr>
        <w:spacing w:after="0" w:line="187" w:lineRule="exact"/>
        <w:rPr>
          <w:sz w:val="20"/>
          <w:szCs w:val="20"/>
          <w:color w:val="auto"/>
        </w:rPr>
      </w:pPr>
    </w:p>
    <w:p>
      <w:pPr>
        <w:ind w:right="80" w:firstLine="436"/>
        <w:spacing w:after="0" w:line="257" w:lineRule="auto"/>
        <w:rPr>
          <w:sz w:val="20"/>
          <w:szCs w:val="20"/>
          <w:color w:val="auto"/>
        </w:rPr>
      </w:pPr>
      <w:r>
        <w:rPr>
          <w:rFonts w:ascii="Arial" w:cs="Arial" w:eastAsia="Arial" w:hAnsi="Arial"/>
          <w:sz w:val="15"/>
          <w:szCs w:val="15"/>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74"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products in a non-infringing manner. For example, a third-party may develop a competitive drug that provides benefits similar to one or more of our product candidates but that has a different composition that falls outside the scope of our patent protection. If the patent protection provided by the patents and patent applications we hold or pursue with respect to our product candidates is not sufficiently broad to impede such competition, or if the breadth, strength or term (including any extensions or adjustments) of protection provided by the patents and patent applications we hold or pursue with respect to our product candidates or any future product candidates is successfully challenged, our ability to successfully commercialize our product candidates could be negatively affected, which would harm our business. Further, if we encounter delays in our clinical trials, the period of time during which we could market our product candidates or any future product candidates under patent protection would be reduced.</w:t>
      </w:r>
    </w:p>
    <w:p>
      <w:pPr>
        <w:spacing w:after="0" w:line="168" w:lineRule="exact"/>
        <w:rPr>
          <w:sz w:val="20"/>
          <w:szCs w:val="20"/>
          <w:color w:val="auto"/>
        </w:rPr>
      </w:pPr>
    </w:p>
    <w:p>
      <w:pPr>
        <w:spacing w:after="0" w:line="245" w:lineRule="auto"/>
        <w:rPr>
          <w:sz w:val="20"/>
          <w:szCs w:val="20"/>
          <w:color w:val="auto"/>
        </w:rPr>
      </w:pPr>
      <w:r>
        <w:rPr>
          <w:rFonts w:ascii="Arial" w:cs="Arial" w:eastAsia="Arial" w:hAnsi="Arial"/>
          <w:sz w:val="16"/>
          <w:szCs w:val="16"/>
          <w:b w:val="1"/>
          <w:bCs w:val="1"/>
          <w:i w:val="1"/>
          <w:iCs w:val="1"/>
          <w:color w:val="auto"/>
        </w:rPr>
        <w:t>Licensing of intellectual property is of critical importance to our business and involves complex legal, business and scientific issues. If we breach any of the agreements under which we acquired our product candidates, we could lose the ability to continue the development and commercialization of the related product. Additionally, our current licensing and acquisition agreements contain limitations and restrictions that could limit or adversely affect our ability to develop and commercialize other products in the future.</w:t>
      </w:r>
    </w:p>
    <w:p>
      <w:pPr>
        <w:spacing w:after="0" w:line="183" w:lineRule="exact"/>
        <w:rPr>
          <w:sz w:val="20"/>
          <w:szCs w:val="20"/>
          <w:color w:val="auto"/>
        </w:rPr>
      </w:pPr>
    </w:p>
    <w:p>
      <w:pPr>
        <w:ind w:right="40" w:firstLine="436"/>
        <w:spacing w:after="0" w:line="254" w:lineRule="auto"/>
        <w:rPr>
          <w:sz w:val="20"/>
          <w:szCs w:val="20"/>
          <w:color w:val="auto"/>
        </w:rPr>
      </w:pPr>
      <w:r>
        <w:rPr>
          <w:rFonts w:ascii="Arial" w:cs="Arial" w:eastAsia="Arial" w:hAnsi="Arial"/>
          <w:sz w:val="15"/>
          <w:szCs w:val="15"/>
          <w:color w:val="auto"/>
        </w:rPr>
        <w:t>We entered into agreements to acquire the rights to develop and commercialize our product candidates, rilonacept, mavrilimumab, KPL-716, KPL-045 and KPL-404. In September 2017, we entered into a license agreement with Regeneron to obtain an exclusive license under certain intellectual property rights controlled by Regeneron to develop and commercialize rilonacept. In December 2017, we entered into a license agreement with MedImmune to obtain exclusive worldwide rights to research, develop, manufacture, market and sell mavrilimumab and any other products covered by the licensed patent rights. In September 2016, pursuant to an asset purchase agreement with Biogen, we acquired all of Biogen's right, title and interest in and to certain assets used in or relating to KPL-716, including patents and other intellectual property rights, clinical data, know-how and inventory. Each of these agreements requires us to use commercially reasonable efforts to develop and commercialize the related product candidates, make timely milestone and other payments, provide certain information regarding our activities with respect to such product candidates and indemnify the other party with respect to our development and commercialization activities under the terms of the agreements. In addition, we licensed KPL-045 from Novo Nordisk in August 2017 and the right to conduct research and development of KPL-404 from Primatope in September 2017. These current agreements and any future such agreements that we enter into impose a variety of obligations.</w:t>
      </w:r>
    </w:p>
    <w:p>
      <w:pPr>
        <w:spacing w:after="0" w:line="177" w:lineRule="exact"/>
        <w:rPr>
          <w:sz w:val="20"/>
          <w:szCs w:val="20"/>
          <w:color w:val="auto"/>
        </w:rPr>
      </w:pPr>
    </w:p>
    <w:p>
      <w:pPr>
        <w:jc w:val="both"/>
        <w:ind w:right="400" w:firstLine="436"/>
        <w:spacing w:after="0" w:line="239" w:lineRule="auto"/>
        <w:rPr>
          <w:sz w:val="20"/>
          <w:szCs w:val="20"/>
          <w:color w:val="auto"/>
        </w:rPr>
      </w:pPr>
      <w:r>
        <w:rPr>
          <w:rFonts w:ascii="Arial" w:cs="Arial" w:eastAsia="Arial" w:hAnsi="Arial"/>
          <w:sz w:val="16"/>
          <w:szCs w:val="16"/>
          <w:color w:val="auto"/>
        </w:rPr>
        <w:t>We are currently a party to a number of license and acquisition agreements of importance to our business and to our current product candidates, and we expect to be subject to additional such agreements in the future. Disputes may arise between us and any of these counterparties regarding intellectual property subject to and each parties' obligations under such agreements, including:</w:t>
      </w:r>
    </w:p>
    <w:p>
      <w:pPr>
        <w:spacing w:after="0" w:line="186" w:lineRule="exact"/>
        <w:rPr>
          <w:sz w:val="20"/>
          <w:szCs w:val="20"/>
          <w:color w:val="auto"/>
        </w:rPr>
      </w:pPr>
    </w:p>
    <w:p>
      <w:pPr>
        <w:ind w:left="960" w:right="580" w:hanging="481"/>
        <w:spacing w:after="0" w:line="241"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diligence obligations with respect to the use of the licensed technology in relation to our development and commercialization of our product candidates, and what activities satisfy those diligence obligations;</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scope of rights granted under the agreement and other interpretation-related issues;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obligations to make milestone, royalty or other payments under those agreements;</w:t>
      </w:r>
    </w:p>
    <w:p>
      <w:pPr>
        <w:spacing w:after="0" w:line="177" w:lineRule="exact"/>
        <w:rPr>
          <w:rFonts w:ascii="Arial" w:cs="Arial" w:eastAsia="Arial" w:hAnsi="Arial"/>
          <w:sz w:val="16"/>
          <w:szCs w:val="16"/>
          <w:color w:val="auto"/>
        </w:rPr>
      </w:pPr>
    </w:p>
    <w:p>
      <w:pPr>
        <w:ind w:left="5620" w:right="380" w:hanging="5141"/>
        <w:spacing w:after="0" w:line="492" w:lineRule="auto"/>
        <w:tabs>
          <w:tab w:leader="none" w:pos="9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agreement;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right to sublicense patent and other rights to third parties;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right to transfer or assign the license;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effects of termination.</w:t>
      </w:r>
    </w:p>
    <w:p>
      <w:pPr>
        <w:spacing w:after="0" w:line="190" w:lineRule="exact"/>
        <w:rPr>
          <w:sz w:val="20"/>
          <w:szCs w:val="20"/>
          <w:color w:val="auto"/>
        </w:rPr>
      </w:pPr>
    </w:p>
    <w:p>
      <w:pPr>
        <w:ind w:right="80" w:firstLine="433"/>
        <w:spacing w:after="0" w:line="241" w:lineRule="auto"/>
        <w:rPr>
          <w:sz w:val="20"/>
          <w:szCs w:val="20"/>
          <w:color w:val="auto"/>
        </w:rPr>
      </w:pPr>
      <w:r>
        <w:rPr>
          <w:rFonts w:ascii="Arial" w:cs="Arial" w:eastAsia="Arial" w:hAnsi="Arial"/>
          <w:sz w:val="16"/>
          <w:szCs w:val="16"/>
          <w:color w:val="auto"/>
        </w:rPr>
        <w:t>These or other disputes over our obligations or intellectual property that we have licensed or acquired may prevent or impair our ability to maintain our current arrangements on acceptable terms, or may impair the value of the arrangement to us. Any such dispute could have an adverse affect on our business.</w:t>
      </w:r>
    </w:p>
    <w:p>
      <w:pPr>
        <w:spacing w:after="0" w:line="185"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If we fail to meet our obligations under these agreements in a material respect, the respective licensor/seller would have the right to terminate the respective agreement and upon the effective date of such termination, have the right to re-obtain the related technology as well as aspects of any intellectual property controlled by us and developed during the period the agreement was in force that relate to the applicable technology. This means that the licensor/seller to each of these agreements could effectively take control of the development and commercialization of our product candidates after an uncured, material breach of the agreement by us. This would also be the case if we voluntarily terminate the relevant agreement. While we would expect to exercise all rights and remedies available to us, including seeking to cure any breach by us, and otherwise seek to preserve our rights under the technology licensed to or acquired by us, we may not be able to do so in a timely manner, at an acceptable cost or at all. Any uncured, material breach under the license could result in our loss of exclusive rights and may lead to a complete termination of our product development and any commercialization efforts for each of our product candidates.</w:t>
      </w:r>
    </w:p>
    <w:p>
      <w:pPr>
        <w:spacing w:after="0" w:line="187"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Regeneron has rights to develop rilonacept in its retained fields of local administration to the eye and ear, oncology, deficiency of the interleukin-1 receptor, or DIRA, and CAPS. Regeneron may also develop rilonacept in fields to which we have licensed the rights, but we retain the commercial benefit related to that development upon approval of rilonacept in any field that we have licensed. We and Regeneron communicate with each other concerning our related development activities, and we have approval rights over Regeneron's development in the fields that we have licensed, including pericarditis. Outside of the United States and Japan, Regeneron has granted a third-party licensee the right to develop and commercialize rilonacept in CAPS and certain periodic fever syndromes. The development of rilonacept in other fields could increase the possibility of identification of adverse safety results that impact our development of rilonacept for recurrent pericarditis. In addition, if approved, commercialization of rilonacept in other fields could result in an increased threat of off-label use to compete with the sale of rilonacept to treat these indications, which may diminish sales of rilonacept in fields licensed exclusively to us.</w:t>
      </w:r>
    </w:p>
    <w:p>
      <w:pPr>
        <w:spacing w:after="0" w:line="18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Certain of our agreements may limit or delay our ability to consummate certain transactions, may impact the value of those transactions, or may limit our ability to pursue certain activities. For example, under the MedImmune Agreement, we cannot sublicense the rights licensed or sublicensed to us without the consent of MedImmune and certain applicable third-party licensors, if required by agreements between MedImmune and such third-party licensors. Under an asset purchase agreement with Biogen, or the Biogen Agreement, Biogen has a right of first negotiation under certain circumstances to purchase the assets we acquired from Biogen or to obtain a license to exploit the applicable products. This right of first negotiation remains in effect until the earlier of 12 years from the date of the agreement or the first commercial sale of a product under the agreement, and applies to a variety of transactions, including licensing transactions and the sale of our company. In addition, under the Biogen Agreement, we are subject to an exclusivity obligation, pursuant to which we may not conduct any activity alone or through a third party related to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320"/>
        <w:spacing w:after="0" w:line="273" w:lineRule="auto"/>
        <w:rPr>
          <w:sz w:val="20"/>
          <w:szCs w:val="20"/>
          <w:color w:val="auto"/>
        </w:rPr>
      </w:pPr>
      <w:r>
        <w:rPr>
          <w:rFonts w:ascii="Arial" w:cs="Arial" w:eastAsia="Arial" w:hAnsi="Arial"/>
          <w:sz w:val="15"/>
          <w:szCs w:val="15"/>
          <w:color w:val="auto"/>
        </w:rPr>
        <w:t>product that modulates OSMR (other than for the development and commercialization of products that are the subject of the Biogen Agreement). This exclusivity obligation runs from the earlier of the eighth anniversary of the agreement or the first commercial sale of a product that is the subject of the agreement.</w:t>
      </w:r>
    </w:p>
    <w:p>
      <w:pPr>
        <w:spacing w:after="0" w:line="14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6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cannot assure you that our product candidates or any future product candidates, including methods of making or using these product candidates, will not infringe existing or future third-party patents. We may in the future become party to, or threatened with, adversarial proceedings or litigation regarding intellectual property rights with respect to our product candidates and technology, including contested proceedings before the USPTO. Our competitors or other third parties may assert infringement claims against us, alleging that our products are covered by their patents.</w:t>
      </w:r>
    </w:p>
    <w:p>
      <w:pPr>
        <w:spacing w:after="0" w:line="188" w:lineRule="exact"/>
        <w:rPr>
          <w:sz w:val="20"/>
          <w:szCs w:val="20"/>
          <w:color w:val="auto"/>
        </w:rPr>
      </w:pPr>
    </w:p>
    <w:p>
      <w:pPr>
        <w:ind w:right="20" w:firstLine="436"/>
        <w:spacing w:after="0" w:line="236" w:lineRule="auto"/>
        <w:rPr>
          <w:sz w:val="20"/>
          <w:szCs w:val="20"/>
          <w:color w:val="auto"/>
        </w:rPr>
      </w:pPr>
      <w:r>
        <w:rPr>
          <w:rFonts w:ascii="Arial" w:cs="Arial" w:eastAsia="Arial" w:hAnsi="Arial"/>
          <w:sz w:val="16"/>
          <w:szCs w:val="16"/>
          <w:color w:val="auto"/>
        </w:rPr>
        <w:t>Given the vast number of patents in our field of technology, we cannot be certain that we do not infringe existing patents or that we will not infringe patents that may be granted in the future. Many companies have filed, and continue to file, patent applications related to immunomodulation. Some of these patent applications have already been allowed or issued, and others may issue in the future. For example, we are aware of third-party patents that contain claims potentially relevant to certain therapeutic uses of mavrilimumab and KPL-716. If the claims of any of these patents are asserted against us, we do not believe our proposed activities related to mavrilimumab and KPL-716 would be found to infringe any valid claim of these patents. While we may decide to initiate proceedings to challenge the validity of these or other patents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In order to avoid infringing these or any other third-party patents, we may find it necessary or prudent to obtain licenses to such patents from such third-party intellectual property holders. However, we may be unable to secure such licenses or otherwise acquire or in-license any compositions, methods of use, processes, or other intellectual property rights from third parties that we identify as necessary for our current or future product candidates. The licensing or acquisition of third-party intellectual property rights is a competitive area, and several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Since our product candidates are being developed for use in fields that are competitive and of strong interest to pharmaceutical and biotechnology companies, we will likely seek to file additional patent applications and may have additional patents granted in the future, based on our future research and development efforts.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product candidate that is the subject of the actual or threatened suit.</w:t>
      </w:r>
    </w:p>
    <w:p>
      <w:pPr>
        <w:spacing w:after="0" w:line="193"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If we are found to infringe a third-party's intellectual property rights, we could be required to obtain a license from such third-party to continue developing and marketing our product candidates and technology. Under any such license, we would most likely be required to pay various types of fees, milestones, royalties or other amounts.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product candidate, or forced to redesign it, or to cease some aspect of our business operations. In addition, we could be found liable for monetary damages, including treble damages and attorneys' fees if we are found to have willfully infringed such third-party patent rights. We may be required to indemnify collaborators or contractors against such claims. A finding of infringement could prevent us from commercializing our product candidates or force us to cease some of our business operations, which could materially harm our business. Even if we are successful in defending against such claims, litigation can be expensive and time consuming and would divert management's attention from our core business. Any of these events could harm our business significantly.</w:t>
      </w:r>
    </w:p>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and other intellectual property rights, which could be expensive, time consuming and unsuccessful.</w:t>
      </w:r>
    </w:p>
    <w:p>
      <w:pPr>
        <w:spacing w:after="0" w:line="16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whether owned or in-licensed. To counter infringement or unauthorized use, we or our current or future collaborators may be required to file infringement claims against these infringers.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40"/>
        <w:spacing w:after="0" w:line="239" w:lineRule="auto"/>
        <w:rPr>
          <w:sz w:val="20"/>
          <w:szCs w:val="20"/>
          <w:color w:val="auto"/>
        </w:rPr>
      </w:pPr>
      <w:r>
        <w:rPr>
          <w:rFonts w:ascii="Arial" w:cs="Arial" w:eastAsia="Arial" w:hAnsi="Arial"/>
          <w:sz w:val="16"/>
          <w:szCs w:val="16"/>
          <w:color w:val="auto"/>
        </w:rPr>
        <w:t>statement during prosecution. It is possible that prior art of which we or our licensors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6" w:lineRule="exact"/>
        <w:rPr>
          <w:sz w:val="20"/>
          <w:szCs w:val="20"/>
          <w:color w:val="auto"/>
        </w:rPr>
      </w:pPr>
    </w:p>
    <w:p>
      <w:pPr>
        <w:ind w:right="360" w:firstLine="436"/>
        <w:spacing w:after="0" w:line="239" w:lineRule="auto"/>
        <w:rPr>
          <w:sz w:val="20"/>
          <w:szCs w:val="20"/>
          <w:color w:val="auto"/>
        </w:rPr>
      </w:pPr>
      <w:r>
        <w:rPr>
          <w:rFonts w:ascii="Arial" w:cs="Arial" w:eastAsia="Arial" w:hAnsi="Arial"/>
          <w:sz w:val="16"/>
          <w:szCs w:val="16"/>
          <w:color w:val="auto"/>
        </w:rPr>
        <w:t>Some of our competitors may be able to devote significantly more resources to intellectual property litigation, and may have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w:t>
      </w:r>
    </w:p>
    <w:p>
      <w:pPr>
        <w:spacing w:after="0" w:line="186" w:lineRule="exact"/>
        <w:rPr>
          <w:sz w:val="20"/>
          <w:szCs w:val="20"/>
          <w:color w:val="auto"/>
        </w:rPr>
      </w:pPr>
    </w:p>
    <w:p>
      <w:pPr>
        <w:ind w:right="140" w:firstLine="427"/>
        <w:spacing w:after="0" w:line="237" w:lineRule="auto"/>
        <w:rPr>
          <w:sz w:val="20"/>
          <w:szCs w:val="20"/>
          <w:color w:val="auto"/>
        </w:rPr>
      </w:pPr>
      <w:r>
        <w:rPr>
          <w:rFonts w:ascii="Arial" w:cs="Arial" w:eastAsia="Arial" w:hAnsi="Arial"/>
          <w:sz w:val="16"/>
          <w:szCs w:val="16"/>
          <w:color w:val="auto"/>
        </w:rPr>
        <w:t>An adverse result in any litigation proceeding could put one or more of our patents, whether owned or in-licensed, at risk of being invalidated or interpreted narrowly. If a defendant were to prevail on a legal assertion of invalidity or unenforceability of our patents covering one of our product candidates, we would lose at least part, and perhaps all, of the patent protection covering such product candidate. Competing products may also be sold in other countries in which our patent coverage might not exist or be as strong. If we lose a foreign patent lawsuit, alleging our infringement of a competitor's patents, we could be prevented from marketing our products in one or more foreign countries. Any of these outcomes would have a materially adverse effect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shares. Such litigation or proceedings could substantially increase our operating losses and reduce the resources available for development activities or any future sales, marketing or distribution activities.</w:t>
      </w:r>
    </w:p>
    <w:p>
      <w:pPr>
        <w:spacing w:after="0" w:line="18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1" w:lineRule="exact"/>
        <w:rPr>
          <w:sz w:val="20"/>
          <w:szCs w:val="20"/>
          <w:color w:val="auto"/>
        </w:rPr>
      </w:pPr>
    </w:p>
    <w:p>
      <w:pPr>
        <w:ind w:right="520"/>
        <w:spacing w:after="0" w:line="250"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9" w:lineRule="exact"/>
        <w:rPr>
          <w:sz w:val="20"/>
          <w:szCs w:val="20"/>
          <w:color w:val="auto"/>
        </w:rPr>
      </w:pPr>
    </w:p>
    <w:p>
      <w:pPr>
        <w:ind w:right="80" w:firstLine="433"/>
        <w:spacing w:after="0" w:line="241"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or technologies, we may not be able to stop a competitor from marketing products that are the same as or similar to our product candidates, which would have a material adverse effect on our business. In addition, if we fail to apply for applicable patent term extensions or adjustments, we will have a more limited time during which we can enforce our granted patents. In addition, if we are responsible for patent prosecution and maintenance of patent rights in-licensed to us, any of the foregoing could expose us to liability to the applicable patent owner.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effectively enforce our intellectual property rights throughout the world.</w:t>
      </w:r>
    </w:p>
    <w:p>
      <w:pPr>
        <w:spacing w:after="0" w:line="208" w:lineRule="exact"/>
        <w:rPr>
          <w:sz w:val="20"/>
          <w:szCs w:val="20"/>
          <w:color w:val="auto"/>
        </w:rPr>
      </w:pPr>
    </w:p>
    <w:p>
      <w:pPr>
        <w:ind w:right="60" w:firstLine="436"/>
        <w:spacing w:after="0" w:line="236"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Varying filing dates in international countries may also permit intervening third parties to allege priority to patent applications claiming certain technology.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In addition, many countries limit the enforceability of patents against certain parties, including government agencies or government contractors.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 candidates, and our patents or other intellectual property rights may not be effective or sufficient to prevent them from competing.</w:t>
      </w:r>
    </w:p>
    <w:p>
      <w:pPr>
        <w:spacing w:after="0" w:line="193" w:lineRule="exact"/>
        <w:rPr>
          <w:sz w:val="20"/>
          <w:szCs w:val="20"/>
          <w:color w:val="auto"/>
        </w:rPr>
      </w:pPr>
    </w:p>
    <w:p>
      <w:pPr>
        <w:ind w:right="20" w:firstLine="436"/>
        <w:spacing w:after="0" w:line="257" w:lineRule="auto"/>
        <w:rPr>
          <w:sz w:val="20"/>
          <w:szCs w:val="20"/>
          <w:color w:val="auto"/>
        </w:rPr>
      </w:pPr>
      <w:r>
        <w:rPr>
          <w:rFonts w:ascii="Arial" w:cs="Arial" w:eastAsia="Arial" w:hAnsi="Arial"/>
          <w:sz w:val="15"/>
          <w:szCs w:val="15"/>
          <w:color w:val="auto"/>
        </w:rPr>
        <w:t>Proceedings to enforce our patent rights, whether owned or in-licensed, in foreign jurisdictions, whether or not successful, could result in substantial costs and divert our efforts and resources from other aspects of our business. Furthermore, while we intend to pursue protection for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380"/>
        <w:spacing w:after="0" w:line="264" w:lineRule="auto"/>
        <w:rPr>
          <w:sz w:val="20"/>
          <w:szCs w:val="20"/>
          <w:color w:val="auto"/>
        </w:rPr>
      </w:pPr>
      <w:r>
        <w:rPr>
          <w:rFonts w:ascii="Arial" w:cs="Arial" w:eastAsia="Arial" w:hAnsi="Arial"/>
          <w:sz w:val="16"/>
          <w:szCs w:val="16"/>
          <w:b w:val="1"/>
          <w:bCs w:val="1"/>
          <w:i w:val="1"/>
          <w:iCs w:val="1"/>
          <w:color w:val="auto"/>
        </w:rPr>
        <w:t>Changes to the patent law in the United States and other jurisdictions could diminish the value of patents in general, thereby impairing our ability to protect our product candidates.</w:t>
      </w:r>
    </w:p>
    <w:p>
      <w:pPr>
        <w:spacing w:after="0" w:line="168" w:lineRule="exact"/>
        <w:rPr>
          <w:sz w:val="20"/>
          <w:szCs w:val="20"/>
          <w:color w:val="auto"/>
        </w:rPr>
      </w:pPr>
    </w:p>
    <w:p>
      <w:pPr>
        <w:ind w:firstLine="427"/>
        <w:spacing w:after="0" w:line="236"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whether owned or in-licensed, and increase the uncertainties and costs surrounding the prosecution of our patent applications and the enforcement or defense of our issued patents, in each case whether owned or in-licensed, all of which could harm our business, results of operations and financial condition.</w:t>
      </w:r>
    </w:p>
    <w:p>
      <w:pPr>
        <w:spacing w:after="0" w:line="193" w:lineRule="exact"/>
        <w:rPr>
          <w:sz w:val="20"/>
          <w:szCs w:val="20"/>
          <w:color w:val="auto"/>
        </w:rPr>
      </w:pPr>
    </w:p>
    <w:p>
      <w:pPr>
        <w:ind w:right="100" w:firstLine="427"/>
        <w:spacing w:after="0" w:line="257" w:lineRule="auto"/>
        <w:rPr>
          <w:sz w:val="20"/>
          <w:szCs w:val="20"/>
          <w:color w:val="auto"/>
        </w:rPr>
      </w:pPr>
      <w:r>
        <w:rPr>
          <w:rFonts w:ascii="Arial" w:cs="Arial" w:eastAsia="Arial" w:hAnsi="Arial"/>
          <w:sz w:val="15"/>
          <w:szCs w:val="15"/>
          <w:color w:val="auto"/>
        </w:rPr>
        <w:t xml:space="preserve">Among some of the other changes introduced by the Leahy-Smith Act are changes that limit where a patentee may file a patent infringement suit and provide new opportunities for third parties to challenge issued patents in the USPTO. We may be subject to the risk of third-party prior art submissions on pending applications or become a party to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proceedings challenging our patents. There is a lower standard of evidence necessary to invalidate a patent claim in a USPTO proceeding relative to the standard in U.S. district or federal court. This could lead third parties to challenge and successfully invalidate our patents that would not otherwise be invalidated if challenged through the court system.</w:t>
      </w:r>
    </w:p>
    <w:p>
      <w:pPr>
        <w:spacing w:after="0" w:line="174" w:lineRule="exact"/>
        <w:rPr>
          <w:sz w:val="20"/>
          <w:szCs w:val="20"/>
          <w:color w:val="auto"/>
        </w:rPr>
      </w:pPr>
    </w:p>
    <w:p>
      <w:pPr>
        <w:ind w:right="80" w:firstLine="433"/>
        <w:spacing w:after="0" w:line="237"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or maintain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enforce or shorten the term of our existing patents and patents that we might obtain in the future; shorten the term that has been lengthened by patent term adjustment of our existing patents or patents that we might obtain in the future; or challenge the validity or enforceability of patents that may be asserted against us by our competitors or other third parties.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may be harmed.</w:t>
      </w:r>
    </w:p>
    <w:p>
      <w:pPr>
        <w:spacing w:after="0" w:line="208" w:lineRule="exact"/>
        <w:rPr>
          <w:sz w:val="20"/>
          <w:szCs w:val="20"/>
          <w:color w:val="auto"/>
        </w:rPr>
      </w:pPr>
    </w:p>
    <w:p>
      <w:pPr>
        <w:ind w:right="300" w:firstLine="436"/>
        <w:spacing w:after="0" w:line="238" w:lineRule="auto"/>
        <w:rPr>
          <w:sz w:val="20"/>
          <w:szCs w:val="20"/>
          <w:color w:val="auto"/>
        </w:rPr>
      </w:pPr>
      <w:r>
        <w:rPr>
          <w:rFonts w:ascii="Arial" w:cs="Arial" w:eastAsia="Arial" w:hAnsi="Arial"/>
          <w:sz w:val="16"/>
          <w:szCs w:val="16"/>
          <w:color w:val="auto"/>
        </w:rPr>
        <w:t>In addition to the protection afforded by patents, we may rely upon unpatented trade secret protection, unpatented know-how and continuing technological innovation to develop and maintain our competitive position. Although we seek to protect our proprietary technology and processes, in part, by entering into confidentiality agreements with our collaborators, scientific advisors, contractors, employees and consultants, and invention assignment agreements with our consultants, scientific advisors and employees, we may not be able to prevent the unauthorized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86" w:lineRule="exact"/>
        <w:rPr>
          <w:sz w:val="20"/>
          <w:szCs w:val="20"/>
          <w:color w:val="auto"/>
        </w:rPr>
      </w:pPr>
    </w:p>
    <w:p>
      <w:pPr>
        <w:ind w:right="280" w:firstLine="436"/>
        <w:spacing w:after="0" w:line="262" w:lineRule="auto"/>
        <w:rPr>
          <w:sz w:val="20"/>
          <w:szCs w:val="20"/>
          <w:color w:val="auto"/>
        </w:rPr>
      </w:pPr>
      <w:r>
        <w:rPr>
          <w:rFonts w:ascii="Arial" w:cs="Arial" w:eastAsia="Arial" w:hAnsi="Arial"/>
          <w:sz w:val="15"/>
          <w:szCs w:val="15"/>
          <w:color w:val="auto"/>
        </w:rPr>
        <w:t>We cannot be certain that the steps we have taken will prevent unauthorized use or unauthorized reverse engineering of our technology. Monitoring unauthorized use of our intellectual property is difficult and costly. We may not be able to detect unauthorized use of, or take appropriate steps to enforce, our intellectual property rights. The steps we have taken to protect our proprietary rights may not be adequate to prevent misappropriation of our intellectual property.</w:t>
      </w:r>
    </w:p>
    <w:p>
      <w:pPr>
        <w:spacing w:after="0" w:line="171" w:lineRule="exact"/>
        <w:rPr>
          <w:sz w:val="20"/>
          <w:szCs w:val="20"/>
          <w:color w:val="auto"/>
        </w:rPr>
      </w:pPr>
    </w:p>
    <w:p>
      <w:pPr>
        <w:ind w:right="60" w:firstLine="436"/>
        <w:spacing w:after="0" w:line="255" w:lineRule="auto"/>
        <w:rPr>
          <w:sz w:val="20"/>
          <w:szCs w:val="20"/>
          <w:color w:val="auto"/>
        </w:rPr>
      </w:pPr>
      <w:r>
        <w:rPr>
          <w:rFonts w:ascii="Arial" w:cs="Arial" w:eastAsia="Arial" w:hAnsi="Arial"/>
          <w:sz w:val="15"/>
          <w:szCs w:val="15"/>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We may in the future rely on trade secret protection, which would be subject to the risks identified above with respect to confidential information.</w:t>
      </w:r>
    </w:p>
    <w:p>
      <w:pPr>
        <w:spacing w:after="0" w:line="17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products, our competitive position could be adversely affected, as could our business.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8" w:lineRule="exact"/>
        <w:rPr>
          <w:sz w:val="20"/>
          <w:szCs w:val="20"/>
          <w:color w:val="auto"/>
        </w:rPr>
      </w:pPr>
    </w:p>
    <w:p>
      <w:pPr>
        <w:jc w:val="both"/>
        <w:ind w:right="200" w:firstLine="436"/>
        <w:spacing w:after="0" w:line="262" w:lineRule="auto"/>
        <w:rPr>
          <w:sz w:val="20"/>
          <w:szCs w:val="20"/>
          <w:color w:val="auto"/>
        </w:rPr>
      </w:pPr>
      <w:r>
        <w:rPr>
          <w:rFonts w:ascii="Arial" w:cs="Arial" w:eastAsia="Arial" w:hAnsi="Arial"/>
          <w:sz w:val="15"/>
          <w:szCs w:val="15"/>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b w:val="1"/>
          <w:bCs w:val="1"/>
          <w:i w:val="1"/>
          <w:iCs w:val="1"/>
          <w:color w:val="auto"/>
        </w:rPr>
        <w:t>We have not yet registered trademarks for a commercial trade name for our lead product candidates in the United States or foreign jurisdictions and failure to secure such registrations could adversely affect our business.</w:t>
      </w:r>
    </w:p>
    <w:p>
      <w:pPr>
        <w:spacing w:after="0" w:line="16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not yet registered trademarks for a commercial trade name for some of our lead product candidates in the United States or any foreign jurisdiction. During trademark registration proceedings, we may receive rejections.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Risks Related to Commercialization</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may be materially adversely affected.</w:t>
      </w:r>
    </w:p>
    <w:p>
      <w:pPr>
        <w:spacing w:after="0" w:line="179"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precise incidence and prevalence for all the conditions we aim to address with our programs are unknown. Our projections of both the number of people who have these diseases, as well as the subset of people with these diseases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these diseases. The number of patients may turn out to be lower than expected. We estimate that there are approximately:</w:t>
      </w:r>
    </w:p>
    <w:p>
      <w:pPr>
        <w:spacing w:after="0" w:line="189" w:lineRule="exact"/>
        <w:rPr>
          <w:sz w:val="20"/>
          <w:szCs w:val="20"/>
          <w:color w:val="auto"/>
        </w:rPr>
      </w:pPr>
    </w:p>
    <w:p>
      <w:pPr>
        <w:ind w:left="960" w:hanging="481"/>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3,000 to 12,000 addressable patients not well-managed with existing therapies with recurrent pericarditis in the United States;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100,000 to 200,000 prevalent patients in the United States with GCA, with similar rates in other major markets;</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line="241" w:lineRule="auto"/>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300,000 addressable patients with prurigo nodularis in the United States, of which we believe 20% to 30% to have severe systemic disease with similar prevalence rates in other major markets; and</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300,000 addressable patients with moderate-to-severe atopic dermatitis in the United States with similar rates in other major markets.</w:t>
      </w:r>
    </w:p>
    <w:p>
      <w:pPr>
        <w:spacing w:after="0" w:line="190"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total addressable market across all of our product candidates will ultimately depend upon, among other things, the diagnosis criteria included in the final label for each of our product candidates approved for sale for these indications,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7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i w:val="1"/>
          <w:iCs w:val="1"/>
          <w:color w:val="auto"/>
        </w:rPr>
        <w:t>If, in the future, we are unable to establish our own sales, marketing and distribution capabilities, or enter into agreements with third parties to sell and market our product candidates, we may not be successful in commercializing our product candidates if and when they are approved, and we may not be able to generate any revenue.</w:t>
      </w:r>
    </w:p>
    <w:p>
      <w:pPr>
        <w:spacing w:after="0" w:line="179" w:lineRule="exact"/>
        <w:rPr>
          <w:sz w:val="20"/>
          <w:szCs w:val="20"/>
          <w:color w:val="auto"/>
        </w:rPr>
      </w:pPr>
    </w:p>
    <w:p>
      <w:pPr>
        <w:ind w:right="20" w:firstLine="436"/>
        <w:spacing w:after="0" w:line="238" w:lineRule="auto"/>
        <w:rPr>
          <w:sz w:val="20"/>
          <w:szCs w:val="20"/>
          <w:color w:val="auto"/>
        </w:rPr>
      </w:pPr>
      <w:r>
        <w:rPr>
          <w:rFonts w:ascii="Arial" w:cs="Arial" w:eastAsia="Arial" w:hAnsi="Arial"/>
          <w:sz w:val="16"/>
          <w:szCs w:val="16"/>
          <w:color w:val="auto"/>
        </w:rPr>
        <w:t>We do not currently have a sales, marketing or distribution infrastructure. We have never sold, marketed or distributed any therapeutic products. To achieve commercial success for any approved product candidate, we must build our sales, marketing, managerial and other non-technical capabilities or make arrangements with third parties to perform these services. We currently plan to establish our own sales and marketing capabilities and directly commercialize any approved product candidate.</w:t>
      </w:r>
    </w:p>
    <w:p>
      <w:pPr>
        <w:spacing w:after="0" w:line="187" w:lineRule="exact"/>
        <w:rPr>
          <w:sz w:val="20"/>
          <w:szCs w:val="20"/>
          <w:color w:val="auto"/>
        </w:rPr>
      </w:pPr>
    </w:p>
    <w:p>
      <w:pPr>
        <w:ind w:right="40" w:firstLine="433"/>
        <w:spacing w:after="0" w:line="237" w:lineRule="auto"/>
        <w:rPr>
          <w:sz w:val="20"/>
          <w:szCs w:val="20"/>
          <w:color w:val="auto"/>
        </w:rPr>
      </w:pPr>
      <w:r>
        <w:rPr>
          <w:rFonts w:ascii="Arial" w:cs="Arial" w:eastAsia="Arial" w:hAnsi="Arial"/>
          <w:sz w:val="16"/>
          <w:szCs w:val="16"/>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Factors that may inhibit our efforts to commercialize our product candidates on our own include:</w:t>
      </w:r>
    </w:p>
    <w:p>
      <w:pPr>
        <w:spacing w:after="0" w:line="190" w:lineRule="exact"/>
        <w:rPr>
          <w:sz w:val="20"/>
          <w:szCs w:val="20"/>
          <w:color w:val="auto"/>
        </w:rPr>
      </w:pPr>
    </w:p>
    <w:p>
      <w:pPr>
        <w:ind w:left="960" w:hanging="481"/>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recruit and retain adequate numbers of effective sales and marketing personnel;</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89"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w:t>
      </w:r>
    </w:p>
    <w:p>
      <w:pPr>
        <w:spacing w:after="0" w:line="173" w:lineRule="exact"/>
        <w:rPr>
          <w:rFonts w:ascii="Arial" w:cs="Arial" w:eastAsia="Arial" w:hAnsi="Arial"/>
          <w:sz w:val="16"/>
          <w:szCs w:val="16"/>
          <w:color w:val="auto"/>
        </w:rPr>
      </w:pPr>
    </w:p>
    <w:p>
      <w:pPr>
        <w:ind w:left="960" w:right="160" w:hanging="481"/>
        <w:spacing w:after="0" w:line="241"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equip medical and sales personnel with effective materials, including medical and sales literature to help them educate physicians and other healthcare providers regarding applicable diseases and our future products;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develop or obtain sufficient operational functions to support our commercial activities;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190" w:lineRule="exact"/>
        <w:rPr>
          <w:sz w:val="20"/>
          <w:szCs w:val="20"/>
          <w:color w:val="auto"/>
        </w:rPr>
      </w:pPr>
    </w:p>
    <w:p>
      <w:pPr>
        <w:ind w:firstLine="436"/>
        <w:spacing w:after="0" w:line="254" w:lineRule="auto"/>
        <w:rPr>
          <w:sz w:val="20"/>
          <w:szCs w:val="20"/>
          <w:color w:val="auto"/>
        </w:rPr>
      </w:pPr>
      <w:r>
        <w:rPr>
          <w:rFonts w:ascii="Arial" w:cs="Arial" w:eastAsia="Arial" w:hAnsi="Arial"/>
          <w:sz w:val="15"/>
          <w:szCs w:val="15"/>
          <w:color w:val="auto"/>
        </w:rPr>
        <w:t>If we enter into arrangements with third parties to perform sales, marketing, distribution and other commercial support services, our product revenues or the profitability of these revenues to us are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Developing a sales and marketing organization requires significant investment, is time consuming and could delay the launch of our product candidates. We may not be able to build an effective sales and marketing organization in the United States, the European Union or other key global markets. If we do not establish sales and marketing capabilities successfully, either on our own or in collaboration with third parties, we will not be successful in commercializing our product candidates. Further, our business, results of operations, financial condition and prospects will be materially adversely affected.</w:t>
      </w:r>
    </w:p>
    <w:p>
      <w:pPr>
        <w:spacing w:after="0" w:line="162" w:lineRule="exact"/>
        <w:rPr>
          <w:sz w:val="20"/>
          <w:szCs w:val="20"/>
          <w:color w:val="auto"/>
        </w:rPr>
      </w:pPr>
    </w:p>
    <w:p>
      <w:pPr>
        <w:ind w:right="580"/>
        <w:spacing w:after="0" w:line="264" w:lineRule="auto"/>
        <w:rPr>
          <w:sz w:val="20"/>
          <w:szCs w:val="20"/>
          <w:color w:val="auto"/>
        </w:rPr>
      </w:pPr>
      <w:r>
        <w:rPr>
          <w:rFonts w:ascii="Arial" w:cs="Arial" w:eastAsia="Arial" w:hAnsi="Arial"/>
          <w:sz w:val="16"/>
          <w:szCs w:val="16"/>
          <w:b w:val="1"/>
          <w:bCs w:val="1"/>
          <w:i w:val="1"/>
          <w:iCs w:val="1"/>
          <w:color w:val="auto"/>
        </w:rPr>
        <w:t>Our current or future product candidates may not gain market acceptance by physicians or patients, in which case our ability to generate product revenues will be compromised.</w:t>
      </w:r>
    </w:p>
    <w:p>
      <w:pPr>
        <w:spacing w:after="0" w:line="168" w:lineRule="exact"/>
        <w:rPr>
          <w:sz w:val="20"/>
          <w:szCs w:val="20"/>
          <w:color w:val="auto"/>
        </w:rPr>
      </w:pPr>
    </w:p>
    <w:p>
      <w:pPr>
        <w:jc w:val="both"/>
        <w:ind w:right="360" w:firstLine="436"/>
        <w:spacing w:after="0" w:line="238" w:lineRule="auto"/>
        <w:rPr>
          <w:sz w:val="20"/>
          <w:szCs w:val="20"/>
          <w:color w:val="auto"/>
        </w:rPr>
      </w:pPr>
      <w:r>
        <w:rPr>
          <w:rFonts w:ascii="Arial" w:cs="Arial" w:eastAsia="Arial" w:hAnsi="Arial"/>
          <w:sz w:val="16"/>
          <w:szCs w:val="16"/>
          <w:color w:val="auto"/>
        </w:rPr>
        <w:t>Even if the FDA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199" w:lineRule="exact"/>
        <w:rPr>
          <w:sz w:val="20"/>
          <w:szCs w:val="20"/>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of market introduction;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and clinical profile of competing products;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potential and perceived advantages of our product candidates over alternative treatments;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clinical indications for which our product candidates are approved;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provide acceptable evidence of safety and efficacy;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prevalence and severity of any side effects;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 labeling or product insert requirements of the FDA or other regulatory authorities;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by the FDA or other regulatory authorities;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relative convenience and ease of administration, including as compared to alternative treatments and competitive therapies;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cost-effectiveness, particularly in relation to alternative treatments;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effectiveness of our sales, marketing and distribution support;</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availability of adequate coverage, reimbursement and payment from health maintenance organizations and other insurers, both public and private; and</w:t>
      </w:r>
    </w:p>
    <w:p>
      <w:pPr>
        <w:spacing w:after="0" w:line="201" w:lineRule="exact"/>
        <w:rPr>
          <w:rFonts w:ascii="Arial" w:cs="Arial" w:eastAsia="Arial" w:hAnsi="Arial"/>
          <w:sz w:val="15"/>
          <w:szCs w:val="15"/>
          <w:color w:val="auto"/>
        </w:rPr>
      </w:pPr>
    </w:p>
    <w:p>
      <w:pPr>
        <w:ind w:left="960" w:hanging="481"/>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potential advantages over alternative treatment methods.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40" w:firstLine="436"/>
        <w:spacing w:after="0" w:line="241" w:lineRule="auto"/>
        <w:rPr>
          <w:sz w:val="20"/>
          <w:szCs w:val="20"/>
          <w:color w:val="auto"/>
        </w:rPr>
      </w:pPr>
      <w:r>
        <w:rPr>
          <w:rFonts w:ascii="Arial" w:cs="Arial" w:eastAsia="Arial" w:hAnsi="Arial"/>
          <w:sz w:val="16"/>
          <w:szCs w:val="16"/>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67" w:lineRule="exact"/>
        <w:rPr>
          <w:sz w:val="20"/>
          <w:szCs w:val="20"/>
          <w:color w:val="auto"/>
        </w:rPr>
      </w:pPr>
    </w:p>
    <w:p>
      <w:pPr>
        <w:jc w:val="both"/>
        <w:ind w:right="340"/>
        <w:spacing w:after="0" w:line="275" w:lineRule="auto"/>
        <w:rPr>
          <w:sz w:val="20"/>
          <w:szCs w:val="20"/>
          <w:color w:val="auto"/>
        </w:rPr>
      </w:pPr>
      <w:r>
        <w:rPr>
          <w:rFonts w:ascii="Arial" w:cs="Arial" w:eastAsia="Arial" w:hAnsi="Arial"/>
          <w:sz w:val="15"/>
          <w:szCs w:val="15"/>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161" w:lineRule="exact"/>
        <w:rPr>
          <w:sz w:val="20"/>
          <w:szCs w:val="20"/>
          <w:color w:val="auto"/>
        </w:rPr>
      </w:pPr>
    </w:p>
    <w:p>
      <w:pPr>
        <w:ind w:right="60" w:firstLine="436"/>
        <w:spacing w:after="0" w:line="254" w:lineRule="auto"/>
        <w:rPr>
          <w:sz w:val="20"/>
          <w:szCs w:val="20"/>
          <w:color w:val="auto"/>
        </w:rPr>
      </w:pPr>
      <w:r>
        <w:rPr>
          <w:rFonts w:ascii="Arial" w:cs="Arial" w:eastAsia="Arial" w:hAnsi="Arial"/>
          <w:sz w:val="15"/>
          <w:szCs w:val="15"/>
          <w:color w:val="auto"/>
        </w:rPr>
        <w:t>Our ability to commercialize any product candidates successfully also will depend in part on the extent to which adequate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products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products. Increasingly, third-party payors are requiring that drug companies provide them with predetermined discounts from list prices and are challenging the prices charged for products. We cannot be sure that adequate coverage will be available for any product candidate that we commercialize and, if coverage is available, that the level of reimbursement will be adequate or that will not require co-payments that patients may find unacceptably high.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 Any coverage or reimbursement that may become available may be decreased or eliminated in the future.</w:t>
      </w:r>
    </w:p>
    <w:p>
      <w:pPr>
        <w:spacing w:after="0" w:line="177" w:lineRule="exact"/>
        <w:rPr>
          <w:sz w:val="20"/>
          <w:szCs w:val="20"/>
          <w:color w:val="auto"/>
        </w:rPr>
      </w:pPr>
    </w:p>
    <w:p>
      <w:pPr>
        <w:ind w:right="100" w:firstLine="433"/>
        <w:spacing w:after="0" w:line="254" w:lineRule="auto"/>
        <w:rPr>
          <w:sz w:val="20"/>
          <w:szCs w:val="20"/>
          <w:color w:val="auto"/>
        </w:rPr>
      </w:pPr>
      <w:r>
        <w:rPr>
          <w:rFonts w:ascii="Arial" w:cs="Arial" w:eastAsia="Arial" w:hAnsi="Arial"/>
          <w:sz w:val="15"/>
          <w:szCs w:val="15"/>
          <w:color w:val="auto"/>
        </w:rPr>
        <w:t>There may be significant delays in obtaining reimbursement for newly approved products,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77"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There is significant uncertainty related to the insurance coverage and reimbursement of newly-approved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40"/>
        <w:spacing w:after="0" w:line="273" w:lineRule="auto"/>
        <w:rPr>
          <w:sz w:val="20"/>
          <w:szCs w:val="20"/>
          <w:color w:val="auto"/>
        </w:rPr>
      </w:pPr>
      <w:r>
        <w:rPr>
          <w:rFonts w:ascii="Arial" w:cs="Arial" w:eastAsia="Arial" w:hAnsi="Arial"/>
          <w:sz w:val="15"/>
          <w:szCs w:val="15"/>
          <w:color w:val="auto"/>
        </w:rPr>
        <w:t>Some third-party payors may require pre-approval of coverage for new or innovative drug therapies before they will reimburse healthcare providers who use such therapies. It is difficult to predict at this time what third-party payors will decide with respect to the coverage and reimbursement for our product candidates.</w:t>
      </w:r>
    </w:p>
    <w:p>
      <w:pPr>
        <w:spacing w:after="0" w:line="162"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Third-party payors increasingly are challenging prices charged for pharmaceutical or biologic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products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187"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regulations that govern regulatory approvals, pricing and reimbursement for new products vary widely from country to country. Our operations are subject to extensive governmental price control or other market regulations in other countries outside of the United States, and we believe the increasing emphasis on cost-containment initiatives in European and other countries have and will continue to put pressure on the pricing and usage of our product candidates.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186"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i w:val="1"/>
          <w:iCs w:val="1"/>
          <w:color w:val="auto"/>
        </w:rPr>
        <w:t>Our future growth may depend, in part, on our ability to penetrate foreign markets, where we would be subject to additional regulatory burdens and other risks and uncertainties.</w:t>
      </w:r>
    </w:p>
    <w:p>
      <w:pPr>
        <w:spacing w:after="0" w:line="168"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Although we do not have immediate plans to pursue the commercialization of rilonacept for recurrent pericarditis outside of the United States, we are evaluating the opportunities for the development and commercialization of our product candidates in foreign markets. We are not permitted to market or promote any of our product candidates before we receive regulatory approval from the applicable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89" w:lineRule="exact"/>
        <w:rPr>
          <w:sz w:val="20"/>
          <w:szCs w:val="20"/>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customers' ability to obtain reimbursement for our product candidates in foreign markets;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inability to directly control commercial activities because we are relying on third parties;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burden of complying with complex and changing foreign regulatory, tax, accounting and legal requirements;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different medical practices and customs in foreign countries affecting acceptance in the marketplace;</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import or export licensing requirements;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longer accounts receivable collection times;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longer lead times for shipping;</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language barriers for technical training and the need for language translations;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reduced protection of intellectual property rights in some foreign countries;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existence of additional potentially relevant third-party intellectual property rights;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foreign currency exchange rate fluctuations;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foreign laws in the event of a contract dispute.</w:t>
      </w:r>
    </w:p>
    <w:p>
      <w:pPr>
        <w:spacing w:after="0" w:line="190" w:lineRule="exact"/>
        <w:rPr>
          <w:sz w:val="20"/>
          <w:szCs w:val="20"/>
          <w:color w:val="auto"/>
        </w:rPr>
      </w:pPr>
    </w:p>
    <w:p>
      <w:pPr>
        <w:ind w:right="220" w:firstLine="436"/>
        <w:spacing w:after="0" w:line="241" w:lineRule="auto"/>
        <w:rPr>
          <w:sz w:val="20"/>
          <w:szCs w:val="20"/>
          <w:color w:val="auto"/>
        </w:rPr>
      </w:pPr>
      <w:r>
        <w:rPr>
          <w:rFonts w:ascii="Arial" w:cs="Arial" w:eastAsia="Arial" w:hAnsi="Arial"/>
          <w:sz w:val="16"/>
          <w:szCs w:val="16"/>
          <w:color w:val="auto"/>
        </w:rPr>
        <w:t>Foreign sales of our product candidates could also be adversely affected by the imposition of governmental controls, political and economic instability, trade restrictions and changes in tariffs.</w:t>
      </w:r>
    </w:p>
    <w:p>
      <w:pPr>
        <w:spacing w:after="0" w:line="185"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71"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3" w:lineRule="exact"/>
        <w:rPr>
          <w:sz w:val="20"/>
          <w:szCs w:val="20"/>
          <w:color w:val="auto"/>
        </w:rPr>
      </w:pPr>
    </w:p>
    <w:p>
      <w:pPr>
        <w:jc w:val="both"/>
        <w:ind w:right="220" w:firstLine="436"/>
        <w:spacing w:after="0" w:line="238" w:lineRule="auto"/>
        <w:rPr>
          <w:sz w:val="20"/>
          <w:szCs w:val="20"/>
          <w:color w:val="auto"/>
        </w:rPr>
      </w:pPr>
      <w:r>
        <w:rPr>
          <w:rFonts w:ascii="Arial" w:cs="Arial" w:eastAsia="Arial" w:hAnsi="Arial"/>
          <w:sz w:val="16"/>
          <w:szCs w:val="16"/>
          <w:color w:val="auto"/>
        </w:rPr>
        <w:t>If the FDA or a comparable foreign regulatory authority approves any of our product candidates, it or they will be subject to ongoing regulatory requirements for manufacturing, labeling, packaging, distribution, storage, advertising, promotion, sampling, record-keeping adverse event reporting, conduct of post-marketing trials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CMOs will be subject to user fees and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87"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We will be required to report certain adverse reactions and production problems, if any, to the FDA and comparable foreign regulatory authorities. Any new legislation addressing drug safety issues could result in delays in product development or commercialization, or increased costs to assure compliance.</w:t>
      </w:r>
    </w:p>
    <w:p>
      <w:pPr>
        <w:spacing w:after="0" w:line="189"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We will have to comply with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via the accelerated approval pathway, we could be required to conduct a successful post-marketing clinical trial to confirm clinical benefit for our products. An unsuccessful post-marketing trial or failure to complete such a trial could result in the withdrawal of marketing approval. The FDA also may place other conditions on approvals including the requirement for a REMS, to assure the safe use of the product. If the FDA concludes a REMS is needed, the sponsor of the BLA must submit a proposed REMS before it can obtain approval. A REMS could include medication guides, physician communication plans or elements to assure safe use, such as restricted distribution methods, patient registries and other risk minimization tools.</w:t>
      </w:r>
    </w:p>
    <w:p>
      <w:pPr>
        <w:spacing w:after="0" w:line="193"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discover previously unknown problems with a product candidate, including adverse events of unanticipated severity or frequency, or with our manufacturing processes, or fail to comply with regulatory requirements, a regulatory agency or enforcement authority may, among other things:</w:t>
      </w:r>
    </w:p>
    <w:p>
      <w:pPr>
        <w:spacing w:after="0" w:line="189" w:lineRule="exact"/>
        <w:rPr>
          <w:sz w:val="20"/>
          <w:szCs w:val="20"/>
          <w:color w:val="auto"/>
        </w:rPr>
      </w:pPr>
    </w:p>
    <w:p>
      <w:pPr>
        <w:ind w:left="960" w:hanging="481"/>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issue warning letters;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impose civil or criminal penalties;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suspend or withdraw regulatory approval;</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suspend any of our ongoing clinical trials;</w:t>
      </w:r>
    </w:p>
    <w:p>
      <w:pPr>
        <w:spacing w:after="0" w:line="189" w:lineRule="exact"/>
        <w:rPr>
          <w:rFonts w:ascii="Arial" w:cs="Arial" w:eastAsia="Arial" w:hAnsi="Arial"/>
          <w:sz w:val="16"/>
          <w:szCs w:val="16"/>
          <w:color w:val="auto"/>
        </w:rPr>
      </w:pPr>
    </w:p>
    <w:p>
      <w:pPr>
        <w:ind w:left="5620" w:right="3720" w:hanging="5141"/>
        <w:spacing w:after="0" w:line="492" w:lineRule="auto"/>
        <w:tabs>
          <w:tab w:leader="none" w:pos="9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refuse to approve pending applications or supplements to approved applications submitted by us;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impose restrictions on our operations, including closing our CMOs' facilities; or</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seize or detain products, or require a product recall.</w:t>
      </w:r>
    </w:p>
    <w:p>
      <w:pPr>
        <w:spacing w:after="0" w:line="190" w:lineRule="exact"/>
        <w:rPr>
          <w:sz w:val="20"/>
          <w:szCs w:val="20"/>
          <w:color w:val="auto"/>
        </w:rPr>
      </w:pPr>
    </w:p>
    <w:p>
      <w:pPr>
        <w:ind w:right="40" w:firstLine="427"/>
        <w:spacing w:after="0" w:line="262"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71"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applications for marketing authorization. If any of these events occurs, our ability to sell our product may be impaired, and we may incur substantial additional expense to comply with regulatory requirements.</w:t>
      </w:r>
    </w:p>
    <w:p>
      <w:pPr>
        <w:spacing w:after="0" w:line="188"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The policies of the FDA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Europe or in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5"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customers and third-party payors will be subject to applicable anti-kickback, fraud and abuse, physician payment transparency, health information privacy and security and other healthcare laws and regulations, which could expose us to criminal sanctions, civil penalties, exclusion from government healthcare programs, contractual damages, reputational harm and diminished profits and future earnings.</w:t>
      </w:r>
    </w:p>
    <w:p>
      <w:pPr>
        <w:spacing w:after="0" w:line="183" w:lineRule="exact"/>
        <w:rPr>
          <w:sz w:val="20"/>
          <w:szCs w:val="20"/>
          <w:color w:val="auto"/>
        </w:rPr>
      </w:pPr>
    </w:p>
    <w:p>
      <w:pPr>
        <w:ind w:right="140" w:firstLine="427"/>
        <w:spacing w:after="0" w:line="237"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if approved,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40"/>
        <w:spacing w:after="0" w:line="241" w:lineRule="auto"/>
        <w:rPr>
          <w:sz w:val="20"/>
          <w:szCs w:val="20"/>
          <w:color w:val="auto"/>
        </w:rPr>
      </w:pPr>
      <w:r>
        <w:rPr>
          <w:rFonts w:ascii="Arial" w:cs="Arial" w:eastAsia="Arial" w:hAnsi="Arial"/>
          <w:sz w:val="16"/>
          <w:szCs w:val="16"/>
          <w:color w:val="auto"/>
        </w:rPr>
        <w:t>through which we market, sell and distribute our product candidates for which we obtain marketing approval. Restrictions under applicable federal and state healthcare laws and regulations, include the following:</w:t>
      </w:r>
    </w:p>
    <w:p>
      <w:pPr>
        <w:spacing w:after="0" w:line="185" w:lineRule="exact"/>
        <w:rPr>
          <w:sz w:val="20"/>
          <w:szCs w:val="20"/>
          <w:color w:val="auto"/>
        </w:rPr>
      </w:pPr>
    </w:p>
    <w:p>
      <w:pPr>
        <w:ind w:left="960" w:right="40" w:hanging="481"/>
        <w:spacing w:after="0" w:line="237"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188" w:lineRule="exact"/>
        <w:rPr>
          <w:rFonts w:ascii="Arial" w:cs="Arial" w:eastAsia="Arial" w:hAnsi="Arial"/>
          <w:sz w:val="16"/>
          <w:szCs w:val="16"/>
          <w:color w:val="auto"/>
        </w:rPr>
      </w:pPr>
    </w:p>
    <w:p>
      <w:pPr>
        <w:ind w:left="960" w:right="60" w:hanging="481"/>
        <w:spacing w:after="0" w:line="237"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federal False Claims Act and civil monetary penalties laws, which, among other things, impose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174" w:lineRule="exact"/>
        <w:rPr>
          <w:rFonts w:ascii="Arial" w:cs="Arial" w:eastAsia="Arial" w:hAnsi="Arial"/>
          <w:sz w:val="16"/>
          <w:szCs w:val="16"/>
          <w:color w:val="auto"/>
        </w:rPr>
      </w:pPr>
    </w:p>
    <w:p>
      <w:pPr>
        <w:ind w:left="960" w:hanging="481"/>
        <w:spacing w:after="0" w:line="237"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imposes criminal and civil liability for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6" w:lineRule="exact"/>
        <w:rPr>
          <w:rFonts w:ascii="Arial" w:cs="Arial" w:eastAsia="Arial" w:hAnsi="Arial"/>
          <w:sz w:val="16"/>
          <w:szCs w:val="16"/>
          <w:color w:val="auto"/>
        </w:rPr>
      </w:pPr>
    </w:p>
    <w:p>
      <w:pPr>
        <w:ind w:left="960" w:right="120" w:hanging="481"/>
        <w:spacing w:after="0" w:line="237"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U.S. federal physician payment transparency requirements, sometimes referred to as the "Sunshine Act" created under Section 60002 of the Patient Protection and Affordable Care Act, as amended by the Health Care and Education Reconciliation Act, or the Affordable Care Act, which requires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89" w:lineRule="exact"/>
        <w:rPr>
          <w:rFonts w:ascii="Arial" w:cs="Arial" w:eastAsia="Arial" w:hAnsi="Arial"/>
          <w:sz w:val="16"/>
          <w:szCs w:val="16"/>
          <w:color w:val="auto"/>
        </w:rPr>
      </w:pPr>
    </w:p>
    <w:p>
      <w:pPr>
        <w:ind w:left="960" w:right="20" w:hanging="481"/>
        <w:spacing w:after="0" w:line="262" w:lineRule="auto"/>
        <w:tabs>
          <w:tab w:leader="none" w:pos="9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terms, with respect to safeguarding the privacy, security and transmission of individually identifiable health information; and</w:t>
      </w:r>
    </w:p>
    <w:p>
      <w:pPr>
        <w:spacing w:after="0" w:line="190" w:lineRule="exact"/>
        <w:rPr>
          <w:sz w:val="20"/>
          <w:szCs w:val="20"/>
          <w:color w:val="auto"/>
        </w:rPr>
      </w:pPr>
    </w:p>
    <w:p>
      <w:pPr>
        <w:ind w:left="960" w:hanging="481"/>
        <w:spacing w:after="0" w:line="256" w:lineRule="auto"/>
        <w:tabs>
          <w:tab w:leader="none" w:pos="9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75" w:lineRule="exact"/>
        <w:rPr>
          <w:sz w:val="20"/>
          <w:szCs w:val="20"/>
          <w:color w:val="auto"/>
        </w:rPr>
      </w:pPr>
    </w:p>
    <w:p>
      <w:pPr>
        <w:ind w:right="80" w:firstLine="433"/>
        <w:spacing w:after="0" w:line="237" w:lineRule="auto"/>
        <w:rPr>
          <w:sz w:val="20"/>
          <w:szCs w:val="20"/>
          <w:color w:val="auto"/>
        </w:rPr>
      </w:pPr>
      <w:r>
        <w:rPr>
          <w:rFonts w:ascii="Arial" w:cs="Arial" w:eastAsia="Arial" w:hAnsi="Arial"/>
          <w:sz w:val="16"/>
          <w:szCs w:val="16"/>
          <w:color w:val="auto"/>
        </w:rPr>
        <w:t>These laws and regulations, among other things, may constrain our business, marketing and other promotional activities by limiting the kinds of financial arrangements we may have with hospitals, physicians or other potential purchasers of our product candidates, if approved. We have entered into consulting and advisory board agreements with physicians, some of whom are paid in the form of shares or options to acquire our common shares. We could be adversely affected if regulatory agencies determine our financial relationships with such physicians to be in violation of applicable laws. 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w:t>
      </w:r>
    </w:p>
    <w:p>
      <w:pPr>
        <w:spacing w:after="0" w:line="18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Interactions between biopharmaceutical companies and physicians are also governed by strict laws, regulations, industry self-regulation codes of conduct and physicians' codes of professional conduct in the individual EU member states. The provision of any inducements to physicians to prescribe, recommend, endorse, order, purchase, supply, use or administer a drug product is prohibited. A number of EU member states have established additional rules requiring pharmaceutical companies to publicly disclose their interactions with physicians and to obtain approval from employers, professional organizations and/or competent authorities before entering into agreements with physicians.</w:t>
      </w:r>
    </w:p>
    <w:p>
      <w:pPr>
        <w:spacing w:after="0" w:line="189" w:lineRule="exact"/>
        <w:rPr>
          <w:sz w:val="20"/>
          <w:szCs w:val="20"/>
          <w:color w:val="auto"/>
        </w:rPr>
      </w:pPr>
    </w:p>
    <w:p>
      <w:pPr>
        <w:ind w:right="80" w:firstLine="436"/>
        <w:spacing w:after="0" w:line="236"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could limit commercialization of any product candidates that we may develop.</w:t>
      </w:r>
    </w:p>
    <w:p>
      <w:pPr>
        <w:spacing w:after="0" w:line="168" w:lineRule="exact"/>
        <w:rPr>
          <w:sz w:val="20"/>
          <w:szCs w:val="20"/>
          <w:color w:val="auto"/>
        </w:rPr>
      </w:pPr>
    </w:p>
    <w:p>
      <w:pPr>
        <w:ind w:right="180" w:firstLine="436"/>
        <w:spacing w:after="0" w:line="239" w:lineRule="auto"/>
        <w:rPr>
          <w:sz w:val="20"/>
          <w:szCs w:val="20"/>
          <w:color w:val="auto"/>
        </w:rPr>
      </w:pPr>
      <w:r>
        <w:rPr>
          <w:rFonts w:ascii="Arial" w:cs="Arial" w:eastAsia="Arial" w:hAnsi="Arial"/>
          <w:sz w:val="16"/>
          <w:szCs w:val="16"/>
          <w:color w:val="auto"/>
        </w:rPr>
        <w:t>We will face an inherent risk of product liability exposure related to the testing of our product candidates in human clinical trials and will face an even greater risk if we commercially sell any product candidates that we may develop. If we cannot successfully defend ourselves against claims that our product candidates caused injuries, we could incur substantial liabilities. Regardless of merit or eventual outcome, liability claims may result in:</w:t>
      </w:r>
    </w:p>
    <w:p>
      <w:pPr>
        <w:spacing w:after="0" w:line="186" w:lineRule="exact"/>
        <w:rPr>
          <w:sz w:val="20"/>
          <w:szCs w:val="20"/>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decreased demand for any product candidates that we may develop;</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injury to our reputation and significant negative media attention;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regulatory investigations that could require costly recalls or product modifications;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significant costs to defend the related litigation;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loss of potential revenue;</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diversion of management's attention away from managing our business;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inability to commercialize any product candidates that we may develop.</w:t>
      </w:r>
    </w:p>
    <w:p>
      <w:pPr>
        <w:spacing w:after="0" w:line="190" w:lineRule="exact"/>
        <w:rPr>
          <w:sz w:val="20"/>
          <w:szCs w:val="20"/>
          <w:color w:val="auto"/>
        </w:rPr>
      </w:pPr>
    </w:p>
    <w:p>
      <w:pPr>
        <w:ind w:right="280" w:firstLine="427"/>
        <w:spacing w:after="0" w:line="237"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and is subject to deductibles and coverage limitations. We anticipate that we will need to increase our insurance coverage when and if we successfully commercialize any product candidate. Insurance coverage is increasingly expensive. We may not be able to maintain insurance coverage at a reasonable cost or in an amount adequate to satisfy any liability that may arise. If we are unable to obtain insurance at acceptable cost or otherwise protect against potential product liability claims, we will be exposed to significant liabilities, which may materially and adversely affect our business and financial position. These liabilities could prevent or interfere with our commercialization efforts.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Other Risks Related to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Enacted and future healthcare legislation may have a material adverse effect on our business and results of operations.</w:t>
      </w:r>
    </w:p>
    <w:p>
      <w:pPr>
        <w:spacing w:after="0" w:line="208" w:lineRule="exact"/>
        <w:rPr>
          <w:sz w:val="20"/>
          <w:szCs w:val="20"/>
          <w:color w:val="auto"/>
        </w:rPr>
      </w:pPr>
    </w:p>
    <w:p>
      <w:pPr>
        <w:ind w:firstLine="436"/>
        <w:spacing w:after="0" w:line="254" w:lineRule="auto"/>
        <w:rPr>
          <w:sz w:val="20"/>
          <w:szCs w:val="20"/>
          <w:color w:val="auto"/>
        </w:rPr>
      </w:pPr>
      <w:r>
        <w:rPr>
          <w:rFonts w:ascii="Arial" w:cs="Arial" w:eastAsia="Arial" w:hAnsi="Arial"/>
          <w:sz w:val="15"/>
          <w:szCs w:val="15"/>
          <w:color w:val="auto"/>
        </w:rPr>
        <w:t>In the United States, European Union and other jurisdictions, there have been and we expect there will continue to be a number of legislative and regulatory initiatives and proposed changes to the healthcare system that could affect our future operations. For example, in the United States, in March 2010, the Affordable Care Act was passed, which substantially changes the way healthcare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and biologics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biologics, including our product candidates, and a new Medicare Part D coverage gap discount program, in which manufacturers must agree to offer 50% point-of-sale discounts which, through subsequent legislative amendments, was increased to 70%, off negotiated prices of applicable brand drugs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biologics to eligible beneficiaries during their coverage gap period, as a condition for the manufacturer's outpatient products to be covered under Medicare Part D.</w:t>
      </w:r>
    </w:p>
    <w:p>
      <w:pPr>
        <w:spacing w:after="0" w:line="201"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The current Presidential Administration and U.S. Congress have attempted and will likely continue to seek to modify, repeal or otherwise invalidate all, or certain provisions of, the Affordable Care Act. Most recently, the Tax Cuts and Jobs Act was enacted, which, among other things, removes penalties for not complying with the Affordable Care Act's individual mandate to carry health insurance. It is uncertain the extent to which any such changes may impact our business or financial condition.</w:t>
      </w:r>
    </w:p>
    <w:p>
      <w:pPr>
        <w:spacing w:after="0" w:line="18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led to aggregate reductions of Medicare payments to providers of 2% per fiscal year. These reductions went into effect on April 1, 2013 and, due to subsequent legislative amendments to the statute, will remain in effect through 2025 unless additional Congressional action is taken. On January 2, 2013, the American Taxpayer Relief Act of 2012 was signed into law, which, among other things, further reduced Medicare payments to several types of providers.</w:t>
      </w:r>
    </w:p>
    <w:p>
      <w:pPr>
        <w:spacing w:after="0" w:line="189" w:lineRule="exact"/>
        <w:rPr>
          <w:sz w:val="20"/>
          <w:szCs w:val="20"/>
          <w:color w:val="auto"/>
        </w:rPr>
      </w:pPr>
    </w:p>
    <w:p>
      <w:pPr>
        <w:ind w:right="40" w:firstLine="427"/>
        <w:spacing w:after="0" w:line="237"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and biologic pricing, reduce the cost of prescription drugs and biologics under Medicare, review the relationship between pricing and manufacturer patient programs and reform government program reimbursement methodologies for drugs and biologics.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88"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186" w:lineRule="exact"/>
        <w:rPr>
          <w:sz w:val="20"/>
          <w:szCs w:val="20"/>
          <w:color w:val="auto"/>
        </w:rPr>
      </w:pPr>
    </w:p>
    <w:p>
      <w:pPr>
        <w:ind w:right="560" w:firstLine="436"/>
        <w:spacing w:after="0" w:line="241" w:lineRule="auto"/>
        <w:rPr>
          <w:sz w:val="20"/>
          <w:szCs w:val="20"/>
          <w:color w:val="auto"/>
        </w:rPr>
      </w:pPr>
      <w:r>
        <w:rPr>
          <w:rFonts w:ascii="Arial" w:cs="Arial" w:eastAsia="Arial" w:hAnsi="Arial"/>
          <w:sz w:val="16"/>
          <w:szCs w:val="16"/>
          <w:color w:val="auto"/>
        </w:rPr>
        <w:t>In markets outside of the United States and European Union, reimbursement and healthcare payment systems vary significantly by country, and many countries have instituted price ceilings on specific products and therapies.</w:t>
      </w:r>
    </w:p>
    <w:p>
      <w:pPr>
        <w:spacing w:after="0" w:line="185"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the European Union or elsewhere. If we or any third-party we may engage are slow or unable to adapt to changes in existing requirements or the adoption of new requirements or policies, or if we or such third-party are not able to maintain regulatory compliance, our product candidates may lose any regulatory approval that may have been obtained and we may not achieve or sustain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conditions could adversely affect our business, financial condition or results of operations.</w:t>
      </w:r>
    </w:p>
    <w:p>
      <w:pPr>
        <w:spacing w:after="0" w:line="20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Doing business internationally involves a number of risks, including but not limited to:</w:t>
      </w:r>
    </w:p>
    <w:p>
      <w:pPr>
        <w:spacing w:after="0" w:line="189" w:lineRule="exact"/>
        <w:rPr>
          <w:sz w:val="20"/>
          <w:szCs w:val="20"/>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multiple, conflicting and changing laws and regulations such as privacy regulations, tax laws, export and import restrictions;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employment laws, regulatory requirements and other governmental approvals, permits and licenses;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failure by us to obtain and maintain regulatory approvals for the use of our products in various countries;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additional potentially relevant third-party patent rights;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complexities and difficulties in obtaining protection and enforcing our intellectual property;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difficulties in staffing and managing foreign operations;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payor reimbursement regimes, government payors or patient self-pay systems;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limits in our ability to penetrate international markets;</w:t>
      </w:r>
    </w:p>
    <w:p>
      <w:pPr>
        <w:spacing w:after="0" w:line="177"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natural disasters, political and economic instability, including wars, terrorism, political unrest, outbreak of disease and boycotts;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curtailment of trade, and other business restrictions;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certain expenses including, among others, expenses for travel, translation and insurance; and</w:t>
      </w:r>
    </w:p>
    <w:p>
      <w:pPr>
        <w:spacing w:after="0" w:line="189" w:lineRule="exact"/>
        <w:rPr>
          <w:rFonts w:ascii="Arial" w:cs="Arial" w:eastAsia="Arial" w:hAnsi="Arial"/>
          <w:sz w:val="16"/>
          <w:szCs w:val="16"/>
          <w:color w:val="auto"/>
        </w:rPr>
      </w:pPr>
    </w:p>
    <w:p>
      <w:pPr>
        <w:ind w:left="960" w:right="60" w:hanging="481"/>
        <w:spacing w:after="0" w:line="241"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185" w:lineRule="exact"/>
        <w:rPr>
          <w:sz w:val="20"/>
          <w:szCs w:val="20"/>
          <w:color w:val="auto"/>
        </w:rPr>
      </w:pPr>
    </w:p>
    <w:p>
      <w:pPr>
        <w:ind w:right="100" w:firstLine="427"/>
        <w:spacing w:after="0" w:line="241" w:lineRule="auto"/>
        <w:rPr>
          <w:sz w:val="20"/>
          <w:szCs w:val="20"/>
          <w:color w:val="auto"/>
        </w:rPr>
      </w:pPr>
      <w:r>
        <w:rPr>
          <w:rFonts w:ascii="Arial" w:cs="Arial" w:eastAsia="Arial" w:hAnsi="Arial"/>
          <w:sz w:val="16"/>
          <w:szCs w:val="16"/>
          <w:color w:val="auto"/>
        </w:rPr>
        <w:t>Any of the foregoing could harm our business and we cannot anticipate all of the ways in which the current economic climate and financial market conditions could adversely impact our business.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i w:val="1"/>
          <w:iCs w:val="1"/>
          <w:color w:val="auto"/>
        </w:rPr>
        <w:t>Our internal computer systems, or those of our third-party CMOs, CROs or other contractors or consultants, may fail or suffer security breaches, which could result in a material disruption of our product candidates' development programs.</w:t>
      </w:r>
    </w:p>
    <w:p>
      <w:pPr>
        <w:spacing w:after="0" w:line="16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CMOs, CROs and other contractors and consultants are vulnerable to damage from computer viruses, unauthorized access, theft,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or theft of confidential or proprietary information, we could incur liabilities and the further development of our product candidates could be delayed.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potential liability related to the privacy of health information we obtain from clinical trials sponsored by us.</w:t>
      </w:r>
    </w:p>
    <w:p>
      <w:pPr>
        <w:spacing w:after="0" w:line="208" w:lineRule="exact"/>
        <w:rPr>
          <w:sz w:val="20"/>
          <w:szCs w:val="20"/>
          <w:color w:val="auto"/>
        </w:rPr>
      </w:pPr>
    </w:p>
    <w:p>
      <w:pPr>
        <w:ind w:firstLine="436"/>
        <w:spacing w:after="0" w:line="254" w:lineRule="auto"/>
        <w:rPr>
          <w:sz w:val="20"/>
          <w:szCs w:val="20"/>
          <w:color w:val="auto"/>
        </w:rPr>
      </w:pPr>
      <w:r>
        <w:rPr>
          <w:rFonts w:ascii="Arial" w:cs="Arial" w:eastAsia="Arial" w:hAnsi="Arial"/>
          <w:sz w:val="15"/>
          <w:szCs w:val="15"/>
          <w:color w:val="auto"/>
        </w:rPr>
        <w:t>Most healthcare providers, including research institutions from which we obtain patient health information, are subject to privacy and security regulations promulgated under HIPAA, as amended by the HITECH. We are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United States may implicate international data protection laws, including the EU Data Protection Directive and legislation of the EU member states implementing it.</w:t>
      </w:r>
    </w:p>
    <w:p>
      <w:pPr>
        <w:spacing w:after="0" w:line="177" w:lineRule="exact"/>
        <w:rPr>
          <w:sz w:val="20"/>
          <w:szCs w:val="20"/>
          <w:color w:val="auto"/>
        </w:rPr>
      </w:pPr>
    </w:p>
    <w:p>
      <w:pPr>
        <w:jc w:val="both"/>
        <w:ind w:right="120" w:firstLine="436"/>
        <w:spacing w:after="0" w:line="239" w:lineRule="auto"/>
        <w:rPr>
          <w:sz w:val="20"/>
          <w:szCs w:val="20"/>
          <w:color w:val="auto"/>
        </w:rPr>
      </w:pPr>
      <w:r>
        <w:rPr>
          <w:rFonts w:ascii="Arial" w:cs="Arial" w:eastAsia="Arial" w:hAnsi="Arial"/>
          <w:sz w:val="16"/>
          <w:szCs w:val="16"/>
          <w:color w:val="auto"/>
        </w:rPr>
        <w:t>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European Union into the United States may result in the imposition of criminal and administrative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If we or third-party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employees are increasingly utilizing social media tools as a means of communication both internally and externally.</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Class A common shares.</w:t>
      </w:r>
    </w:p>
    <w:p>
      <w:pPr>
        <w:spacing w:after="0" w:line="170" w:lineRule="exact"/>
        <w:rPr>
          <w:sz w:val="20"/>
          <w:szCs w:val="20"/>
          <w:color w:val="auto"/>
        </w:rPr>
      </w:pPr>
    </w:p>
    <w:p>
      <w:pPr>
        <w:ind w:right="700"/>
        <w:spacing w:after="0" w:line="264" w:lineRule="auto"/>
        <w:rPr>
          <w:sz w:val="20"/>
          <w:szCs w:val="20"/>
          <w:color w:val="auto"/>
        </w:rPr>
      </w:pPr>
      <w:r>
        <w:rPr>
          <w:rFonts w:ascii="Arial" w:cs="Arial" w:eastAsia="Arial" w:hAnsi="Arial"/>
          <w:sz w:val="16"/>
          <w:szCs w:val="16"/>
          <w:b w:val="1"/>
          <w:bCs w:val="1"/>
          <w:i w:val="1"/>
          <w:iCs w:val="1"/>
          <w:color w:val="auto"/>
        </w:rPr>
        <w:t>Our employees, principal investigators, CROs, consultants and other third-party service providers may engage in misconduct or other improper activities, including non-compliance with regulatory standards and requirements and insider trading.</w:t>
      </w:r>
    </w:p>
    <w:p>
      <w:pPr>
        <w:spacing w:after="0" w:line="16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We are exposed to the risk that our employees, principal investigators, CROs, consultants and other third-party service providers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w:t>
      </w:r>
    </w:p>
    <w:p>
      <w:pPr>
        <w:spacing w:after="0" w:line="189" w:lineRule="exact"/>
        <w:rPr>
          <w:sz w:val="20"/>
          <w:szCs w:val="20"/>
          <w:color w:val="auto"/>
        </w:rPr>
      </w:pPr>
    </w:p>
    <w:p>
      <w:pPr>
        <w:jc w:val="both"/>
        <w:ind w:right="140" w:firstLine="436"/>
        <w:spacing w:after="0" w:line="239" w:lineRule="auto"/>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including off-label promotion, sales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w:t>
      </w:r>
    </w:p>
    <w:p>
      <w:pPr>
        <w:spacing w:after="0" w:line="18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intend to adopt, prior to the completion of this offering,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69"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b w:val="1"/>
          <w:bCs w:val="1"/>
          <w:i w:val="1"/>
          <w:iCs w:val="1"/>
          <w:color w:val="auto"/>
        </w:rPr>
        <w:t>We may acquire businesses, or products or product candidates, or form strategic alliances, in the future, and we may not realize the benefits of such acquisitions.</w:t>
      </w:r>
    </w:p>
    <w:p>
      <w:pPr>
        <w:spacing w:after="0" w:line="16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We have acquired and in-licensed, and may acquire or in-license additional businesses or products, from other companies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or license, we will achieve the expected synergies to justify the transaction.</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Our Common Shares and This Offering</w:t>
      </w:r>
    </w:p>
    <w:p>
      <w:pPr>
        <w:spacing w:after="0" w:line="192"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b w:val="1"/>
          <w:bCs w:val="1"/>
          <w:i w:val="1"/>
          <w:iCs w:val="1"/>
          <w:color w:val="auto"/>
        </w:rPr>
        <w:t>After this offering, the holders of our Class B common shares, which will initially consist primarily of our executive officers and certain other members of our senior management, will collectively control over a majority of the combined voting power of our common shares and therefore be able to control all matters submitted to our shareholders for approval. This concentration of ownership of our Class B common shares may have an adverse effect on the price of our Class A common shares and may result in our Class A common shares being undervalued.</w:t>
      </w:r>
    </w:p>
    <w:p>
      <w:pPr>
        <w:spacing w:after="0" w:line="183"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Our Class A1 common shares and Class B1 common shares have no voting rights. As a result, all matters submitted to our shareholders will be decided by the vote of holders of our Class A common shares and Class B common shares. Each Class A common share is entitled to one vote per Class A common share and each Class B common share is entitled to ten votes per Class B common share. As a result, of our multi-class voting structure of our common shares the holders of our Class B common shares, which will initially consist primarily of our executive officers and certain other members of our senior management following this offering, will collectively control over a majority of the combined voting power of our common shares and therefore be able to control all matters submitted to our shareholders for approval following this offering. Immediately following this offering, the holders of Class A common shares will account for 22.2% of our aggregate voting power and the holders of Class B common shares will account for the remaining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77.8% of our aggregate voting power. This concentrated control limits other shareholders' ability to influence corporate matters and may have an adverse effect on the price of our Class A common shares, including our Class A common shares being undervalued. Holders of our Class B common shares will collectively be able to control our management and affairs and the outcome of matters submitted to our shareholders for approval, including the election of directors. These holders may have interests, with respect to their investment, that are different from our other investors, including the investors in this offering. In addition, this concentration of ownership might adversely affect certain corporate actions that our other shareholders may view as beneficial, for example, by:</w:t>
      </w:r>
    </w:p>
    <w:p>
      <w:pPr>
        <w:spacing w:after="0" w:line="189" w:lineRule="exact"/>
        <w:rPr>
          <w:sz w:val="20"/>
          <w:szCs w:val="20"/>
          <w:color w:val="auto"/>
        </w:rPr>
      </w:pPr>
    </w:p>
    <w:p>
      <w:pPr>
        <w:ind w:left="960" w:hanging="481"/>
        <w:spacing w:after="0"/>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delaying, deferring or preventing a change of control of us;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impeding a merger, consolidation, takeover or other business combination involving us; or</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190"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Immediately following this offering, our executive officers and certain other members of our senior management will hold substantially all of our Class B common shares. As a result of the Class A common shares and Class B common shares they will hold immediately following this offering, our executive officers and certain other members of our senior management will hold 72.6% of our voting power and have the ability to control the outcome of all matters submitted to our shareholders for approval.</w:t>
      </w:r>
    </w:p>
    <w:p>
      <w:pPr>
        <w:spacing w:after="0" w:line="187" w:lineRule="exact"/>
        <w:rPr>
          <w:sz w:val="20"/>
          <w:szCs w:val="20"/>
          <w:color w:val="auto"/>
        </w:rPr>
      </w:pPr>
    </w:p>
    <w:p>
      <w:pPr>
        <w:ind w:firstLine="436"/>
        <w:spacing w:after="0" w:line="254" w:lineRule="auto"/>
        <w:rPr>
          <w:sz w:val="20"/>
          <w:szCs w:val="20"/>
          <w:color w:val="auto"/>
        </w:rPr>
      </w:pPr>
      <w:r>
        <w:rPr>
          <w:rFonts w:ascii="Arial" w:cs="Arial" w:eastAsia="Arial" w:hAnsi="Arial"/>
          <w:sz w:val="15"/>
          <w:szCs w:val="15"/>
          <w:color w:val="auto"/>
        </w:rPr>
        <w:t>However, this percentage may change depending on any conversion of Class A1 common shares, Class B1 common shares or Class B common shares. Each holder of Class B1 common shares has the ability to convert any portion of its Class B1 common shares into Class A common shares or Class B common shares at any time, and each holder of our Class A1 common shares has the ability to convert any portion of its Class A1 common shares into Class A common shares at any time. Our Class A1 common shares and Class B1 common shares cannot be converted if, immediately prior to or following such conversion, the holder and its affiliates beneficially own, or would beneficially own, more than 4.99% of the issued and outstanding Class A common shares or any other class of equity security (other than an exempted security) that is registered pursuant to Section 12 of the Exchange Act outstanding unless such holders provide us with 61-days' prior notice that they intend to increase, decrease or waive such threshold upon conversion. Due to these conversion rights, holders of our Class A1 common shares and our Class B1 common shares could, at any time, significantly increase their voting control of us, which could result in their ability to significantly influence or control matters submitted to our shareholders for approval. In addition, the conversion of Class B common shares to Class A common shares will have the effect, over time, of increasing the relative voting power of those individual holders of Class B common shares who retain their shares in the long term.</w:t>
      </w:r>
    </w:p>
    <w:p>
      <w:pPr>
        <w:spacing w:after="0" w:line="177"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Immediately following this offering, entities managed by Baker Bros. Advisors LP will hold 59.7% of our Class A1 common shares and 77.6% of our Class B1 common shares. Upon 61-days' prior written notice these entities, could convert their Class A1 common shares and Class B1 common shares into Class A common shares and Class B common shares, which in the aggregate would result in such entities holding 73.8% of the voting power of our outstanding share capital following this offering. See the sections titled "Description of Share Capital — Common Shares" and "Description of Share Capital — Voting Rights" for more information about conversions and the voting rights associated with our common shares.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The price of our Class A common shares is likely to be volatile and fluctuate substantially, which could result in substantial losses for purchasers of our Class A common shares in this offering.</w:t>
      </w:r>
    </w:p>
    <w:p>
      <w:pPr>
        <w:spacing w:after="0" w:line="168" w:lineRule="exact"/>
        <w:rPr>
          <w:sz w:val="20"/>
          <w:szCs w:val="20"/>
          <w:color w:val="auto"/>
        </w:rPr>
      </w:pPr>
    </w:p>
    <w:p>
      <w:pPr>
        <w:ind w:right="60" w:firstLine="436"/>
        <w:spacing w:after="0" w:line="262" w:lineRule="auto"/>
        <w:rPr>
          <w:sz w:val="20"/>
          <w:szCs w:val="20"/>
          <w:color w:val="auto"/>
        </w:rPr>
      </w:pPr>
      <w:r>
        <w:rPr>
          <w:rFonts w:ascii="Arial" w:cs="Arial" w:eastAsia="Arial" w:hAnsi="Arial"/>
          <w:sz w:val="15"/>
          <w:szCs w:val="15"/>
          <w:color w:val="auto"/>
        </w:rPr>
        <w:t>Our share price is likely to be volatile. The shares market in general and the market for biopharmaceutical companies in particular have experienced extreme volatility that has often been unrelated to the operating performance of particular companies. As a result of this volatility, you may not be able to sell your Class A common shares at or above the initial public offering price. The market price for our Class A common shares may be influenced by many factors, including:</w:t>
      </w:r>
    </w:p>
    <w:p>
      <w:pPr>
        <w:spacing w:after="0" w:line="171" w:lineRule="exact"/>
        <w:rPr>
          <w:sz w:val="20"/>
          <w:szCs w:val="20"/>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results of clinical trials for our product candidates;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delays in in-licensing or acquiring additional complementary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delays in the commencement, enrollment and the ultimate completion of clinical trials;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results and potential impact of competitive products or technologies;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manufacture and successfully produce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level of expenses related to any of our product candidates or clinical development programs;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variations in our financial results or those of companies that are perceived to be similar to us;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financing or other corporate transactions, or inability to obtain additional funding;</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failure to meet or exceed expectations of the investment community;</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general economic, industry and market conditions;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voting control of our executive officers and certain other members of our senior management or affiliates who hold our shares; and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172"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b w:val="1"/>
          <w:bCs w:val="1"/>
          <w:i w:val="1"/>
          <w:iCs w:val="1"/>
          <w:color w:val="auto"/>
        </w:rPr>
        <w:t>An active trading market for our Class A common shares may not develop, and you may not be able to resell your shares at or above the initial public offering price.</w:t>
      </w:r>
    </w:p>
    <w:p>
      <w:pPr>
        <w:spacing w:after="0" w:line="168" w:lineRule="exact"/>
        <w:rPr>
          <w:sz w:val="20"/>
          <w:szCs w:val="20"/>
          <w:color w:val="auto"/>
        </w:rPr>
      </w:pPr>
    </w:p>
    <w:p>
      <w:pPr>
        <w:ind w:firstLine="436"/>
        <w:spacing w:after="0" w:line="257" w:lineRule="auto"/>
        <w:rPr>
          <w:sz w:val="20"/>
          <w:szCs w:val="20"/>
          <w:color w:val="auto"/>
        </w:rPr>
      </w:pPr>
      <w:r>
        <w:rPr>
          <w:rFonts w:ascii="Arial" w:cs="Arial" w:eastAsia="Arial" w:hAnsi="Arial"/>
          <w:sz w:val="15"/>
          <w:szCs w:val="15"/>
          <w:color w:val="auto"/>
        </w:rPr>
        <w:t>Prior to this offering, there has been no public market for our Class A common shares. Although we anticipate that our Class A common shares will be approved for listing on The Nasdaq Global Select Market, an active trading market for our Class A common shares may never develop or be sustained following this offering. The initial public offering price of our Class A common shares will be determined through negotiations between us and the underwriters. This initial public offering price may not be indicative of the market price of our Class A common shares after this offering. In the absence of an active trading market for our Class A common shares, investors may not be able to sell their Class A common shares at or above the initial public offering price or at the time that they would like to sell.</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or publish unfavorable research or reports, about us, our business or our market, our shares price and trading volume could decline.</w:t>
      </w:r>
    </w:p>
    <w:p>
      <w:pPr>
        <w:spacing w:after="0" w:line="168" w:lineRule="exact"/>
        <w:rPr>
          <w:sz w:val="20"/>
          <w:szCs w:val="20"/>
          <w:color w:val="auto"/>
        </w:rPr>
      </w:pPr>
    </w:p>
    <w:p>
      <w:pPr>
        <w:ind w:right="240" w:firstLine="433"/>
        <w:spacing w:after="0" w:line="237" w:lineRule="auto"/>
        <w:rPr>
          <w:sz w:val="20"/>
          <w:szCs w:val="20"/>
          <w:color w:val="auto"/>
        </w:rPr>
      </w:pPr>
      <w:r>
        <w:rPr>
          <w:rFonts w:ascii="Arial" w:cs="Arial" w:eastAsia="Arial" w:hAnsi="Arial"/>
          <w:sz w:val="16"/>
          <w:szCs w:val="16"/>
          <w:color w:val="auto"/>
        </w:rPr>
        <w:t>The trading market for our Class A common shares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Class A common shares after this offering, and such lack of research coverage may adversely affect the market price of our Class A common shares. In the event we do have equity research analyst coverage, we will not have any control over the analysts or the content and opinions included in their reports. The price of our shares could decline if one or more equity research analysts downgrades our shares or issues other unfavorable commentary or research. If one or more equity research analysts ceases coverage of our company or fails to publish reports on us regularly, demand for our Class A common shares could decrease, which in turn could cause the price of our Class A common shares or its trading volume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our Class A common shares in the public market could cause our share price to fall.</w:t>
      </w:r>
    </w:p>
    <w:p>
      <w:pPr>
        <w:spacing w:after="0" w:line="20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If our existing shareholders sell, or indicate an intention to sell, substantial amounts of our Class A common shares in the public market after the lock-up and other legal restrictions on resale discussed in this prospectus lapse, the market price of our Class A common shares could decline. Based upon the number of common shares outstanding as of March 31, 2018, upon the completion of this offering, we will have outstanding a total of 13,270,569 Class A common shares, 12,995,954 Class A1 common shares, 4,638,855 Class B common shares and 16,057,618 Class B1 common shares assuming the conversion of all of our preferred shares into common shares upon the closing of this offering, no exercise of options to purchase Class A common shares outstanding as of March 31, 2018 and no exercise of the underwriters' option to purchase additional Class A common shares. Of these shares, only the Class A common shares sold in this offering, plus any Class A common shares sold upon exercise of the underwriters' option to purchase additional Class A common shares, will be freely tradable, without restriction, in the public market immediately following this offering.</w:t>
      </w:r>
    </w:p>
    <w:p>
      <w:pPr>
        <w:spacing w:after="0" w:line="187" w:lineRule="exact"/>
        <w:rPr>
          <w:sz w:val="20"/>
          <w:szCs w:val="20"/>
          <w:color w:val="auto"/>
        </w:rPr>
      </w:pPr>
    </w:p>
    <w:p>
      <w:pPr>
        <w:ind w:right="40" w:firstLine="436"/>
        <w:spacing w:after="0" w:line="254" w:lineRule="auto"/>
        <w:rPr>
          <w:sz w:val="20"/>
          <w:szCs w:val="20"/>
          <w:color w:val="auto"/>
        </w:rPr>
      </w:pPr>
      <w:r>
        <w:rPr>
          <w:rFonts w:ascii="Arial" w:cs="Arial" w:eastAsia="Arial" w:hAnsi="Arial"/>
          <w:sz w:val="15"/>
          <w:szCs w:val="15"/>
          <w:color w:val="auto"/>
        </w:rPr>
        <w:t>Substantially all of our shareholders have entered into lock-up agreements pertaining to this offering with the underwriters that restrict their ability to sell or transfer their common shares, including common shares upon the conversion of preferred shares. The lock-up agreements will expire 180 days from the date of this prospectus. After the lock-up agreements expire, up to an additional 39,962,996 Class A common shares will be eligible for sale in the public market (including Class A common shares issuable upon the conversion of our Class A1 common shares, Class B common shares, and Class B1 common shares). Approximately 27,551,086 of these Class A common shares will be held by our directors, executive officers and certain entities affiliated with our directors, and will, following the expiration of the lock-up, remain subject to certain limitations on sales made by affiliates pursuant to Rule 144 under the Securities Act. In addition, our Class A1 common shares, Class B common shares and Class B1 common shares automatically convert into Class A common shares upon transfer to non-affiliates. As a result, up to 28,449,865 of our Class A common shares may be issued upon such transfers. The representatives of the underwriters may, in their sole discretion, permit our officers, directors and other shareholders who are subject to these lock-up agreements to sell shares prior to the expiration of the lock-up.</w:t>
      </w:r>
    </w:p>
    <w:p>
      <w:pPr>
        <w:spacing w:after="0" w:line="178"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Upon completion of this offering, 4,691,213 of our Class A common shares that are subject to outstanding options or reserved for future issuance under our equity incentive plans will become eligible for sale in the public market to the extent permitted by the provisions of various vesting schedules, the lock-up agreements and Rule 144 and Rule 701 under the Securities Act. If these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340"/>
        <w:spacing w:after="0" w:line="241" w:lineRule="auto"/>
        <w:rPr>
          <w:sz w:val="20"/>
          <w:szCs w:val="20"/>
          <w:color w:val="auto"/>
        </w:rPr>
      </w:pPr>
      <w:r>
        <w:rPr>
          <w:rFonts w:ascii="Arial" w:cs="Arial" w:eastAsia="Arial" w:hAnsi="Arial"/>
          <w:sz w:val="16"/>
          <w:szCs w:val="16"/>
          <w:color w:val="auto"/>
        </w:rPr>
        <w:t>additional Class A common shares are sold, or if it is perceived that they will be sold, in the public market, the market price of our Class A common shares could decline.</w:t>
      </w:r>
    </w:p>
    <w:p>
      <w:pPr>
        <w:spacing w:after="0" w:line="185" w:lineRule="exact"/>
        <w:rPr>
          <w:sz w:val="20"/>
          <w:szCs w:val="20"/>
          <w:color w:val="auto"/>
        </w:rPr>
      </w:pPr>
    </w:p>
    <w:p>
      <w:pPr>
        <w:ind w:right="40" w:firstLine="427"/>
        <w:spacing w:after="0" w:line="237" w:lineRule="auto"/>
        <w:rPr>
          <w:sz w:val="20"/>
          <w:szCs w:val="20"/>
          <w:color w:val="auto"/>
        </w:rPr>
      </w:pPr>
      <w:r>
        <w:rPr>
          <w:rFonts w:ascii="Arial" w:cs="Arial" w:eastAsia="Arial" w:hAnsi="Arial"/>
          <w:sz w:val="16"/>
          <w:szCs w:val="16"/>
          <w:color w:val="auto"/>
        </w:rPr>
        <w:t>After this offering, the holders of approximately 35,670,093 of our Class A common shares (including Class A common shares issuable upon the conversion of our Class A1 common shares, Class B common shares, and Class B1 common shares),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shareholders could have a material adverse effect on the market price of our Class A common shares.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Class A common shares in this offering, you will suffer immediate dilution of your investment.</w:t>
      </w:r>
    </w:p>
    <w:p>
      <w:pPr>
        <w:spacing w:after="0" w:line="208"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initial public offering price of our Class A common shares is substantially higher than the as adjusted net tangible book value per common share. Therefore, if you purchase Class A common shares in this offering, you will pay a price per Class A common share that substantially exceeds our as adjusted net tangible book value per common share after this offering. To the extent outstanding options are exercised, you will incur further dilution. Based on the assumed initial public offering price of $18.00 per share, which is the midpoint of the price range set forth on the cover page of this prospectus, you will experience immediate dilution of $11.21 per common share, representing the difference between our as adjusted net tangible book value per common share after giving effect to this offering and the assumed initial public offering price. In addition, purchasers of Class A common shares in this offering will have contributed approximately 28.2% of the aggregate price paid by all purchasers of our common shares but will own only approximately 14.9% of our common shares outstanding after this offering. See "Dilution."</w:t>
      </w:r>
    </w:p>
    <w:p>
      <w:pPr>
        <w:spacing w:after="0" w:line="16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b w:val="1"/>
          <w:bCs w:val="1"/>
          <w:i w:val="1"/>
          <w:iCs w:val="1"/>
          <w:color w:val="auto"/>
        </w:rPr>
        <w:t>Future sales and issuances of our common shares or rights to purchase common shares, including pursuant to our equity incentive plans, could result in additional dilution of the percentage ownership of our shareholders and could cause our Class A common share price to fall.</w:t>
      </w:r>
    </w:p>
    <w:p>
      <w:pPr>
        <w:spacing w:after="0" w:line="168" w:lineRule="exact"/>
        <w:rPr>
          <w:sz w:val="20"/>
          <w:szCs w:val="20"/>
          <w:color w:val="auto"/>
        </w:rPr>
      </w:pPr>
    </w:p>
    <w:p>
      <w:pPr>
        <w:ind w:right="40" w:firstLine="436"/>
        <w:spacing w:after="0" w:line="257" w:lineRule="auto"/>
        <w:rPr>
          <w:sz w:val="20"/>
          <w:szCs w:val="20"/>
          <w:color w:val="auto"/>
        </w:rPr>
      </w:pPr>
      <w:r>
        <w:rPr>
          <w:rFonts w:ascii="Arial" w:cs="Arial" w:eastAsia="Arial" w:hAnsi="Arial"/>
          <w:sz w:val="15"/>
          <w:szCs w:val="15"/>
          <w:color w:val="auto"/>
        </w:rPr>
        <w:t>We will need additional capital in the future to continue our planned operations. To the extent we raise additional capital by issuing additional Class A common shares, Class A1 common shares, Class B common shares, Class B1 common shares or other equity securities, our shareholders may experience substantial dilution. We may sell common shares, convertible securities or other equity securities in one or more transactions at prices and in a manner we determine from time to time. If we sell common shares, convertible securities or other equity securities in more than one transaction, investors may be materially diluted by subsequent sales. These sales may also result in material dilution to our existing shareholders, and new investors could gain rights superior to our existing shareholders.</w:t>
      </w:r>
    </w:p>
    <w:p>
      <w:pPr>
        <w:spacing w:after="0" w:line="156"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b w:val="1"/>
          <w:bCs w:val="1"/>
          <w:i w:val="1"/>
          <w:iCs w:val="1"/>
          <w:color w:val="auto"/>
        </w:rPr>
        <w:t>We have broad discretion in how we use the proceeds of this offering and may not use these proceeds effectively, which could affect our results of operations and cause our shares price to decline.</w:t>
      </w:r>
    </w:p>
    <w:p>
      <w:pPr>
        <w:spacing w:after="0" w:line="168"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We will have considerable discretion in the application of the net proceeds of this offering. We intend to use the net proceeds from this offering, together with our existing cash and cash equivalents, to fund our clinical and pre-clinical development programs, working capital and other general corporate purposes. We may also use a portion of the net proceeds from this offering to in-license, acquire or invest in additional businesses, technologies, products or assets, although currently we have no specific agreements, commitments or understandings in this regard. As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shareholders. In addition, pending their use, we may invest the net proceeds from this offering in a manner that does not produce income or that loses value.</w:t>
      </w:r>
    </w:p>
    <w:p>
      <w:pPr>
        <w:spacing w:after="0" w:line="168" w:lineRule="exact"/>
        <w:rPr>
          <w:sz w:val="20"/>
          <w:szCs w:val="20"/>
          <w:color w:val="auto"/>
        </w:rPr>
      </w:pPr>
    </w:p>
    <w:p>
      <w:pPr>
        <w:ind w:right="440"/>
        <w:spacing w:after="0" w:line="264" w:lineRule="auto"/>
        <w:rPr>
          <w:sz w:val="20"/>
          <w:szCs w:val="20"/>
          <w:color w:val="auto"/>
        </w:rPr>
      </w:pPr>
      <w:r>
        <w:rPr>
          <w:rFonts w:ascii="Arial" w:cs="Arial" w:eastAsia="Arial" w:hAnsi="Arial"/>
          <w:sz w:val="16"/>
          <w:szCs w:val="16"/>
          <w:b w:val="1"/>
          <w:bCs w:val="1"/>
          <w:i w:val="1"/>
          <w:iCs w:val="1"/>
          <w:color w:val="auto"/>
        </w:rPr>
        <w:t>We are an "emerging growth company," and the reduced disclosure requirements applicable to emerging growth companies may make our Class A common shares less attractive to investors.</w:t>
      </w:r>
    </w:p>
    <w:p>
      <w:pPr>
        <w:spacing w:after="0" w:line="16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earlier of (a) the last day of the fiscal year in which we have total annual gross revenues of $1.07 billion or more; (b) the last day of the fiscal year following the fifth anniversary of the date of the completion of this offering; (c) the date on which we have issued more than $1 billion in nonconvertible debt during the previous three years; or (d) the date on which we are deemed to be a large accelerated filer under the rules of the Securities and Exchange Commission, which means the market value of our Class A common shares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8" w:lineRule="exact"/>
        <w:rPr>
          <w:sz w:val="20"/>
          <w:szCs w:val="20"/>
          <w:color w:val="auto"/>
        </w:rPr>
      </w:pPr>
    </w:p>
    <w:p>
      <w:pPr>
        <w:ind w:left="960" w:hanging="481"/>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 of 2002, or Section 404;</w:t>
      </w:r>
    </w:p>
    <w:p>
      <w:pPr>
        <w:spacing w:after="0" w:line="189" w:lineRule="exact"/>
        <w:rPr>
          <w:rFonts w:ascii="Arial" w:cs="Arial" w:eastAsia="Arial" w:hAnsi="Arial"/>
          <w:sz w:val="16"/>
          <w:szCs w:val="16"/>
          <w:color w:val="auto"/>
        </w:rPr>
      </w:pPr>
    </w:p>
    <w:p>
      <w:pPr>
        <w:ind w:left="960" w:right="140" w:hanging="481"/>
        <w:spacing w:after="0" w:line="241"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exemption from compliance with the requirement of the Public Company Accounting Oversight Board regarding the communication of critical audit matters in the auditor's report on the financial statements;</w:t>
      </w:r>
    </w:p>
    <w:p>
      <w:pPr>
        <w:spacing w:after="0" w:line="173" w:lineRule="exact"/>
        <w:rPr>
          <w:rFonts w:ascii="Arial" w:cs="Arial" w:eastAsia="Arial" w:hAnsi="Arial"/>
          <w:sz w:val="16"/>
          <w:szCs w:val="16"/>
          <w:color w:val="auto"/>
        </w:rPr>
      </w:pPr>
    </w:p>
    <w:p>
      <w:pPr>
        <w:ind w:left="960" w:right="500" w:hanging="481"/>
        <w:spacing w:after="0" w:line="241"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and</w:t>
      </w:r>
    </w:p>
    <w:p>
      <w:pPr>
        <w:spacing w:after="0" w:line="189" w:lineRule="exact"/>
        <w:rPr>
          <w:rFonts w:ascii="Arial" w:cs="Arial" w:eastAsia="Arial" w:hAnsi="Arial"/>
          <w:sz w:val="16"/>
          <w:szCs w:val="16"/>
          <w:color w:val="auto"/>
        </w:rPr>
      </w:pPr>
    </w:p>
    <w:p>
      <w:pPr>
        <w:ind w:left="960" w:right="440" w:hanging="481"/>
        <w:spacing w:after="0" w:line="239"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shareholder approval of any golden parachute payments not previously approved. In this prospectus, we have not included all of the executive compensation-related information that would be required if we were not an emerging growth company.</w:t>
      </w:r>
    </w:p>
    <w:p>
      <w:pPr>
        <w:spacing w:after="0" w:line="18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provided only two years of audited financial statements and have not included all of the executive compensation information that would be required if we were not an emerging growth company. We cannot predict whether investors will find our Class A common shares less attractive if we rely on these exemptions. If some investors find our Class A common shares less attractive as a result, there may be a less active trading market for our Class A common shares and our shares price may be more volatile.</w:t>
      </w:r>
    </w:p>
    <w:p>
      <w:pPr>
        <w:spacing w:after="0" w:line="189" w:lineRule="exact"/>
        <w:rPr>
          <w:sz w:val="20"/>
          <w:szCs w:val="20"/>
          <w:color w:val="auto"/>
        </w:rPr>
      </w:pPr>
    </w:p>
    <w:p>
      <w:pPr>
        <w:jc w:val="both"/>
        <w:ind w:right="160" w:firstLine="436"/>
        <w:spacing w:after="0" w:line="262"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same new or revised accounting standards as other public companies that are not emerging growth companies.</w:t>
      </w:r>
    </w:p>
    <w:p>
      <w:pPr>
        <w:spacing w:after="0" w:line="172" w:lineRule="exact"/>
        <w:rPr>
          <w:sz w:val="20"/>
          <w:szCs w:val="20"/>
          <w:color w:val="auto"/>
        </w:rPr>
      </w:pPr>
    </w:p>
    <w:p>
      <w:pPr>
        <w:ind w:right="500"/>
        <w:spacing w:after="0" w:line="264"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be required to devote substantial time to new compliance initiatives.</w:t>
      </w:r>
    </w:p>
    <w:p>
      <w:pPr>
        <w:spacing w:after="0" w:line="168" w:lineRule="exact"/>
        <w:rPr>
          <w:sz w:val="20"/>
          <w:szCs w:val="20"/>
          <w:color w:val="auto"/>
        </w:rPr>
      </w:pPr>
    </w:p>
    <w:p>
      <w:pPr>
        <w:ind w:right="20" w:firstLine="427"/>
        <w:spacing w:after="0" w:line="256"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5"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anti-takeover provisions in our amended and restated bye-laws that may discourage a change of control.</w:t>
      </w:r>
    </w:p>
    <w:p>
      <w:pPr>
        <w:spacing w:after="0" w:line="208" w:lineRule="exact"/>
        <w:rPr>
          <w:sz w:val="20"/>
          <w:szCs w:val="20"/>
          <w:color w:val="auto"/>
        </w:rPr>
      </w:pPr>
    </w:p>
    <w:p>
      <w:pPr>
        <w:ind w:right="180" w:firstLine="436"/>
        <w:spacing w:after="0" w:line="241" w:lineRule="auto"/>
        <w:rPr>
          <w:sz w:val="20"/>
          <w:szCs w:val="20"/>
          <w:color w:val="auto"/>
        </w:rPr>
      </w:pPr>
      <w:r>
        <w:rPr>
          <w:rFonts w:ascii="Arial" w:cs="Arial" w:eastAsia="Arial" w:hAnsi="Arial"/>
          <w:sz w:val="16"/>
          <w:szCs w:val="16"/>
          <w:color w:val="auto"/>
        </w:rPr>
        <w:t>Our amended and restated bye-laws will contain provisions that could make it more difficult for a third-party to acquire us without the consent of our board of directors. These provisions will provide for:</w:t>
      </w:r>
    </w:p>
    <w:p>
      <w:pPr>
        <w:spacing w:after="0" w:line="185" w:lineRule="exact"/>
        <w:rPr>
          <w:sz w:val="20"/>
          <w:szCs w:val="20"/>
          <w:color w:val="auto"/>
        </w:rPr>
      </w:pPr>
    </w:p>
    <w:p>
      <w:pPr>
        <w:ind w:left="960" w:hanging="481"/>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classified board of directors with staggered three-year terms;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directors only to be removed for cause;</w:t>
      </w:r>
    </w:p>
    <w:p>
      <w:pPr>
        <w:spacing w:after="0" w:line="177" w:lineRule="exact"/>
        <w:rPr>
          <w:rFonts w:ascii="Arial" w:cs="Arial" w:eastAsia="Arial" w:hAnsi="Arial"/>
          <w:sz w:val="16"/>
          <w:szCs w:val="16"/>
          <w:color w:val="auto"/>
        </w:rPr>
      </w:pPr>
    </w:p>
    <w:p>
      <w:pPr>
        <w:ind w:left="960" w:right="120" w:hanging="481"/>
        <w:spacing w:after="0" w:line="180" w:lineRule="auto"/>
        <w:tabs>
          <w:tab w:leader="none" w:pos="960" w:val="left"/>
        </w:tabs>
        <w:numPr>
          <w:ilvl w:val="0"/>
          <w:numId w:val="45"/>
        </w:numPr>
        <w:rPr>
          <w:rFonts w:ascii="Arial" w:cs="Arial" w:eastAsia="Arial" w:hAnsi="Arial"/>
          <w:sz w:val="31"/>
          <w:szCs w:val="31"/>
          <w:color w:val="auto"/>
          <w:vertAlign w:val="superscript"/>
        </w:rPr>
      </w:pPr>
      <w:r>
        <w:rPr>
          <w:rFonts w:ascii="Arial" w:cs="Arial" w:eastAsia="Arial" w:hAnsi="Arial"/>
          <w:sz w:val="16"/>
          <w:szCs w:val="16"/>
          <w:color w:val="auto"/>
        </w:rPr>
        <w:t>an affirmative vote of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our voting shares for certain "business combination" transactions that have not been approved by our board of directors;</w:t>
      </w:r>
    </w:p>
    <w:p>
      <w:pPr>
        <w:spacing w:after="0" w:line="174" w:lineRule="exact"/>
        <w:rPr>
          <w:rFonts w:ascii="Arial" w:cs="Arial" w:eastAsia="Arial" w:hAnsi="Arial"/>
          <w:sz w:val="31"/>
          <w:szCs w:val="31"/>
          <w:color w:val="auto"/>
          <w:vertAlign w:val="superscript"/>
        </w:rPr>
      </w:pPr>
    </w:p>
    <w:p>
      <w:pPr>
        <w:ind w:left="960" w:right="40" w:hanging="481"/>
        <w:spacing w:after="0" w:line="239"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multi-class common share structure, which provides our holders of Class B common shares with the ability to significantly influence the outcome of matters requiring shareholder approval, even if they own less than a majority of the shares of our outstanding Class A common shares, Class A1 common shares, Class B common shares, and Class B1 common shares;</w:t>
      </w:r>
    </w:p>
    <w:p>
      <w:pPr>
        <w:spacing w:after="0" w:line="186" w:lineRule="exact"/>
        <w:rPr>
          <w:rFonts w:ascii="Arial" w:cs="Arial" w:eastAsia="Arial" w:hAnsi="Arial"/>
          <w:sz w:val="16"/>
          <w:szCs w:val="16"/>
          <w:color w:val="auto"/>
        </w:rPr>
      </w:pPr>
    </w:p>
    <w:p>
      <w:pPr>
        <w:ind w:left="960" w:hanging="481"/>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restrictions on the time period in which directors may be nominated; and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200" w:hanging="481"/>
        <w:spacing w:after="0" w:line="241" w:lineRule="auto"/>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board of directors to determine the powers, preferences and rights of our preferred shares and to issue the preferred shares without shareholder approval.</w:t>
      </w:r>
    </w:p>
    <w:p>
      <w:pPr>
        <w:spacing w:after="0" w:line="185"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These anti-takeover defenses could discourage, delay or prevent a transaction involving a change in control of our company and may prevent our shareholders from receiving the benefit from any premium to the market price of our Class A common shares offered by a bidder in a takeover context. Even in the absence of a takeover attempt, the existence of these provisions may adversely affect the prevailing market price of our Class A common shares if the provisions are viewed as discouraging takeover attempts in the future. These provisions could also discourage proxy contests, make it more difficult for you and other shareholders to elect directors of your choosing and cause us to take corporate actions other than those you desire. See "Description of Share Capital."</w:t>
      </w:r>
    </w:p>
    <w:p>
      <w:pPr>
        <w:spacing w:after="0" w:line="171"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capital shares in the foreseeable future, capital appreciation, if any, will be your sole source of gain.</w:t>
      </w:r>
    </w:p>
    <w:p>
      <w:pPr>
        <w:spacing w:after="0" w:line="168"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We have never declared or paid cash dividends on our capital shares. We currently intend to retain all of our future earnings, if any, to finance the growth and development of our business. Additionally, the proposal to pay future dividends to shareholders will in addition effectively be at the sole discretion of our board of directors after taking into account various factors our board of directors deems relevant, including our business prospects, capital requirements, financial performance and new product development. As a result, capital appreciation, if any, of our Class A common shares will be your sole source of gain for the foreseeable future.</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Risks Related to Owning Shares in a Bermuda Exempted Company and Certain Tax Risks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Bermuda company and it may be difficult for you to enforce judgments against us or our directors and executive officers.</w:t>
      </w:r>
    </w:p>
    <w:p>
      <w:pPr>
        <w:spacing w:after="0" w:line="20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are a Bermuda exempted company. As a result, the rights of holders of our Class A common shares will be governed by Bermuda law and our memorandum of association and bye-laws. The rights of shareholders under Bermuda law may differ from the rights of shareholders of companies incorporated in other jurisdictions. It may be difficult for investors to enforce in the United States judgments obtained in U.S. courts against us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 See "Enforcement of Civil Liabilities Under United States Federal Securities Laws" for additional information.</w:t>
      </w:r>
    </w:p>
    <w:p>
      <w:pPr>
        <w:spacing w:after="0" w:line="17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b w:val="1"/>
          <w:bCs w:val="1"/>
          <w:i w:val="1"/>
          <w:iCs w:val="1"/>
          <w:color w:val="auto"/>
        </w:rPr>
        <w:t>Our amended and restated bye-laws will designate the Supreme Court of Bermuda as the choice of jurisdiction for disputes that arise concerning the Companies Act or out of or in connection with our bye-laws, which could limit our shareholders' ability to choose the judicial forum for disputes with us or our directors or officers.</w:t>
      </w:r>
    </w:p>
    <w:p>
      <w:pPr>
        <w:spacing w:after="0" w:line="179"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Our amended and restated bye-laws, which will become effective immediately following the completion of this offering, provide that, unless we consent in writing to the selection of an alternative jurisdiction, any dispute that arises concerning the Companies Act or out of or in connection with our bye-laws, including any question regarding the existence and scope of any bye-law and/or whether there has been a breach of the Companies Act or the bye-laws by any of our officers or directors (whether or not such a claim is brought in the name of a shareholder or in the name of our company) shall be subject to the jurisdiction of the Supreme Court of Bermuda.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Any person or entity purchasing or otherwise acquiring any interest in any of our shares shall be deemed to have notice of and consented to this provision. This choice of jurisdiction provision may limit a shareholder's ability to bring a claim in a judicial forum of its choosing for disputes with us or our directors or officers, which may discourage lawsuits against us and our directors and officers. If a court were to find either choice of jurisdiction provision in our amended and restated bye-laws to be inapplicable or unenforceable in an action, we may incur additional costs associated with resolving the dispute in other jurisdictions, which could harm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Bermuda law differs from the laws in effect in the United States and may afford less protection to our shareholders.</w:t>
      </w:r>
    </w:p>
    <w:p>
      <w:pPr>
        <w:spacing w:after="0" w:line="208" w:lineRule="exact"/>
        <w:rPr>
          <w:sz w:val="20"/>
          <w:szCs w:val="20"/>
          <w:color w:val="auto"/>
        </w:rPr>
      </w:pPr>
    </w:p>
    <w:p>
      <w:pPr>
        <w:ind w:right="20" w:firstLine="436"/>
        <w:spacing w:after="0" w:line="236" w:lineRule="auto"/>
        <w:rPr>
          <w:sz w:val="20"/>
          <w:szCs w:val="20"/>
          <w:color w:val="auto"/>
        </w:rPr>
      </w:pPr>
      <w:r>
        <w:rPr>
          <w:rFonts w:ascii="Arial" w:cs="Arial" w:eastAsia="Arial" w:hAnsi="Arial"/>
          <w:sz w:val="16"/>
          <w:szCs w:val="16"/>
          <w:color w:val="auto"/>
        </w:rPr>
        <w:t>We are organized under the laws of Bermuda. As a result, our corporate affairs are governed by the Bermuda Companies Act 1981, as amended, or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93"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United States, particularly the State of Delaware. Therefore, our shareholders may have more difficulty protecting their interests than would shareholders of a corporation incorporated in a jurisdiction within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regulatory limitations on the ownership and transfer of our common shares.</w:t>
      </w:r>
    </w:p>
    <w:p>
      <w:pPr>
        <w:spacing w:after="0" w:line="208" w:lineRule="exact"/>
        <w:rPr>
          <w:sz w:val="20"/>
          <w:szCs w:val="20"/>
          <w:color w:val="auto"/>
        </w:rPr>
      </w:pPr>
    </w:p>
    <w:p>
      <w:pPr>
        <w:jc w:val="both"/>
        <w:ind w:right="80" w:firstLine="436"/>
        <w:spacing w:after="0" w:line="237"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as amended, which regulates the sale of securities in Bermuda. In addition, the Bermuda Monetary Authority must approve all issues and transfers of shares of a Bermuda exempted company. However, the Bermuda Monetary Authority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shares exchange, which includes The Nasdaq Global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Select Market. This general permission would cease to apply if we were to cease to be listed on The Nasdaq Global Select Market.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subject to unanticipated tax liabilities.</w:t>
      </w:r>
    </w:p>
    <w:p>
      <w:pPr>
        <w:spacing w:after="0" w:line="208" w:lineRule="exact"/>
        <w:rPr>
          <w:sz w:val="20"/>
          <w:szCs w:val="20"/>
          <w:color w:val="auto"/>
        </w:rPr>
      </w:pPr>
    </w:p>
    <w:p>
      <w:pPr>
        <w:ind w:right="220" w:firstLine="427"/>
        <w:spacing w:after="0" w:line="239" w:lineRule="auto"/>
        <w:rPr>
          <w:sz w:val="20"/>
          <w:szCs w:val="20"/>
          <w:color w:val="auto"/>
        </w:rPr>
      </w:pPr>
      <w:r>
        <w:rPr>
          <w:rFonts w:ascii="Arial" w:cs="Arial" w:eastAsia="Arial" w:hAnsi="Arial"/>
          <w:sz w:val="16"/>
          <w:szCs w:val="16"/>
          <w:color w:val="auto"/>
        </w:rPr>
        <w:t>Although we are incorporated under the laws of Bermuda, we may become subject to income, withholding or other taxes in certain jurisdictions by reason of our activities and operations, and it is also possible that taxing authorities in any such jurisdictions could assert that we are subject to greater taxation than we currently anticipate. Any such non-Bermudan tax liability could materially adversely affect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Taxing authorities could reallocate our taxable income among our subsidiaries, which could increase our overall tax liability.</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are incorporated under the laws of Bermuda and currently have a subsidiary in the United States. If we succeed in growing our business, we expect to conduct increased operations through our subsidiaries in various tax jurisdictions pursuant to transfer pricing arrangements between us, our parent company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may reduce our net income in future periods.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tax position could be adversely impacted by changes in tax rates, tax laws, tax practice, tax treaties or tax regulations or changes in the interpretation thereof by the tax authorities in Europe (including the United Kingdom), the United States, Bermuda and other jurisdictions, as well as being affected by certain changes currently proposed by the Organization for Economic Co-operation and Development and their action plan on Base Erosion and Profit Shifting. Such changes may become more likely as a result of recent economic trends in the jurisdictions in which we operate, particularly if such trends continue. If such a situation was to arise, it could adversely impact our tax position and our effective tax rate.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188"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Our actual effective tax rate may vary from our expectation and that variance may be material. A number of factors may increase our future effective tax rates, including:</w:t>
      </w:r>
    </w:p>
    <w:p>
      <w:pPr>
        <w:spacing w:after="0" w:line="185" w:lineRule="exact"/>
        <w:rPr>
          <w:sz w:val="20"/>
          <w:szCs w:val="20"/>
          <w:color w:val="auto"/>
        </w:rPr>
      </w:pPr>
    </w:p>
    <w:p>
      <w:pPr>
        <w:ind w:left="960" w:hanging="481"/>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jurisdictions in which profits are determined to be earned and taxed;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resolution of issues arising from any future tax audits with various tax authorities;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the valuation of our deferred tax assets and liabilities;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increases in expenses not deductible for tax purposes, including transaction costs and impairments of goodwill in connection with acquisitions;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changes in the taxation of share-based compensation;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changes in tax laws or the interpretation of such tax laws, and changes in generally accepted accounting principles;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challenges to the transfer pricing policies related to our structure.</w:t>
      </w:r>
    </w:p>
    <w:p>
      <w:pPr>
        <w:spacing w:after="0" w:line="172"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b w:val="1"/>
          <w:bCs w:val="1"/>
          <w:i w:val="1"/>
          <w:iCs w:val="1"/>
          <w:color w:val="auto"/>
        </w:rPr>
        <w:t>We believe we will likely be classified as a passive foreign investment company for U.S. federal income tax purposes for the current year, which could result in adverse U.S. federal income tax consequences to U.S. investors in our common shares.</w:t>
      </w:r>
    </w:p>
    <w:p>
      <w:pPr>
        <w:spacing w:after="0" w:line="168" w:lineRule="exact"/>
        <w:rPr>
          <w:sz w:val="20"/>
          <w:szCs w:val="20"/>
          <w:color w:val="auto"/>
        </w:rPr>
      </w:pPr>
    </w:p>
    <w:p>
      <w:pPr>
        <w:ind w:right="20" w:firstLine="436"/>
        <w:spacing w:after="0" w:line="253" w:lineRule="auto"/>
        <w:rPr>
          <w:sz w:val="20"/>
          <w:szCs w:val="20"/>
          <w:color w:val="auto"/>
        </w:rPr>
      </w:pPr>
      <w:r>
        <w:rPr>
          <w:rFonts w:ascii="Arial" w:cs="Arial" w:eastAsia="Arial" w:hAnsi="Arial"/>
          <w:sz w:val="15"/>
          <w:szCs w:val="15"/>
          <w:color w:val="auto"/>
        </w:rPr>
        <w:t>Because we do not expect to earn revenue from our business operations during the current taxable year,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under "Material Bermuda and U.S. Federal Income Tax Considerations — Material U.S. Federal Income Tax Considerations to U.S. Holders") owns our common shares, we will continue to be treated as a PFIC with respect to such U.S. Holder in all succeeding years during which the U.S. Holder owns the common shares, regardless of whether we continue to meet the PFIC test described above, unless the U.S. Holder makes or has made a specified election and we cease to be a PFIC. If we are classified as a PFIC for any taxable year during which a U.S. Holder holds our common shares,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See "Material Bermuda and U.S. Federal Income Tax Considerations — Material U.S. Federal Income Tax Considerations to U.S. Holders — Passive Foreign Investment Company."</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a U.S. person is treated as owning at least 10% of our common shares, such holder may be subject to adverse U.S. federal income tax consequences.</w:t>
      </w:r>
    </w:p>
    <w:p>
      <w:pPr>
        <w:spacing w:after="0" w:line="219" w:lineRule="exact"/>
        <w:rPr>
          <w:sz w:val="20"/>
          <w:szCs w:val="20"/>
          <w:color w:val="auto"/>
        </w:rPr>
      </w:pPr>
    </w:p>
    <w:p>
      <w:pPr>
        <w:ind w:firstLine="436"/>
        <w:spacing w:after="0" w:line="254" w:lineRule="auto"/>
        <w:rPr>
          <w:sz w:val="20"/>
          <w:szCs w:val="20"/>
          <w:color w:val="auto"/>
        </w:rPr>
      </w:pPr>
      <w:r>
        <w:rPr>
          <w:rFonts w:ascii="Arial" w:cs="Arial" w:eastAsia="Arial" w:hAnsi="Arial"/>
          <w:sz w:val="15"/>
          <w:szCs w:val="15"/>
          <w:color w:val="auto"/>
        </w:rPr>
        <w:t>We believe we are classified as a controlled foreign corporation for the current taxable year and may be classified as a controlled foreign corporation in future taxable years. Even if we were not classified as a controlled foreign corporation, if our group includes one or more U.S. subsidiaries, certain of our non-U.S. subsidiaries could be treated as controlled foreign corporations. If a U.S. Holder (as defined below under "Material Bermuda and U.S. Federal Income Tax Considerations — Material U.S. Federal Income Tax Considerations to U.S. Holders") is treated as owning (directly, indirectly or constructively) at least 10% of the value or voting power of our common shares, such U.S. Holder may be treated as a "United States shareholder" with respect to us (if we are classified as a controlled foreign corporation) and each controlled foreign corporation in our group (if any).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that is a U.S. corporation. Failure to comply with these reporting obligations may subject you to significant monetary penalties and may prevent the statute of limitations with respect to your U.S. federal income tax return for the year for which reporting was due from starting. We cannot provide any assurances that we will assist investors in determining whether we or any of our non-U.S. subsidiaries, if any,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reporting and tax paying obligations discussed above. U.S. Holders should consult their tax advisors regarding the potential application of these rules to their investment in our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tax reform legislation could adversely affect our business and financial condition.</w:t>
      </w:r>
    </w:p>
    <w:p>
      <w:pPr>
        <w:spacing w:after="0" w:line="208" w:lineRule="exact"/>
        <w:rPr>
          <w:sz w:val="20"/>
          <w:szCs w:val="20"/>
          <w:color w:val="auto"/>
        </w:rPr>
      </w:pPr>
    </w:p>
    <w:p>
      <w:pPr>
        <w:ind w:right="20" w:firstLine="433"/>
        <w:spacing w:after="0" w:line="257" w:lineRule="auto"/>
        <w:rPr>
          <w:sz w:val="20"/>
          <w:szCs w:val="20"/>
          <w:color w:val="auto"/>
        </w:rPr>
      </w:pPr>
      <w:r>
        <w:rPr>
          <w:rFonts w:ascii="Arial" w:cs="Arial" w:eastAsia="Arial" w:hAnsi="Arial"/>
          <w:sz w:val="15"/>
          <w:szCs w:val="15"/>
          <w:color w:val="auto"/>
        </w:rPr>
        <w:t>The U.S. government has recently enacted comprehensive tax legislation that includes significant changes to the taxation of business entities, referenced herein as the Tax Reform Act. These changes include, among others, a permanent reduction to the corporate income tax rate, limiting interest deductions, adopting elements of a territorial tax system and introducing certain anti-base erosion provisions. We continue to examine the impact this tax reform legislation may have on our business. The effect of the Tax Reform Act on our business, whether adverse or favorable, is uncertain, and may not become evident for some period of time. U.S. Holders should consult with their legal and tax advisors regarding any such legislation and the potential tax consequences of investing in our common shares.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10" w:lineRule="exact"/>
        <w:rPr>
          <w:sz w:val="20"/>
          <w:szCs w:val="20"/>
          <w:color w:val="auto"/>
        </w:rPr>
      </w:pPr>
    </w:p>
    <w:p>
      <w:pPr>
        <w:ind w:right="40" w:firstLine="433"/>
        <w:spacing w:after="0" w:line="237"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prospective products and product candidates, their expected properties, performance and impact on healthcare costs, the expected timeline for achievement of our clinical milestones, the timing of, and potential results from, clinical and other trials, marketing authorization from the FDA or regulatory authorities in other jurisdictions, coverage and reimbursement for procedures using our product candidates, if approved, research and development costs, timing of regulatory filings and feedback, timing and likelihood of success, plans and objectives of management for future operations and future results of anticipated products, are forward-looking statements.</w:t>
      </w:r>
    </w:p>
    <w:p>
      <w:pPr>
        <w:spacing w:after="0" w:line="188" w:lineRule="exact"/>
        <w:rPr>
          <w:sz w:val="20"/>
          <w:szCs w:val="20"/>
          <w:color w:val="auto"/>
        </w:rPr>
      </w:pPr>
    </w:p>
    <w:p>
      <w:pPr>
        <w:ind w:right="960" w:firstLine="433"/>
        <w:spacing w:after="0" w:line="273" w:lineRule="auto"/>
        <w:rPr>
          <w:sz w:val="20"/>
          <w:szCs w:val="20"/>
          <w:color w:val="auto"/>
        </w:rPr>
      </w:pPr>
      <w:r>
        <w:rPr>
          <w:rFonts w:ascii="Arial" w:cs="Arial" w:eastAsia="Arial" w:hAnsi="Arial"/>
          <w:sz w:val="15"/>
          <w:szCs w:val="15"/>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2" w:lineRule="exact"/>
        <w:rPr>
          <w:sz w:val="20"/>
          <w:szCs w:val="20"/>
          <w:color w:val="auto"/>
        </w:rPr>
      </w:pPr>
    </w:p>
    <w:p>
      <w:pPr>
        <w:ind w:right="40" w:firstLine="436"/>
        <w:spacing w:after="0" w:line="255" w:lineRule="auto"/>
        <w:rPr>
          <w:sz w:val="20"/>
          <w:szCs w:val="20"/>
          <w:color w:val="auto"/>
        </w:rPr>
      </w:pPr>
      <w:r>
        <w:rPr>
          <w:rFonts w:ascii="Arial" w:cs="Arial" w:eastAsia="Arial" w:hAnsi="Arial"/>
          <w:sz w:val="15"/>
          <w:szCs w:val="15"/>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These forward-looking statements are subject to numerous risks, including, without limitation, the following:</w:t>
      </w:r>
    </w:p>
    <w:p>
      <w:pPr>
        <w:spacing w:after="0" w:line="177" w:lineRule="exact"/>
        <w:rPr>
          <w:sz w:val="20"/>
          <w:szCs w:val="20"/>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status as a development-stage company and our expectation to incur losses in the future;</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future capital needs and our need to raise additional funds;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limited operating history;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lengthy and expensive clinical development process with its uncertain outcome and potential for clinical failure or delay;</w:t>
      </w:r>
    </w:p>
    <w:p>
      <w:pPr>
        <w:spacing w:after="0" w:line="189"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decision by any applicable regulatory authority whether to clear our product candidates for clinical development and, ultimately, whether to approve them for marketing and sale;</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anticipate and prevent adverse events caused by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identify, in-license, acquire, discover or develop additional product candidates;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have our product candidates manufactured;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market acceptance of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timely and successfully develop and commercialize our existing and future product candidates, if approved;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physician awareness and adoption of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size of the market for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meet the quality expectations of physicians or patients;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ability to improve our product candidates;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360" w:hanging="481"/>
        <w:spacing w:after="0" w:line="241"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decision of third-party payors not to cover our product candidates or to require extensive and/or independently performed clinical trials prior to covering or maintaining coverage of our product candidates;</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successfully manage our growth;</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avoid product liability claims and maintain adequate product liability insurance;</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obtain regulatory exclusivity;</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obtain, maintain, protect and enforce our intellectual property rights related to our product candidates;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federal, state and foreign regulatory requirements applicable to our product candidates;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ownership concentration may prevent new investors in this offering from influencing significant corporate decisions.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ind w:right="80" w:firstLine="433"/>
        <w:spacing w:after="0" w:line="239"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INDUSTRY AND OTHER DATA</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Unless otherwise indicated, 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and "Special Note Regarding Forward-Looking Statements" and elsewhere in this prospectus. These and other factors could cause results to differ materially from those expressed in the estimates made by the independent parties and by us.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USE OF PROCEEDS</w:t>
      </w:r>
    </w:p>
    <w:p>
      <w:pPr>
        <w:spacing w:after="0" w:line="210" w:lineRule="exact"/>
        <w:rPr>
          <w:sz w:val="20"/>
          <w:szCs w:val="20"/>
          <w:color w:val="auto"/>
        </w:rPr>
      </w:pPr>
    </w:p>
    <w:p>
      <w:pPr>
        <w:ind w:right="120" w:firstLine="436"/>
        <w:spacing w:after="0" w:line="238" w:lineRule="auto"/>
        <w:rPr>
          <w:sz w:val="20"/>
          <w:szCs w:val="20"/>
          <w:color w:val="auto"/>
        </w:rPr>
      </w:pPr>
      <w:r>
        <w:rPr>
          <w:rFonts w:ascii="Arial" w:cs="Arial" w:eastAsia="Arial" w:hAnsi="Arial"/>
          <w:sz w:val="16"/>
          <w:szCs w:val="16"/>
          <w:color w:val="auto"/>
        </w:rPr>
        <w:t>We estimate that the net proceeds to us from our issuance and sale of 7,000,000 Class A common shares in this offering will be approximately $113.4 million (or $131.0 million if the underwriters exercise in full their option to purchase additional Class A common shares), assuming an initial public offering price of $18.00 per share, which is the midpoint of the price range set forth on the cover page of this prospectus, and after deducting the estimated underwriting discounts and commissions and estimated offering expenses payable by us.</w:t>
      </w:r>
    </w:p>
    <w:p>
      <w:pPr>
        <w:spacing w:after="0" w:line="187"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Each $1.00 increase (decrease) in the assumed initial public offering price of $18.00 per share, which is the midpoint of the price range set forth on the cover page of this prospectus, would increase (decrease) the net proceeds to us from this offering by approximately $6.5 million, assuming the number of Class A common shares offered by us, as set forth on the cover page of this prospectus, remains the same and after deducting the estimated underwriting discounts and commissions. Each increase (decrease) of 1,000,000 shares in the number of Class A common shares offered by us, as set forth on the cover page of this prospectus, would increase (decrease) the net proceeds to us from this offering by approximately $16.7 million, assuming no change in the assumed initial public offering price per share and after deducting the estimated underwriting discounts and commissions.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intend to use the net proceeds from this offering, together with our existing cash resources, as follows:</w:t>
      </w:r>
    </w:p>
    <w:p>
      <w:pPr>
        <w:spacing w:after="0" w:line="190" w:lineRule="exact"/>
        <w:rPr>
          <w:sz w:val="20"/>
          <w:szCs w:val="20"/>
          <w:color w:val="auto"/>
        </w:rPr>
      </w:pPr>
    </w:p>
    <w:p>
      <w:pPr>
        <w:ind w:left="960" w:right="60" w:hanging="481"/>
        <w:spacing w:after="0" w:line="241" w:lineRule="auto"/>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approximately $30.0 million to $35.0 million to complete our ongoing Phase 2 proof-of-concept clinical trial of rilonacept for the treatment of pericarditis and, if the results from this trial are favorable, to initiate and advance our planned Phase 3 development of rilonacept;</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approximately $65.0 million to $70.0 million to initiate and advance our planned Phase 2 clinical trial of mavrilimumab for the treatment of GCA;</w:t>
      </w:r>
    </w:p>
    <w:p>
      <w:pPr>
        <w:spacing w:after="0" w:line="177" w:lineRule="exact"/>
        <w:rPr>
          <w:rFonts w:ascii="Arial" w:cs="Arial" w:eastAsia="Arial" w:hAnsi="Arial"/>
          <w:sz w:val="16"/>
          <w:szCs w:val="16"/>
          <w:color w:val="auto"/>
        </w:rPr>
      </w:pPr>
    </w:p>
    <w:p>
      <w:pPr>
        <w:ind w:left="960" w:hanging="481"/>
        <w:spacing w:after="0" w:line="239" w:lineRule="auto"/>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approximately $80.0 million to $85.0 million to complete our ongoing Phase 1a/1b clinical trial of KPL-716 in subjects with atopic dermatitis as a proof-of-concept for pruritic conditions and, if the results from the trial are favorable, advance the clinical development of KPL-716 for the treatment of prurigo nodularis and atopic dermatitis; and</w:t>
      </w:r>
    </w:p>
    <w:p>
      <w:pPr>
        <w:spacing w:after="0" w:line="174" w:lineRule="exact"/>
        <w:rPr>
          <w:rFonts w:ascii="Arial" w:cs="Arial" w:eastAsia="Arial" w:hAnsi="Arial"/>
          <w:sz w:val="16"/>
          <w:szCs w:val="16"/>
          <w:color w:val="auto"/>
        </w:rPr>
      </w:pPr>
    </w:p>
    <w:p>
      <w:pPr>
        <w:ind w:left="960" w:right="140" w:hanging="481"/>
        <w:spacing w:after="0" w:line="241" w:lineRule="auto"/>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remainder to fund new and ongoing research and development activities, including to advance the pre-clinical development of KPL-045 and KPL-404, and for working capital and other general corporate activities.</w:t>
      </w:r>
    </w:p>
    <w:p>
      <w:pPr>
        <w:spacing w:after="0" w:line="185"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This expected use of net proceeds from this offering represents our current intentions based upon our current plans and business conditions. As of the date of this prospectus, we cannot predict with complete certainty all of the particular uses for the net proceeds from this offering or the actual amounts that we will spend on the uses set forth above. We may also use a portion of the net proceeds to in-license, acquire or invest in additional businesses, technologies, products or assets, although currently we have no specific agreements, commitments or understandings in this regard. The amounts and timing of our actual expenditures will depend on numerous factors, including the progress of our clinical trials, our ability to obtain marketing approval from the FDA for our product candidates and other development and commercialization efforts for our product candidates, as well as the amount of cash used in our operations. We may find it necessary or advisable to use the net proceeds from this offering for other purposes, and as a result, our management will retain broad discretion over the allocation of the net proceeds from this offering.</w:t>
      </w:r>
    </w:p>
    <w:p>
      <w:pPr>
        <w:spacing w:after="0" w:line="187" w:lineRule="exact"/>
        <w:rPr>
          <w:sz w:val="20"/>
          <w:szCs w:val="20"/>
          <w:color w:val="auto"/>
        </w:rPr>
      </w:pPr>
    </w:p>
    <w:p>
      <w:pPr>
        <w:ind w:right="120" w:firstLine="436"/>
        <w:spacing w:after="0" w:line="241" w:lineRule="auto"/>
        <w:rPr>
          <w:sz w:val="20"/>
          <w:szCs w:val="20"/>
          <w:color w:val="auto"/>
        </w:rPr>
      </w:pPr>
      <w:r>
        <w:rPr>
          <w:rFonts w:ascii="Arial" w:cs="Arial" w:eastAsia="Arial" w:hAnsi="Arial"/>
          <w:sz w:val="16"/>
          <w:szCs w:val="16"/>
          <w:color w:val="auto"/>
        </w:rPr>
        <w:t>We anticipate that our existing cash and cash equivalents, together with the anticipated net proceeds from this offering, will be sufficient to fund our operating expenses and capital expenditure requirements into the second quarter of 2020, enabling us (i) to complete our ongoing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clinical trials, (ii) initiate and advance our planned Phase 3 development of rilonacept and our planned Phase 2 clinical trial of mavrilimumab and (iii) advance the clinical development of KPL-716 for the treatment of prurigo nodularis and atopic dermatitis. We have based this estimate on assumptions that may prove to be wrong, and we could utilize our available capital resources sooner than we expect. Following this offering, we will require substantial capital to complete clinical development, seek regulatory approval of, and, if approved, commercialize our product candidates.</w:t>
      </w:r>
    </w:p>
    <w:p>
      <w:pPr>
        <w:spacing w:after="0" w:line="187" w:lineRule="exact"/>
        <w:rPr>
          <w:sz w:val="20"/>
          <w:szCs w:val="20"/>
          <w:color w:val="auto"/>
        </w:rPr>
      </w:pPr>
    </w:p>
    <w:p>
      <w:pPr>
        <w:ind w:right="200" w:firstLine="436"/>
        <w:spacing w:after="0" w:line="241" w:lineRule="auto"/>
        <w:rPr>
          <w:sz w:val="20"/>
          <w:szCs w:val="20"/>
          <w:color w:val="auto"/>
        </w:rPr>
      </w:pPr>
      <w:r>
        <w:rPr>
          <w:rFonts w:ascii="Arial" w:cs="Arial" w:eastAsia="Arial" w:hAnsi="Arial"/>
          <w:sz w:val="16"/>
          <w:szCs w:val="16"/>
          <w:color w:val="auto"/>
        </w:rPr>
        <w:t>Pending the use of the proceeds described above, we plan to invest the net proceeds from this offering in short- and intermediate-term, interest-bearing obligations, investment-grade instruments, certificates of deposit or direct or guaranteed obligations of the U.S. government.</w:t>
      </w:r>
    </w:p>
    <w:p>
      <w:pPr>
        <w:spacing w:after="0" w:line="18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120"/>
          </w:cols>
          <w:pgMar w:left="240" w:top="142" w:right="5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DIVIDEND POLICY</w:t>
      </w:r>
    </w:p>
    <w:p>
      <w:pPr>
        <w:spacing w:after="0" w:line="21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We have never declared or paid any cash dividends on our common shares. In October 2015, we distributed Class B common shares to the then-existing holders of our Class A common shares on a pro rata basis. We intend to retain all of our future earnings, if any, to finance the operation and expansion of our business and do not anticipate paying any cash dividends in the foreseeable future. Any future determination to declare and pay dividends to holders of our common shares will be made at the discretion of our board of directors, which may take into account several factors, including general economic conditions, our financial condition and results of operations, available cash and current and anticipated cash needs, capital requirements, contractual, legal, tax and regulatory restrictions, the implications of the payment of dividends by us to our shareholders and any other factors that our board of directors may deem relevant. In addition, pursuant to the Companies Act, a company may not declare or pay dividends if there are reasonable grounds for believing that (1) the company is, or would after the payment be, unable to pay its liabilities as they become due or (2) that the realizable value of its assets would thereby be less than its liabilities. Under our amended and restated bye-laws, which will be effective immediately following the closing of this offering, each of our common shares is entitled to dividends if, as and when dividends are declared by our board of directors, subject to any preferred dividend right of the holders of any preferred shares.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CAPITALIZATION</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our cash and cash equivalents and our capitalization as of March 31, 2018:</w:t>
      </w:r>
    </w:p>
    <w:p>
      <w:pPr>
        <w:spacing w:after="0" w:line="190" w:lineRule="exact"/>
        <w:rPr>
          <w:sz w:val="20"/>
          <w:szCs w:val="20"/>
          <w:color w:val="auto"/>
        </w:rPr>
      </w:pPr>
    </w:p>
    <w:p>
      <w:pPr>
        <w:ind w:left="960" w:hanging="481"/>
        <w:spacing w:after="0"/>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 pro forma basis to give effect to:</w:t>
      </w:r>
    </w:p>
    <w:p>
      <w:pPr>
        <w:spacing w:after="0" w:line="370" w:lineRule="exact"/>
        <w:rPr>
          <w:rFonts w:ascii="Arial" w:cs="Arial" w:eastAsia="Arial" w:hAnsi="Arial"/>
          <w:sz w:val="16"/>
          <w:szCs w:val="16"/>
          <w:color w:val="auto"/>
        </w:rPr>
      </w:pPr>
    </w:p>
    <w:p>
      <w:pPr>
        <w:ind w:left="1440" w:right="340" w:hanging="479"/>
        <w:spacing w:after="0" w:line="241" w:lineRule="auto"/>
        <w:tabs>
          <w:tab w:leader="none" w:pos="14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conversion of all outstanding preferred shares into 5,546,019 Class A common shares, 1,070,502 Class B common shares, 12,995,954 Class A1 common shares and 16,057,618 Class B1 common shares upon the closing of this offering; and</w:t>
      </w:r>
    </w:p>
    <w:p>
      <w:pPr>
        <w:spacing w:after="0" w:line="173" w:lineRule="exact"/>
        <w:rPr>
          <w:rFonts w:ascii="Arial" w:cs="Arial" w:eastAsia="Arial" w:hAnsi="Arial"/>
          <w:sz w:val="16"/>
          <w:szCs w:val="16"/>
          <w:color w:val="auto"/>
        </w:rPr>
      </w:pPr>
    </w:p>
    <w:p>
      <w:pPr>
        <w:ind w:left="1440" w:hanging="479"/>
        <w:spacing w:after="0"/>
        <w:tabs>
          <w:tab w:leader="none" w:pos="14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effectiveness of our amended and restated bye-laws immediately following the closing of this offering; and</w:t>
      </w:r>
    </w:p>
    <w:p>
      <w:pPr>
        <w:spacing w:after="0" w:line="382" w:lineRule="exact"/>
        <w:rPr>
          <w:rFonts w:ascii="Arial" w:cs="Arial" w:eastAsia="Arial" w:hAnsi="Arial"/>
          <w:sz w:val="16"/>
          <w:szCs w:val="16"/>
          <w:color w:val="auto"/>
        </w:rPr>
      </w:pPr>
    </w:p>
    <w:p>
      <w:pPr>
        <w:ind w:left="960" w:right="160" w:hanging="481"/>
        <w:spacing w:after="0" w:line="239"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our issuance and sale of 7,000,000 Class A common shares in this offering at an assumed initial public offering price of $18.00 per share, which is the midpoint of the price range set forth on the cover page of this prospectus, after deducting the estimated underwriting discounts and commissions and estimated offering expenses payable by us.</w:t>
      </w:r>
    </w:p>
    <w:p>
      <w:pPr>
        <w:spacing w:after="0" w:line="186" w:lineRule="exact"/>
        <w:rPr>
          <w:sz w:val="20"/>
          <w:szCs w:val="20"/>
          <w:color w:val="auto"/>
        </w:rPr>
      </w:pPr>
    </w:p>
    <w:p>
      <w:pPr>
        <w:jc w:val="both"/>
        <w:ind w:firstLine="433"/>
        <w:spacing w:after="0" w:line="238"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closing of this offering will be adjusted based on the actual initial public offering price and other terms of this offering determined at pricing. You should read the following table in conjunction with our consolidated financial statements and the related notes appearing at the end of this prospectus and the sections of the prospectus titled "Selected Consolidated Financial Data," "Management's Discussion and Analysis of Financial Condition and Results of Operations" and "Description of Share Capital."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700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10"/>
          </w:tcPr>
          <w:p>
            <w:pPr>
              <w:jc w:val="right"/>
              <w:ind w:right="840"/>
              <w:spacing w:after="0"/>
              <w:rPr>
                <w:sz w:val="20"/>
                <w:szCs w:val="20"/>
                <w:color w:val="auto"/>
              </w:rPr>
            </w:pPr>
            <w:r>
              <w:rPr>
                <w:rFonts w:ascii="Arial" w:cs="Arial" w:eastAsia="Arial" w:hAnsi="Arial"/>
                <w:sz w:val="16"/>
                <w:szCs w:val="16"/>
                <w:b w:val="1"/>
                <w:bCs w:val="1"/>
                <w:color w:val="auto"/>
              </w:rPr>
              <w:t>As of March 31, 2018</w:t>
            </w: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6"/>
                <w:szCs w:val="16"/>
                <w:b w:val="1"/>
                <w:bCs w:val="1"/>
                <w:color w:val="auto"/>
                <w:w w:val="97"/>
              </w:rPr>
              <w:t>Pro Forma</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Actual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7"/>
              </w:rPr>
              <w:t>Pro Forma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As Adjusted</w:t>
            </w: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auto"/>
            </w:tcBorders>
            <w:gridSpan w:val="2"/>
          </w:tcPr>
          <w:p>
            <w:pPr>
              <w:jc w:val="right"/>
              <w:spacing w:after="0" w:line="164" w:lineRule="exact"/>
              <w:rPr>
                <w:sz w:val="20"/>
                <w:szCs w:val="20"/>
                <w:color w:val="auto"/>
              </w:rPr>
            </w:pPr>
            <w:r>
              <w:rPr>
                <w:rFonts w:ascii="Arial" w:cs="Arial" w:eastAsia="Arial" w:hAnsi="Arial"/>
                <w:sz w:val="16"/>
                <w:szCs w:val="16"/>
                <w:b w:val="1"/>
                <w:bCs w:val="1"/>
                <w:color w:val="auto"/>
                <w:w w:val="82"/>
              </w:rPr>
              <w:t>(in thousands,</w:t>
            </w:r>
          </w:p>
        </w:tc>
        <w:tc>
          <w:tcPr>
            <w:tcW w:w="140" w:type="dxa"/>
            <w:vAlign w:val="bottom"/>
            <w:gridSpan w:val="2"/>
          </w:tcPr>
          <w:p>
            <w:pPr>
              <w:spacing w:after="0"/>
              <w:rPr>
                <w:sz w:val="14"/>
                <w:szCs w:val="14"/>
                <w:color w:val="auto"/>
              </w:rPr>
            </w:pPr>
          </w:p>
        </w:tc>
        <w:tc>
          <w:tcPr>
            <w:tcW w:w="1040" w:type="dxa"/>
            <w:vAlign w:val="bottom"/>
            <w:tcBorders>
              <w:top w:val="single" w:sz="8" w:color="auto"/>
            </w:tcBorders>
            <w:gridSpan w:val="2"/>
          </w:tcPr>
          <w:p>
            <w:pPr>
              <w:jc w:val="center"/>
              <w:ind w:left="2"/>
              <w:spacing w:after="0" w:line="164" w:lineRule="exact"/>
              <w:rPr>
                <w:sz w:val="20"/>
                <w:szCs w:val="20"/>
                <w:color w:val="auto"/>
              </w:rPr>
            </w:pPr>
            <w:r>
              <w:rPr>
                <w:rFonts w:ascii="Arial" w:cs="Arial" w:eastAsia="Arial" w:hAnsi="Arial"/>
                <w:sz w:val="16"/>
                <w:szCs w:val="16"/>
                <w:b w:val="1"/>
                <w:bCs w:val="1"/>
                <w:color w:val="auto"/>
                <w:w w:val="98"/>
              </w:rPr>
              <w:t>except share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rPr>
              <w:t>and per share data)</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Cash and cash equivalents</w:t>
            </w:r>
          </w:p>
        </w:tc>
        <w:tc>
          <w:tcPr>
            <w:tcW w:w="22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221,108</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221,108</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334,517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1140"/>
              <w:spacing w:after="0"/>
              <w:rPr>
                <w:sz w:val="20"/>
                <w:szCs w:val="20"/>
                <w:color w:val="auto"/>
              </w:rPr>
            </w:pPr>
            <w:r>
              <w:rPr>
                <w:rFonts w:ascii="Arial" w:cs="Arial" w:eastAsia="Arial" w:hAnsi="Arial"/>
                <w:sz w:val="16"/>
                <w:szCs w:val="16"/>
                <w:color w:val="auto"/>
              </w:rPr>
              <w:t>Convertible preferred shares (Series A, B and C), par value of $0.000273235 per</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80"/>
              <w:spacing w:after="0" w:line="181" w:lineRule="exact"/>
              <w:rPr>
                <w:sz w:val="20"/>
                <w:szCs w:val="20"/>
                <w:color w:val="auto"/>
              </w:rPr>
            </w:pPr>
            <w:r>
              <w:rPr>
                <w:rFonts w:ascii="Arial" w:cs="Arial" w:eastAsia="Arial" w:hAnsi="Arial"/>
                <w:sz w:val="16"/>
                <w:szCs w:val="16"/>
                <w:color w:val="auto"/>
              </w:rPr>
              <w:t>share; 35,670,093 shares designated, issued and outstanding, actual; and no</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80"/>
              <w:spacing w:after="0" w:line="178" w:lineRule="exact"/>
              <w:rPr>
                <w:sz w:val="20"/>
                <w:szCs w:val="20"/>
                <w:color w:val="auto"/>
              </w:rPr>
            </w:pPr>
            <w:r>
              <w:rPr>
                <w:rFonts w:ascii="Arial" w:cs="Arial" w:eastAsia="Arial" w:hAnsi="Arial"/>
                <w:sz w:val="16"/>
                <w:szCs w:val="16"/>
                <w:color w:val="auto"/>
              </w:rPr>
              <w:t>shares issued and outstanding, pro forma and pro forma as adjusted</w:t>
            </w:r>
          </w:p>
        </w:tc>
        <w:tc>
          <w:tcPr>
            <w:tcW w:w="22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78" w:lineRule="exact"/>
              <w:rPr>
                <w:sz w:val="20"/>
                <w:szCs w:val="20"/>
                <w:color w:val="auto"/>
              </w:rPr>
            </w:pPr>
            <w:r>
              <w:rPr>
                <w:rFonts w:ascii="Arial" w:cs="Arial" w:eastAsia="Arial" w:hAnsi="Arial"/>
                <w:sz w:val="16"/>
                <w:szCs w:val="16"/>
                <w:color w:val="auto"/>
              </w:rPr>
              <w:t>310,592</w:t>
            </w:r>
          </w:p>
        </w:tc>
        <w:tc>
          <w:tcPr>
            <w:tcW w:w="100" w:type="dxa"/>
            <w:vAlign w:val="bottom"/>
          </w:tcPr>
          <w:p>
            <w:pPr>
              <w:spacing w:after="0"/>
              <w:rPr>
                <w:sz w:val="15"/>
                <w:szCs w:val="15"/>
                <w:color w:val="auto"/>
              </w:rPr>
            </w:pPr>
          </w:p>
        </w:tc>
        <w:tc>
          <w:tcPr>
            <w:tcW w:w="1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Shareholders' equity (deficit):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w w:val="98"/>
              </w:rPr>
              <w:t>Class A common shares, $0.000273235 par value; 5,507,938 shares designated,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240"/>
              <w:spacing w:after="0" w:line="181" w:lineRule="exact"/>
              <w:rPr>
                <w:sz w:val="20"/>
                <w:szCs w:val="20"/>
                <w:color w:val="auto"/>
              </w:rPr>
            </w:pPr>
            <w:r>
              <w:rPr>
                <w:rFonts w:ascii="Arial" w:cs="Arial" w:eastAsia="Arial" w:hAnsi="Arial"/>
                <w:sz w:val="16"/>
                <w:szCs w:val="16"/>
                <w:color w:val="auto"/>
              </w:rPr>
              <w:t>724,550 shares issued and outstanding, actual; 6,270,569 shares issued and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240"/>
              <w:spacing w:after="0" w:line="181" w:lineRule="exact"/>
              <w:rPr>
                <w:sz w:val="20"/>
                <w:szCs w:val="20"/>
                <w:color w:val="auto"/>
              </w:rPr>
            </w:pPr>
            <w:r>
              <w:rPr>
                <w:rFonts w:ascii="Arial" w:cs="Arial" w:eastAsia="Arial" w:hAnsi="Arial"/>
                <w:sz w:val="16"/>
                <w:szCs w:val="16"/>
                <w:color w:val="auto"/>
              </w:rPr>
              <w:t>outstanding, pro forma; 13,270,569 shares issued and outstanding, pro forma</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240"/>
              <w:spacing w:after="0" w:line="178" w:lineRule="exact"/>
              <w:rPr>
                <w:sz w:val="20"/>
                <w:szCs w:val="20"/>
                <w:color w:val="auto"/>
              </w:rPr>
            </w:pPr>
            <w:r>
              <w:rPr>
                <w:rFonts w:ascii="Arial" w:cs="Arial" w:eastAsia="Arial" w:hAnsi="Arial"/>
                <w:sz w:val="16"/>
                <w:szCs w:val="16"/>
                <w:color w:val="auto"/>
              </w:rPr>
              <w:t>as adjusted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Class B common shares, $0.000273235 par value; 3,568,353 shares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designated, issued and outstanding, actual; 4,638,855 shares issued and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outstanding, pro forma; 4,638,855 shares issued and outstanding, pro forma</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240"/>
              <w:spacing w:after="0" w:line="178" w:lineRule="exact"/>
              <w:rPr>
                <w:sz w:val="20"/>
                <w:szCs w:val="20"/>
                <w:color w:val="auto"/>
              </w:rPr>
            </w:pPr>
            <w:r>
              <w:rPr>
                <w:rFonts w:ascii="Arial" w:cs="Arial" w:eastAsia="Arial" w:hAnsi="Arial"/>
                <w:sz w:val="16"/>
                <w:szCs w:val="16"/>
                <w:color w:val="auto"/>
              </w:rPr>
              <w:t>as adjusted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6"/>
                <w:szCs w:val="16"/>
                <w:color w:val="auto"/>
              </w:rPr>
              <w:t>Class A1 common shares, $0.000273235 par value; no shares designated,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240"/>
              <w:spacing w:after="0" w:line="181" w:lineRule="exact"/>
              <w:rPr>
                <w:sz w:val="20"/>
                <w:szCs w:val="20"/>
                <w:color w:val="auto"/>
              </w:rPr>
            </w:pPr>
            <w:r>
              <w:rPr>
                <w:rFonts w:ascii="Arial" w:cs="Arial" w:eastAsia="Arial" w:hAnsi="Arial"/>
                <w:sz w:val="16"/>
                <w:szCs w:val="16"/>
                <w:color w:val="auto"/>
              </w:rPr>
              <w:t>issued and outstanding, actual; 12,995,954 shares issued and 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240"/>
              <w:spacing w:after="0" w:line="178" w:lineRule="exact"/>
              <w:rPr>
                <w:sz w:val="20"/>
                <w:szCs w:val="20"/>
                <w:color w:val="auto"/>
              </w:rPr>
            </w:pPr>
            <w:r>
              <w:rPr>
                <w:rFonts w:ascii="Arial" w:cs="Arial" w:eastAsia="Arial" w:hAnsi="Arial"/>
                <w:sz w:val="16"/>
                <w:szCs w:val="16"/>
                <w:color w:val="auto"/>
              </w:rPr>
              <w:t>pro forma; 12,995,954 shares issued and outstanding, pro forma as adjusted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Class B1 common shares, $0.000273235 par value; no shares designated,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issued and outstanding, actual; 16,057,618 shares issued and outstanding,</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240"/>
              <w:spacing w:after="0" w:line="178" w:lineRule="exact"/>
              <w:rPr>
                <w:sz w:val="20"/>
                <w:szCs w:val="20"/>
                <w:color w:val="auto"/>
              </w:rPr>
            </w:pPr>
            <w:r>
              <w:rPr>
                <w:rFonts w:ascii="Arial" w:cs="Arial" w:eastAsia="Arial" w:hAnsi="Arial"/>
                <w:sz w:val="16"/>
                <w:szCs w:val="16"/>
                <w:color w:val="auto"/>
              </w:rPr>
              <w:t>pro forma; 16,057,618 shares issued and outstanding, pro forma as adjusted</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tcPr>
          <w:p>
            <w:pPr>
              <w:ind w:left="80"/>
              <w:spacing w:after="0" w:line="181" w:lineRule="exact"/>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6"/>
                <w:szCs w:val="16"/>
                <w:color w:val="auto"/>
              </w:rPr>
              <w:t>1,864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312,446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425,824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780" w:type="dxa"/>
            <w:vAlign w:val="bottom"/>
            <w:shd w:val="clear" w:color="auto" w:fill="CCEEFF"/>
          </w:tcPr>
          <w:p>
            <w:pPr>
              <w:ind w:left="80"/>
              <w:spacing w:after="0" w:line="181" w:lineRule="exact"/>
              <w:rPr>
                <w:sz w:val="20"/>
                <w:szCs w:val="20"/>
                <w:color w:val="auto"/>
              </w:rPr>
            </w:pPr>
            <w:r>
              <w:rPr>
                <w:rFonts w:ascii="Arial" w:cs="Arial" w:eastAsia="Arial" w:hAnsi="Arial"/>
                <w:sz w:val="16"/>
                <w:szCs w:val="16"/>
                <w:color w:val="auto"/>
              </w:rPr>
              <w:t>Accumulated deficit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(106,980)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(106,980)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(106,980)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vMerge w:val="restart"/>
          </w:tcPr>
          <w:p>
            <w:pPr>
              <w:ind w:left="240"/>
              <w:spacing w:after="0"/>
              <w:rPr>
                <w:sz w:val="20"/>
                <w:szCs w:val="20"/>
                <w:color w:val="auto"/>
              </w:rPr>
            </w:pPr>
            <w:r>
              <w:rPr>
                <w:rFonts w:ascii="Arial" w:cs="Arial" w:eastAsia="Arial" w:hAnsi="Arial"/>
                <w:sz w:val="16"/>
                <w:szCs w:val="16"/>
                <w:color w:val="auto"/>
              </w:rPr>
              <w:t>Total shareholders' equity (deficit)</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(105,115)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73" w:lineRule="exact"/>
              <w:rPr>
                <w:sz w:val="20"/>
                <w:szCs w:val="20"/>
                <w:color w:val="auto"/>
              </w:rPr>
            </w:pPr>
            <w:r>
              <w:rPr>
                <w:rFonts w:ascii="Arial" w:cs="Arial" w:eastAsia="Arial" w:hAnsi="Arial"/>
                <w:sz w:val="16"/>
                <w:szCs w:val="16"/>
                <w:color w:val="auto"/>
              </w:rPr>
              <w:t>205,477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318,857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58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Total capitalization</w:t>
            </w:r>
          </w:p>
        </w:tc>
        <w:tc>
          <w:tcPr>
            <w:tcW w:w="22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205,477</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205,477</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318,857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Each $1.00 increase (decrease) in the assumed initial public offering price of $18.00 per share, which is the midpoint of the price range set forth on the cover page of this prospectus, would increase (decrease) the pro forma as adjusted amount of each of cash and cash equivalents, additional paid-in capital, total shareholders' equity and total capitalization by $6.5 million, assuming that the number of Class A common shares offered by us, as set forth on the cover page of this prospectus, remains the same and after deducting the estimated underwriting discounts and commissions and estimated offering expenses payable by us. Each increase (decrease) of 1,000,000 shares in the number of Class A common shares offered by us, as set forth on the cover page of this prospectus, would increase (decrease) the pro forma as adjusted amount of each of cash and cash equivalents, additional paid-in capital, total shareholders' equity and total capitalization by $16.7 million, assuming no change in the assumed initial public offering price per share and after deducting the estimated underwriting discounts and commissions and estimated offering expenses payable by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foregoing table excludes:</w:t>
      </w:r>
    </w:p>
    <w:p>
      <w:pPr>
        <w:spacing w:after="0" w:line="190" w:lineRule="exact"/>
        <w:rPr>
          <w:sz w:val="20"/>
          <w:szCs w:val="20"/>
          <w:color w:val="auto"/>
        </w:rPr>
      </w:pPr>
    </w:p>
    <w:p>
      <w:pPr>
        <w:ind w:left="960" w:right="40" w:hanging="481"/>
        <w:spacing w:after="0" w:line="241" w:lineRule="auto"/>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4,702,190 Class A common shares issuable upon exercise of share options outstanding as of March 31, 2018, at a weighted average exercise price of $5.41 per share;</w:t>
      </w:r>
    </w:p>
    <w:p>
      <w:pPr>
        <w:spacing w:after="0" w:line="185" w:lineRule="exact"/>
        <w:rPr>
          <w:rFonts w:ascii="Arial" w:cs="Arial" w:eastAsia="Arial" w:hAnsi="Arial"/>
          <w:sz w:val="16"/>
          <w:szCs w:val="16"/>
          <w:color w:val="auto"/>
        </w:rPr>
      </w:pPr>
    </w:p>
    <w:p>
      <w:pPr>
        <w:ind w:left="960" w:hanging="481"/>
        <w:spacing w:after="0" w:line="237" w:lineRule="auto"/>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4,466,500 Class A common shares that will become available for future issuance under our 2018 Incentive Award Plan, or 2018 Plan, which will become effective in connection with this offering, as well as common shares that become available pursuant to provisions in the 2018 Plan that automatically increase the share reserve under the 2018 Plan as described in "Executive and Director Compensation — Executive Compensation Plans — 2018 Incentive Award Plan" (including 122,971 Class A common shares issuable upon exercise of share options that will be granted to certain of our directors and employees, at an exercise price per share equal to the initial public offering price of our Class A common shares in this offering); and</w:t>
      </w:r>
    </w:p>
    <w:p>
      <w:pPr>
        <w:spacing w:after="0" w:line="176" w:lineRule="exact"/>
        <w:rPr>
          <w:rFonts w:ascii="Arial" w:cs="Arial" w:eastAsia="Arial" w:hAnsi="Arial"/>
          <w:sz w:val="16"/>
          <w:szCs w:val="16"/>
          <w:color w:val="auto"/>
        </w:rPr>
      </w:pPr>
    </w:p>
    <w:p>
      <w:pPr>
        <w:ind w:left="960" w:right="40" w:hanging="481"/>
        <w:spacing w:after="0" w:line="238" w:lineRule="auto"/>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670,000 Class A common shares that will become available for future issuance under our 2018 Employee Share Purchase Plan, or the ESPP, which will become effective in connection with this offering, as well as common shares that become available pursuant to provisions in the ESPP that automatically increase the share reserve under the ESPP as described in "Executive and Director Compensation — Executive Compensation Plans — 2018 Employee Share Purchase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DILUTION</w:t>
      </w:r>
    </w:p>
    <w:p>
      <w:pPr>
        <w:spacing w:after="0" w:line="210"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If you invest in our Class A common shares in this offering, your ownership interest will be immediately diluted to the extent of the difference between the initial public offering price per share and the pro forma as adjusted net tangible book value per common share after this offering.</w:t>
      </w:r>
    </w:p>
    <w:p>
      <w:pPr>
        <w:spacing w:after="0" w:line="185" w:lineRule="exact"/>
        <w:rPr>
          <w:sz w:val="20"/>
          <w:szCs w:val="20"/>
          <w:color w:val="auto"/>
        </w:rPr>
      </w:pPr>
    </w:p>
    <w:p>
      <w:pPr>
        <w:ind w:firstLine="436"/>
        <w:spacing w:after="0" w:line="251" w:lineRule="auto"/>
        <w:rPr>
          <w:sz w:val="20"/>
          <w:szCs w:val="20"/>
          <w:color w:val="auto"/>
        </w:rPr>
      </w:pPr>
      <w:r>
        <w:rPr>
          <w:rFonts w:ascii="Arial" w:cs="Arial" w:eastAsia="Arial" w:hAnsi="Arial"/>
          <w:sz w:val="15"/>
          <w:szCs w:val="15"/>
          <w:color w:val="auto"/>
        </w:rPr>
        <w:t>Our historical net tangible book value (deficit) as of March 31, 2018 was $(106.7) million, or $(24.86) per common share. Our historical net tangible book value (deficit) represents our total tangible assets less our total liabilities and carrying value of our preferred shares, which is not included within our shareholders' equity</w:t>
      </w:r>
    </w:p>
    <w:p>
      <w:pPr>
        <w:spacing w:after="0" w:line="1" w:lineRule="exact"/>
        <w:rPr>
          <w:sz w:val="20"/>
          <w:szCs w:val="20"/>
          <w:color w:val="auto"/>
        </w:rPr>
      </w:pPr>
    </w:p>
    <w:p>
      <w:pPr>
        <w:ind w:right="660"/>
        <w:spacing w:after="0" w:line="241" w:lineRule="auto"/>
        <w:rPr>
          <w:sz w:val="20"/>
          <w:szCs w:val="20"/>
          <w:color w:val="auto"/>
        </w:rPr>
      </w:pPr>
      <w:r>
        <w:rPr>
          <w:rFonts w:ascii="Arial" w:cs="Arial" w:eastAsia="Arial" w:hAnsi="Arial"/>
          <w:sz w:val="16"/>
          <w:szCs w:val="16"/>
          <w:color w:val="auto"/>
        </w:rPr>
        <w:t>(deficit). Historical net tangible book value (deficit) per share represents historical net tangible book value (deficit) divided by the 4,292,903 common shares outstanding as of March 31, 2018.</w:t>
      </w:r>
    </w:p>
    <w:p>
      <w:pPr>
        <w:spacing w:after="0" w:line="185"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Our pro forma net tangible book value as of March 31, 2018 was $203.9 million, or $5.10 per common share. Pro forma net tangible book value represents the amount of our total tangible assets less our total liabilities, after giving effect to the conversion of all outstanding preferred shares into an aggregate of 35,670,093 common shares upon the closing of this offering. Pro forma net tangible book value per share represents our pro forma net tangible book value divided by the total number of shares outstanding as of March 31, 2018, after giving effect to the pro forma adjustments described above.</w:t>
      </w:r>
    </w:p>
    <w:p>
      <w:pPr>
        <w:spacing w:after="0" w:line="187" w:lineRule="exact"/>
        <w:rPr>
          <w:sz w:val="20"/>
          <w:szCs w:val="20"/>
          <w:color w:val="auto"/>
        </w:rPr>
      </w:pPr>
    </w:p>
    <w:p>
      <w:pPr>
        <w:ind w:right="20" w:firstLine="427"/>
        <w:spacing w:after="0" w:line="236" w:lineRule="auto"/>
        <w:rPr>
          <w:sz w:val="20"/>
          <w:szCs w:val="20"/>
          <w:color w:val="auto"/>
        </w:rPr>
      </w:pPr>
      <w:r>
        <w:rPr>
          <w:rFonts w:ascii="Arial" w:cs="Arial" w:eastAsia="Arial" w:hAnsi="Arial"/>
          <w:sz w:val="16"/>
          <w:szCs w:val="16"/>
          <w:color w:val="auto"/>
        </w:rPr>
        <w:t>After giving further effect to our issuance and sale of 7,000,000 Class A common shares in this offering at an assumed initial public offering price of $18.00 per share, which is the midpoint of the price range set forth on the cover page of this prospectus, and after deducting the estimated underwriting discounts and commissions and estimated offering expenses payable by us, our pro forma as adjusted net tangible book value as of March 31, 2018 would have been</w:t>
      </w:r>
    </w:p>
    <w:p>
      <w:pPr>
        <w:ind w:right="100"/>
        <w:spacing w:after="0" w:line="238" w:lineRule="auto"/>
        <w:rPr>
          <w:sz w:val="20"/>
          <w:szCs w:val="20"/>
          <w:color w:val="auto"/>
        </w:rPr>
      </w:pPr>
      <w:r>
        <w:rPr>
          <w:rFonts w:ascii="Arial" w:cs="Arial" w:eastAsia="Arial" w:hAnsi="Arial"/>
          <w:sz w:val="16"/>
          <w:szCs w:val="16"/>
          <w:color w:val="auto"/>
        </w:rPr>
        <w:t>$318.9 million, or $6.79 per share. This represents an immediate increase in pro forma as adjusted net tangible book value of $1.69 per share to our existing shareholders and immediate dilution of $11.21 per share to new investors purchasing Class A common shares in this offering. Dilution per share to new investors is determined by subtracting the pro forma as adjusted net tangible book value per share after this offering from the initial public offering price per Class A common share paid by new investors. The following table illustrates this dilution on a per share basis: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Assumed initial public offering price per share</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40" w:type="dxa"/>
            <w:vAlign w:val="bottom"/>
            <w:shd w:val="clear" w:color="auto" w:fill="CCEEFF"/>
          </w:tcPr>
          <w:p>
            <w:pPr>
              <w:spacing w:after="0"/>
              <w:rPr>
                <w:sz w:val="16"/>
                <w:szCs w:val="16"/>
                <w:color w:val="auto"/>
              </w:rPr>
            </w:pPr>
          </w:p>
        </w:tc>
      </w:tr>
      <w:tr>
        <w:trPr>
          <w:trHeight w:val="181"/>
        </w:trPr>
        <w:tc>
          <w:tcPr>
            <w:tcW w:w="7200" w:type="dxa"/>
            <w:vAlign w:val="bottom"/>
          </w:tcPr>
          <w:p>
            <w:pPr>
              <w:ind w:left="160"/>
              <w:spacing w:after="0" w:line="181" w:lineRule="exact"/>
              <w:rPr>
                <w:sz w:val="20"/>
                <w:szCs w:val="20"/>
                <w:color w:val="auto"/>
              </w:rPr>
            </w:pPr>
            <w:r>
              <w:rPr>
                <w:rFonts w:ascii="Arial" w:cs="Arial" w:eastAsia="Arial" w:hAnsi="Arial"/>
                <w:sz w:val="16"/>
                <w:szCs w:val="16"/>
                <w:color w:val="auto"/>
              </w:rPr>
              <w:t>Historical net tangible book value (deficit) per share as of March 31, 2018</w:t>
            </w:r>
          </w:p>
        </w:tc>
        <w:tc>
          <w:tcPr>
            <w:tcW w:w="4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(24.86)</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72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Increase per share attributable to the pro forma adjustments described above</w:t>
            </w:r>
          </w:p>
        </w:tc>
        <w:tc>
          <w:tcPr>
            <w:tcW w:w="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29.96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3"/>
        </w:trPr>
        <w:tc>
          <w:tcPr>
            <w:tcW w:w="7200" w:type="dxa"/>
            <w:vAlign w:val="bottom"/>
          </w:tcPr>
          <w:p>
            <w:pPr>
              <w:ind w:left="160"/>
              <w:spacing w:after="0" w:line="173" w:lineRule="exact"/>
              <w:rPr>
                <w:sz w:val="20"/>
                <w:szCs w:val="20"/>
                <w:color w:val="auto"/>
              </w:rPr>
            </w:pPr>
            <w:r>
              <w:rPr>
                <w:rFonts w:ascii="Arial" w:cs="Arial" w:eastAsia="Arial" w:hAnsi="Arial"/>
                <w:sz w:val="16"/>
                <w:szCs w:val="16"/>
                <w:color w:val="auto"/>
              </w:rPr>
              <w:t>Pro forma net tangible book value per share as of March 31, 2018</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5.10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7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in pro forma as adjusted net tangible book value per share attributable to new investors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8"/>
        </w:trPr>
        <w:tc>
          <w:tcPr>
            <w:tcW w:w="720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purchasing Class A common shares in this offering</w:t>
            </w:r>
          </w:p>
        </w:tc>
        <w:tc>
          <w:tcPr>
            <w:tcW w:w="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1.69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3"/>
        </w:trPr>
        <w:tc>
          <w:tcPr>
            <w:tcW w:w="7200" w:type="dxa"/>
            <w:vAlign w:val="bottom"/>
          </w:tcPr>
          <w:p>
            <w:pPr>
              <w:spacing w:after="0" w:line="173" w:lineRule="exact"/>
              <w:rPr>
                <w:sz w:val="20"/>
                <w:szCs w:val="20"/>
                <w:color w:val="auto"/>
              </w:rPr>
            </w:pPr>
            <w:r>
              <w:rPr>
                <w:rFonts w:ascii="Arial" w:cs="Arial" w:eastAsia="Arial" w:hAnsi="Arial"/>
                <w:sz w:val="16"/>
                <w:szCs w:val="16"/>
                <w:color w:val="auto"/>
              </w:rPr>
              <w:t>Pro forma as adjusted net tangible book value per share after this offering</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6.79</w:t>
            </w:r>
          </w:p>
        </w:tc>
        <w:tc>
          <w:tcPr>
            <w:tcW w:w="140" w:type="dxa"/>
            <w:vAlign w:val="bottom"/>
          </w:tcPr>
          <w:p>
            <w:pPr>
              <w:spacing w:after="0"/>
              <w:rPr>
                <w:sz w:val="15"/>
                <w:szCs w:val="15"/>
                <w:color w:val="auto"/>
              </w:rPr>
            </w:pPr>
          </w:p>
        </w:tc>
      </w:tr>
      <w:tr>
        <w:trPr>
          <w:trHeight w:val="173"/>
        </w:trPr>
        <w:tc>
          <w:tcPr>
            <w:tcW w:w="720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Dilution per share to new investors purchasing Class A common shares in this offering</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11.21</w:t>
            </w:r>
          </w:p>
        </w:tc>
        <w:tc>
          <w:tcPr>
            <w:tcW w:w="140" w:type="dxa"/>
            <w:vAlign w:val="bottom"/>
            <w:shd w:val="clear" w:color="auto" w:fill="CCEEFF"/>
          </w:tcPr>
          <w:p>
            <w:pPr>
              <w:spacing w:after="0"/>
              <w:rPr>
                <w:sz w:val="15"/>
                <w:szCs w:val="15"/>
                <w:color w:val="auto"/>
              </w:rPr>
            </w:pPr>
          </w:p>
        </w:tc>
      </w:tr>
      <w:tr>
        <w:trPr>
          <w:trHeight w:val="20"/>
        </w:trPr>
        <w:tc>
          <w:tcPr>
            <w:tcW w:w="7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Each $1.00 increase (decrease) in the assumed initial public offering price of $18.00 per share, which is the midpoint of the price range set forth on the cover page of this prospectus, would increase (decrease) the pro forma as adjusted net tangible book value per share after this offering by $0.14 and the dilution per share to new investors by $0.86, assuming that the number of Class A common shares offered by us, as set forth on the cover page of this prospectus, remains the same and after deducting the estimated underwriting discounts and commissions. Each increase of 1,000,000 shares in the number of Class A common shares offered by us would increase our pro forma as adjusted net tangible book value per share after this offering by $0.21 and decrease the dilution per share to new investors by $0.21, assuming no change in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assumed initial public offering price per share and after deducting the estimated underwriting discounts and commissions. Each decrease of 1,000,000 shares in the number of Class A common shares offered by us would decrease our pro forma as adjusted net tangible book value per share after this offering by $0.22 and increase the dilution per share to new investors by $0.22, assuming no change in the assumed initial public offering price per share and after deducting the estimated underwriting discounts and commissions.</w:t>
      </w:r>
    </w:p>
    <w:p>
      <w:pPr>
        <w:spacing w:after="0" w:line="187" w:lineRule="exact"/>
        <w:rPr>
          <w:sz w:val="20"/>
          <w:szCs w:val="20"/>
          <w:color w:val="auto"/>
        </w:rPr>
      </w:pPr>
    </w:p>
    <w:p>
      <w:pPr>
        <w:ind w:right="260" w:firstLine="436"/>
        <w:spacing w:after="0" w:line="238" w:lineRule="auto"/>
        <w:rPr>
          <w:sz w:val="20"/>
          <w:szCs w:val="20"/>
          <w:color w:val="auto"/>
        </w:rPr>
      </w:pPr>
      <w:r>
        <w:rPr>
          <w:rFonts w:ascii="Arial" w:cs="Arial" w:eastAsia="Arial" w:hAnsi="Arial"/>
          <w:sz w:val="16"/>
          <w:szCs w:val="16"/>
          <w:color w:val="auto"/>
        </w:rPr>
        <w:t>If the underwriters exercise in full their option to purchase additional Class A common shares, the pro forma as adjusted net tangible book value per share after this offering would be $7.01, and the dilution per share to new investors would be $10.99, in each case assuming an initial public offering price of $18.00 per share, which is the midpoint of the price range set forth on the cover page of this prospectus, and after deducting the estimated underwriting discounts and commissions.</w:t>
      </w:r>
    </w:p>
    <w:p>
      <w:pPr>
        <w:spacing w:after="0" w:line="187" w:lineRule="exact"/>
        <w:rPr>
          <w:sz w:val="20"/>
          <w:szCs w:val="20"/>
          <w:color w:val="auto"/>
        </w:rPr>
      </w:pPr>
    </w:p>
    <w:p>
      <w:pPr>
        <w:ind w:right="100" w:firstLine="433"/>
        <w:spacing w:after="0" w:line="238" w:lineRule="auto"/>
        <w:rPr>
          <w:sz w:val="20"/>
          <w:szCs w:val="20"/>
          <w:color w:val="auto"/>
        </w:rPr>
      </w:pPr>
      <w:r>
        <w:rPr>
          <w:rFonts w:ascii="Arial" w:cs="Arial" w:eastAsia="Arial" w:hAnsi="Arial"/>
          <w:sz w:val="16"/>
          <w:szCs w:val="16"/>
          <w:color w:val="auto"/>
        </w:rPr>
        <w:t>The following table summarizes, on the pro forma as adjusted basis as described above, the total number of common shares purchased from us, the total consideration paid and the average price per share paid or to be paid by existing shareholders and by new investors acquiring our Class A common shares in this offering at an assumed initial public offering price of $18.00 per share, which is the midpoint of the price range set forth on the cover page of this prospectus, before deducting the estimated underwriting discounts and commissions and estimated offering expenses payable by us.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208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Shares</w:t>
            </w:r>
          </w:p>
        </w:tc>
        <w:tc>
          <w:tcPr>
            <w:tcW w:w="1160" w:type="dxa"/>
            <w:vAlign w:val="bottom"/>
            <w:gridSpan w:val="2"/>
          </w:tcPr>
          <w:p>
            <w:pPr>
              <w:ind w:left="760"/>
              <w:spacing w:after="0"/>
              <w:rPr>
                <w:sz w:val="20"/>
                <w:szCs w:val="20"/>
                <w:color w:val="auto"/>
              </w:rPr>
            </w:pPr>
            <w:r>
              <w:rPr>
                <w:rFonts w:ascii="Arial" w:cs="Arial" w:eastAsia="Arial" w:hAnsi="Arial"/>
                <w:sz w:val="16"/>
                <w:szCs w:val="16"/>
                <w:b w:val="1"/>
                <w:bCs w:val="1"/>
                <w:color w:val="auto"/>
                <w:w w:val="99"/>
              </w:rPr>
              <w:t>Total</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8"/>
              </w:rPr>
              <w:t>Average</w:t>
            </w:r>
          </w:p>
        </w:tc>
      </w:tr>
      <w:tr>
        <w:trPr>
          <w:trHeight w:val="202"/>
        </w:trPr>
        <w:tc>
          <w:tcPr>
            <w:tcW w:w="3980" w:type="dxa"/>
            <w:vAlign w:val="bottom"/>
          </w:tcPr>
          <w:p>
            <w:pPr>
              <w:spacing w:after="0"/>
              <w:rPr>
                <w:sz w:val="17"/>
                <w:szCs w:val="17"/>
                <w:color w:val="auto"/>
              </w:rPr>
            </w:pPr>
          </w:p>
        </w:tc>
        <w:tc>
          <w:tcPr>
            <w:tcW w:w="20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Purchased</w:t>
            </w:r>
          </w:p>
        </w:tc>
        <w:tc>
          <w:tcPr>
            <w:tcW w:w="198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Consideration</w:t>
            </w:r>
          </w:p>
        </w:tc>
        <w:tc>
          <w:tcPr>
            <w:tcW w:w="18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6"/>
              </w:rPr>
              <w:t>Price</w:t>
            </w:r>
          </w:p>
        </w:tc>
      </w:tr>
      <w:tr>
        <w:trPr>
          <w:trHeight w:val="197"/>
        </w:trPr>
        <w:tc>
          <w:tcPr>
            <w:tcW w:w="39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8"/>
              </w:rPr>
              <w:t>Per Share</w:t>
            </w:r>
          </w:p>
        </w:tc>
        <w:tc>
          <w:tcPr>
            <w:tcW w:w="140" w:type="dxa"/>
            <w:vAlign w:val="bottom"/>
          </w:tcPr>
          <w:p>
            <w:pPr>
              <w:spacing w:after="0"/>
              <w:rPr>
                <w:sz w:val="17"/>
                <w:szCs w:val="17"/>
                <w:color w:val="auto"/>
              </w:rPr>
            </w:pPr>
          </w:p>
        </w:tc>
      </w:tr>
      <w:tr>
        <w:trPr>
          <w:trHeight w:val="181"/>
        </w:trPr>
        <w:tc>
          <w:tcPr>
            <w:tcW w:w="39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Existing shareholders</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39,962,996</w:t>
            </w:r>
          </w:p>
        </w:tc>
        <w:tc>
          <w:tcPr>
            <w:tcW w:w="1180" w:type="dxa"/>
            <w:vAlign w:val="bottom"/>
            <w:gridSpan w:val="4"/>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85.1%$</w:t>
            </w:r>
          </w:p>
        </w:tc>
        <w:tc>
          <w:tcPr>
            <w:tcW w:w="10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320,028,545</w:t>
            </w:r>
          </w:p>
        </w:tc>
        <w:tc>
          <w:tcPr>
            <w:tcW w:w="1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71.8%$</w:t>
            </w: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8.01</w:t>
            </w:r>
          </w:p>
        </w:tc>
        <w:tc>
          <w:tcPr>
            <w:tcW w:w="140" w:type="dxa"/>
            <w:vAlign w:val="bottom"/>
            <w:shd w:val="clear" w:color="auto" w:fill="CCEEFF"/>
          </w:tcPr>
          <w:p>
            <w:pPr>
              <w:spacing w:after="0"/>
              <w:rPr>
                <w:sz w:val="15"/>
                <w:szCs w:val="15"/>
                <w:color w:val="auto"/>
              </w:rPr>
            </w:pPr>
          </w:p>
        </w:tc>
      </w:tr>
      <w:tr>
        <w:trPr>
          <w:trHeight w:val="181"/>
        </w:trPr>
        <w:tc>
          <w:tcPr>
            <w:tcW w:w="3980" w:type="dxa"/>
            <w:vAlign w:val="bottom"/>
          </w:tcPr>
          <w:p>
            <w:pPr>
              <w:spacing w:after="0" w:line="181" w:lineRule="exact"/>
              <w:rPr>
                <w:sz w:val="20"/>
                <w:szCs w:val="20"/>
                <w:color w:val="auto"/>
              </w:rPr>
            </w:pPr>
            <w:r>
              <w:rPr>
                <w:rFonts w:ascii="Arial" w:cs="Arial" w:eastAsia="Arial" w:hAnsi="Arial"/>
                <w:sz w:val="16"/>
                <w:szCs w:val="16"/>
                <w:color w:val="auto"/>
              </w:rPr>
              <w:t>New investors</w:t>
            </w: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7,000,000</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14.9</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126,000,000</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28.2</w:t>
            </w:r>
          </w:p>
        </w:tc>
        <w:tc>
          <w:tcPr>
            <w:tcW w:w="140" w:type="dxa"/>
            <w:vAlign w:val="bottom"/>
          </w:tcPr>
          <w:p>
            <w:pPr>
              <w:spacing w:after="0"/>
              <w:rPr>
                <w:sz w:val="15"/>
                <w:szCs w:val="15"/>
                <w:color w:val="auto"/>
              </w:rPr>
            </w:pPr>
          </w:p>
        </w:tc>
        <w:tc>
          <w:tcPr>
            <w:tcW w:w="180" w:type="dxa"/>
            <w:vAlign w:val="bottom"/>
          </w:tcPr>
          <w:p>
            <w:pPr>
              <w:jc w:val="right"/>
              <w:ind w:right="2"/>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18.00</w:t>
            </w:r>
          </w:p>
        </w:tc>
        <w:tc>
          <w:tcPr>
            <w:tcW w:w="140" w:type="dxa"/>
            <w:vAlign w:val="bottom"/>
          </w:tcPr>
          <w:p>
            <w:pPr>
              <w:spacing w:after="0"/>
              <w:rPr>
                <w:sz w:val="15"/>
                <w:szCs w:val="15"/>
                <w:color w:val="auto"/>
              </w:rPr>
            </w:pPr>
          </w:p>
        </w:tc>
      </w:tr>
      <w:tr>
        <w:trPr>
          <w:trHeight w:val="173"/>
        </w:trPr>
        <w:tc>
          <w:tcPr>
            <w:tcW w:w="3980" w:type="dxa"/>
            <w:vAlign w:val="bottom"/>
            <w:shd w:val="clear" w:color="auto" w:fill="CCEEFF"/>
          </w:tcPr>
          <w:p>
            <w:pPr>
              <w:ind w:left="160"/>
              <w:spacing w:after="0" w:line="173" w:lineRule="exact"/>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46,962,996</w:t>
            </w:r>
          </w:p>
        </w:tc>
        <w:tc>
          <w:tcPr>
            <w:tcW w:w="1180" w:type="dxa"/>
            <w:vAlign w:val="bottom"/>
            <w:gridSpan w:val="4"/>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100.0%$</w:t>
            </w:r>
          </w:p>
        </w:tc>
        <w:tc>
          <w:tcPr>
            <w:tcW w:w="10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446,028,545</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3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 table above assumes no exercise of the underwriters' option to purchase additional Class A common shares. If the underwriters exercise in full their option to purchase additional Class A common shares, the percentage of our common shares held by existing shareholders would be decreased to 83.2% of the total number of our common shares outstanding after this offering, and the number of shares held by new investors participating in this offering would be increased to 16.8% of the total number of our common shares outstanding after this offering.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foregoing tables exclude:</w:t>
      </w:r>
    </w:p>
    <w:p>
      <w:pPr>
        <w:spacing w:after="0" w:line="190" w:lineRule="exact"/>
        <w:rPr>
          <w:sz w:val="20"/>
          <w:szCs w:val="20"/>
          <w:color w:val="auto"/>
        </w:rPr>
      </w:pPr>
    </w:p>
    <w:p>
      <w:pPr>
        <w:ind w:left="960" w:right="40" w:hanging="481"/>
        <w:spacing w:after="0" w:line="241"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4,702,190 Class A common shares issuable upon exercise of share options outstanding as of March 31, 2018, at a weighted average exercise price of $5.41 per share;</w:t>
      </w:r>
    </w:p>
    <w:p>
      <w:pPr>
        <w:spacing w:after="0" w:line="185" w:lineRule="exact"/>
        <w:rPr>
          <w:rFonts w:ascii="Arial" w:cs="Arial" w:eastAsia="Arial" w:hAnsi="Arial"/>
          <w:sz w:val="16"/>
          <w:szCs w:val="16"/>
          <w:color w:val="auto"/>
        </w:rPr>
      </w:pPr>
    </w:p>
    <w:p>
      <w:pPr>
        <w:ind w:left="960" w:right="40" w:hanging="481"/>
        <w:spacing w:after="0" w:line="237"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4,466,500 Class A common shares that will become available for future issuance under our 2018 Incentive Award Plan, or 2018 Plan, which will become effective in connection with this offering, as well as common shares that become available pursuant to provisions in the 2018 Plan that automatically increase the share reserve under the 2018 Plan as described in "Executive and Director Compensation — Executive Compensation Plans — 2018 Incentive Award Plan"(including 122,971 Class A common shares issuable upon exercise of share options that will be granted to certain of our directors and employees, at an exercise price per share equal to the initial public offering price of our Class A common shares in this offering); and</w:t>
      </w:r>
    </w:p>
    <w:p>
      <w:pPr>
        <w:spacing w:after="0" w:line="176" w:lineRule="exact"/>
        <w:rPr>
          <w:rFonts w:ascii="Arial" w:cs="Arial" w:eastAsia="Arial" w:hAnsi="Arial"/>
          <w:sz w:val="16"/>
          <w:szCs w:val="16"/>
          <w:color w:val="auto"/>
        </w:rPr>
      </w:pPr>
    </w:p>
    <w:p>
      <w:pPr>
        <w:ind w:left="960" w:right="200" w:hanging="481"/>
        <w:spacing w:after="0" w:line="241"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670,000 Class A common shares that will become available for future issuance under our 2018 Employee Share Purchase Plan, or the ESPP, which will become effective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300"/>
        <w:spacing w:after="0" w:line="239" w:lineRule="auto"/>
        <w:rPr>
          <w:sz w:val="20"/>
          <w:szCs w:val="20"/>
          <w:color w:val="auto"/>
        </w:rPr>
      </w:pPr>
      <w:r>
        <w:rPr>
          <w:rFonts w:ascii="Arial" w:cs="Arial" w:eastAsia="Arial" w:hAnsi="Arial"/>
          <w:sz w:val="16"/>
          <w:szCs w:val="16"/>
          <w:color w:val="auto"/>
        </w:rPr>
        <w:t>connection with this offering, as well as common shares that become available pursuant to provisions in the ESPP that automatically increase the share reserve under the ESPP as described in "Executive and Director Compensation — Executive Compensation Plans — 2018 Employee Share Purchase Plan".</w:t>
      </w:r>
    </w:p>
    <w:p>
      <w:pPr>
        <w:spacing w:after="0" w:line="186"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To the extent any of the outstanding share options are exercised, you will experience further dilution as a new investor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87" w:lineRule="exact"/>
        <w:rPr>
          <w:sz w:val="20"/>
          <w:szCs w:val="20"/>
          <w:color w:val="auto"/>
        </w:rPr>
      </w:pPr>
    </w:p>
    <w:p>
      <w:pPr>
        <w:ind w:right="220" w:firstLine="436"/>
        <w:spacing w:after="0" w:line="237" w:lineRule="auto"/>
        <w:rPr>
          <w:sz w:val="20"/>
          <w:szCs w:val="20"/>
          <w:color w:val="auto"/>
        </w:rPr>
      </w:pPr>
      <w:r>
        <w:rPr>
          <w:rFonts w:ascii="Arial" w:cs="Arial" w:eastAsia="Arial" w:hAnsi="Arial"/>
          <w:sz w:val="16"/>
          <w:szCs w:val="16"/>
          <w:color w:val="auto"/>
        </w:rPr>
        <w:t>Certain of our existing shareholders, including shareholders affiliated with certain of our directors, have indicated an interest in purchasing an aggregate of approximately $50.0 million of Class A common shares in this offering at the initial public offering price per share. However, because indications of interest are not binding agreements or commitments to purchase, the underwriters may determine to sell more, less or no shares in this offering to any of these existing shareholders, or any of these existing shareholders may determine to purchase more, less or no shares in this offering. The underwriters will receive the same underwriting discount on any shares purchased by these existing shareholders as they will on any other shares sold to the public in this offering.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SELECTED CONSOLIDATED FINANCIAL DATA</w:t>
      </w:r>
    </w:p>
    <w:p>
      <w:pPr>
        <w:spacing w:after="0" w:line="21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2016 and 2017 and the consolidated balance sheet data as of December 31, 2016 and 2017 from our audited consolidated financial statements appearing at the end of this prospectus. We have derived the consolidated statement of operations data for the three months ended March 31, 2017 and 2018 and the consolidated balance sheet data as of March 31, 2018 from our unaudited consolidated financial statements appearing at the end of this prospectus, which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results that may be expected in any future period, and our results for any interim period are not necessarily indicative of results that may be expected for any full year.</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Year Ended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6"/>
          </w:tcPr>
          <w:p>
            <w:pPr>
              <w:jc w:val="right"/>
              <w:ind w:right="32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2"/>
        </w:trPr>
        <w:tc>
          <w:tcPr>
            <w:tcW w:w="9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97"/>
        </w:trPr>
        <w:tc>
          <w:tcPr>
            <w:tcW w:w="9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60" w:type="dxa"/>
            <w:vAlign w:val="bottom"/>
            <w:gridSpan w:val="14"/>
          </w:tcPr>
          <w:p>
            <w:pPr>
              <w:jc w:val="center"/>
              <w:ind w:right="180"/>
              <w:spacing w:after="0"/>
              <w:rPr>
                <w:sz w:val="20"/>
                <w:szCs w:val="20"/>
                <w:color w:val="auto"/>
              </w:rPr>
            </w:pPr>
            <w:r>
              <w:rPr>
                <w:rFonts w:ascii="Arial" w:cs="Arial" w:eastAsia="Arial" w:hAnsi="Arial"/>
                <w:sz w:val="16"/>
                <w:szCs w:val="16"/>
                <w:b w:val="1"/>
                <w:bCs w:val="1"/>
                <w:color w:val="auto"/>
                <w:w w:val="97"/>
              </w:rPr>
              <w:t>(in thousands, except share and per share data)</w:t>
            </w:r>
          </w:p>
        </w:tc>
        <w:tc>
          <w:tcPr>
            <w:tcW w:w="0" w:type="dxa"/>
            <w:vAlign w:val="bottom"/>
          </w:tcPr>
          <w:p>
            <w:pPr>
              <w:spacing w:after="0"/>
              <w:rPr>
                <w:sz w:val="1"/>
                <w:szCs w:val="1"/>
                <w:color w:val="auto"/>
              </w:rPr>
            </w:pPr>
          </w:p>
        </w:tc>
      </w:tr>
      <w:tr>
        <w:trPr>
          <w:trHeight w:val="181"/>
        </w:trPr>
        <w:tc>
          <w:tcPr>
            <w:tcW w:w="4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Statement of Operations Data:</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gridSpan w:val="2"/>
          </w:tcPr>
          <w:p>
            <w:pPr>
              <w:spacing w:after="0" w:line="181" w:lineRule="exact"/>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gridSpan w:val="2"/>
            <w:shd w:val="clear" w:color="auto" w:fill="CCEEFF"/>
          </w:tcPr>
          <w:p>
            <w:pPr>
              <w:ind w:left="160"/>
              <w:spacing w:after="0" w:line="181" w:lineRule="exact"/>
              <w:rPr>
                <w:sz w:val="20"/>
                <w:szCs w:val="20"/>
                <w:color w:val="auto"/>
              </w:rPr>
            </w:pPr>
            <w:r>
              <w:rPr>
                <w:rFonts w:ascii="Arial" w:cs="Arial" w:eastAsia="Arial" w:hAnsi="Arial"/>
                <w:sz w:val="16"/>
                <w:szCs w:val="16"/>
                <w:color w:val="auto"/>
              </w:rPr>
              <w:t>Research and development</w:t>
            </w:r>
          </w:p>
        </w:tc>
        <w:tc>
          <w:tcPr>
            <w:tcW w:w="22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17,439</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56,357</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3,145</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12,630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gridSpan w:val="2"/>
          </w:tcPr>
          <w:p>
            <w:pPr>
              <w:ind w:left="160"/>
              <w:spacing w:after="0" w:line="181" w:lineRule="exact"/>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6,563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9,043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1,903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3,710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gridSpan w:val="2"/>
            <w:shd w:val="clear" w:color="auto" w:fill="CCEEFF"/>
          </w:tcPr>
          <w:p>
            <w:pPr>
              <w:ind w:left="320"/>
              <w:spacing w:after="0" w:line="173" w:lineRule="exact"/>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24,002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65,400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5,048</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16,340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gridSpan w:val="2"/>
          </w:tcPr>
          <w:p>
            <w:pPr>
              <w:spacing w:after="0" w:line="173" w:lineRule="exact"/>
              <w:rPr>
                <w:sz w:val="20"/>
                <w:szCs w:val="20"/>
                <w:color w:val="auto"/>
              </w:rPr>
            </w:pPr>
            <w:r>
              <w:rPr>
                <w:rFonts w:ascii="Arial" w:cs="Arial" w:eastAsia="Arial" w:hAnsi="Arial"/>
                <w:sz w:val="16"/>
                <w:szCs w:val="16"/>
                <w:color w:val="auto"/>
              </w:rPr>
              <w:t>Loss from operations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(24,002)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(65,400)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(5,048)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(16,340)</w:t>
            </w:r>
          </w:p>
        </w:tc>
        <w:tc>
          <w:tcPr>
            <w:tcW w:w="0" w:type="dxa"/>
            <w:vAlign w:val="bottom"/>
          </w:tcPr>
          <w:p>
            <w:pPr>
              <w:spacing w:after="0"/>
              <w:rPr>
                <w:sz w:val="1"/>
                <w:szCs w:val="1"/>
                <w:color w:val="auto"/>
              </w:rPr>
            </w:pPr>
          </w:p>
        </w:tc>
      </w:tr>
      <w:tr>
        <w:trPr>
          <w:trHeight w:val="181"/>
        </w:trPr>
        <w:tc>
          <w:tcPr>
            <w:tcW w:w="4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Interest income</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305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60" w:type="dxa"/>
            <w:vAlign w:val="bottom"/>
            <w:gridSpan w:val="2"/>
          </w:tcPr>
          <w:p>
            <w:pPr>
              <w:spacing w:after="0" w:line="173" w:lineRule="exact"/>
              <w:rPr>
                <w:sz w:val="20"/>
                <w:szCs w:val="20"/>
                <w:color w:val="auto"/>
              </w:rPr>
            </w:pPr>
            <w:r>
              <w:rPr>
                <w:rFonts w:ascii="Arial" w:cs="Arial" w:eastAsia="Arial" w:hAnsi="Arial"/>
                <w:sz w:val="16"/>
                <w:szCs w:val="16"/>
                <w:color w:val="auto"/>
              </w:rPr>
              <w:t>Loss before benefit (provision) for income taxes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(23,937)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(64,871)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(4,974)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(16,035)</w:t>
            </w:r>
          </w:p>
        </w:tc>
        <w:tc>
          <w:tcPr>
            <w:tcW w:w="0" w:type="dxa"/>
            <w:vAlign w:val="bottom"/>
          </w:tcPr>
          <w:p>
            <w:pPr>
              <w:spacing w:after="0"/>
              <w:rPr>
                <w:sz w:val="1"/>
                <w:szCs w:val="1"/>
                <w:color w:val="auto"/>
              </w:rPr>
            </w:pPr>
          </w:p>
        </w:tc>
      </w:tr>
      <w:tr>
        <w:trPr>
          <w:trHeight w:val="181"/>
        </w:trPr>
        <w:tc>
          <w:tcPr>
            <w:tcW w:w="48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Benefit (provision) for income taxes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(36)</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60" w:type="dxa"/>
            <w:vAlign w:val="bottom"/>
            <w:gridSpan w:val="2"/>
            <w:vMerge w:val="continue"/>
          </w:tcPr>
          <w:p>
            <w:pPr>
              <w:spacing w:after="0"/>
              <w:rPr>
                <w:sz w:val="15"/>
                <w:szCs w:val="15"/>
                <w:color w:val="auto"/>
              </w:rPr>
            </w:pPr>
          </w:p>
        </w:tc>
        <w:tc>
          <w:tcPr>
            <w:tcW w:w="22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(23,973)</w:t>
            </w:r>
          </w:p>
        </w:tc>
        <w:tc>
          <w:tcPr>
            <w:tcW w:w="20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(64,873)</w:t>
            </w:r>
          </w:p>
        </w:tc>
        <w:tc>
          <w:tcPr>
            <w:tcW w:w="200" w:type="dxa"/>
            <w:vAlign w:val="bottom"/>
            <w:gridSpan w:val="2"/>
          </w:tcPr>
          <w:p>
            <w:pPr>
              <w:jc w:val="center"/>
              <w:spacing w:after="0" w:line="173" w:lineRule="exact"/>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(4,941)</w:t>
            </w:r>
          </w:p>
        </w:tc>
        <w:tc>
          <w:tcPr>
            <w:tcW w:w="18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Net loss per share attributable to common shareholders—basic and</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860" w:type="dxa"/>
            <w:vAlign w:val="bottom"/>
            <w:gridSpan w:val="2"/>
            <w:shd w:val="clear" w:color="auto" w:fill="CCEEFF"/>
          </w:tcPr>
          <w:p>
            <w:pPr>
              <w:ind w:left="160"/>
              <w:spacing w:after="0" w:line="214" w:lineRule="exact"/>
              <w:rPr>
                <w:sz w:val="20"/>
                <w:szCs w:val="20"/>
                <w:color w:val="auto"/>
              </w:rPr>
            </w:pPr>
            <w:r>
              <w:rPr>
                <w:rFonts w:ascii="Arial" w:cs="Arial" w:eastAsia="Arial" w:hAnsi="Arial"/>
                <w:sz w:val="15"/>
                <w:szCs w:val="15"/>
                <w:color w:val="auto"/>
              </w:rPr>
              <w:t>diluted</w:t>
            </w:r>
            <w:r>
              <w:rPr>
                <w:rFonts w:ascii="Arial" w:cs="Arial" w:eastAsia="Arial" w:hAnsi="Arial"/>
                <w:sz w:val="24"/>
                <w:szCs w:val="24"/>
                <w:color w:val="auto"/>
                <w:vertAlign w:val="superscript"/>
              </w:rPr>
              <w:t>(1)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(35.85)</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line="233" w:lineRule="exact"/>
              <w:rPr>
                <w:sz w:val="20"/>
                <w:szCs w:val="20"/>
                <w:color w:val="auto"/>
              </w:rPr>
            </w:pPr>
            <w:r>
              <w:rPr>
                <w:rFonts w:ascii="Arial" w:cs="Arial" w:eastAsia="Arial" w:hAnsi="Arial"/>
                <w:sz w:val="16"/>
                <w:szCs w:val="16"/>
                <w:color w:val="auto"/>
                <w:w w:val="98"/>
              </w:rPr>
              <w:t>Weighted average common shares outstanding—basic and diluted</w:t>
            </w:r>
            <w:r>
              <w:rPr>
                <w:rFonts w:ascii="Arial" w:cs="Arial" w:eastAsia="Arial" w:hAnsi="Arial"/>
                <w:sz w:val="26"/>
                <w:szCs w:val="26"/>
                <w:color w:val="auto"/>
                <w:w w:val="98"/>
                <w:vertAlign w:val="superscript"/>
              </w:rPr>
              <w:t>(1)</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261,695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1,809,751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1,405,400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2,478,903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Pro forma net loss per share attributable to common shareholders—</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860" w:type="dxa"/>
            <w:vAlign w:val="bottom"/>
            <w:gridSpan w:val="2"/>
            <w:shd w:val="clear" w:color="auto" w:fill="CCEEFF"/>
          </w:tcPr>
          <w:p>
            <w:pPr>
              <w:ind w:left="160"/>
              <w:spacing w:after="0" w:line="214" w:lineRule="exact"/>
              <w:rPr>
                <w:sz w:val="20"/>
                <w:szCs w:val="20"/>
                <w:color w:val="auto"/>
              </w:rPr>
            </w:pPr>
            <w:r>
              <w:rPr>
                <w:rFonts w:ascii="Arial" w:cs="Arial" w:eastAsia="Arial" w:hAnsi="Arial"/>
                <w:sz w:val="15"/>
                <w:szCs w:val="15"/>
                <w:color w:val="auto"/>
              </w:rPr>
              <w:t>basic and diluted (unaudited)</w:t>
            </w:r>
            <w:r>
              <w:rPr>
                <w:rFonts w:ascii="Arial" w:cs="Arial" w:eastAsia="Arial" w:hAnsi="Arial"/>
                <w:sz w:val="24"/>
                <w:szCs w:val="24"/>
                <w:color w:val="auto"/>
                <w:vertAlign w:val="superscript"/>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color w:val="auto"/>
              </w:rPr>
              <w:t>Pro forma weighted average common shares outstanding—basic</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860" w:type="dxa"/>
            <w:vAlign w:val="bottom"/>
            <w:gridSpan w:val="2"/>
          </w:tcPr>
          <w:p>
            <w:pPr>
              <w:ind w:left="160"/>
              <w:spacing w:after="0" w:line="214" w:lineRule="exact"/>
              <w:rPr>
                <w:sz w:val="20"/>
                <w:szCs w:val="20"/>
                <w:color w:val="auto"/>
              </w:rPr>
            </w:pPr>
            <w:r>
              <w:rPr>
                <w:rFonts w:ascii="Arial" w:cs="Arial" w:eastAsia="Arial" w:hAnsi="Arial"/>
                <w:sz w:val="15"/>
                <w:szCs w:val="15"/>
                <w:color w:val="auto"/>
              </w:rPr>
              <w:t>and diluted (unaudited)</w:t>
            </w:r>
            <w:r>
              <w:rPr>
                <w:rFonts w:ascii="Arial" w:cs="Arial" w:eastAsia="Arial" w:hAnsi="Arial"/>
                <w:sz w:val="24"/>
                <w:szCs w:val="24"/>
                <w:color w:val="auto"/>
                <w:vertAlign w:val="superscript"/>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23,638,410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32,466,951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940" w:type="dxa"/>
            <w:vAlign w:val="bottom"/>
            <w:tcBorders>
              <w:bottom w:val="single" w:sz="8" w:color="auto"/>
            </w:tcBorders>
          </w:tcPr>
          <w:p>
            <w:pPr>
              <w:spacing w:after="0"/>
              <w:rPr>
                <w:sz w:val="6"/>
                <w:szCs w:val="6"/>
                <w:color w:val="auto"/>
              </w:rPr>
            </w:pPr>
          </w:p>
        </w:tc>
        <w:tc>
          <w:tcPr>
            <w:tcW w:w="3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20" w:right="320" w:hanging="480"/>
        <w:spacing w:after="0" w:line="195" w:lineRule="auto"/>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See Note 11 to our consolidated financial statements included elsewhere in this prospectus for further details on the calculation of basic and diluted net loss per share attributable to common shareholders and on the calculation of pro forma basic and diluted net loss per share attributable to common shareholders.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144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6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5"/>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4"/>
          </w:tcPr>
          <w:p>
            <w:pPr>
              <w:jc w:val="center"/>
              <w:ind w:left="542"/>
              <w:spacing w:after="0"/>
              <w:rPr>
                <w:sz w:val="20"/>
                <w:szCs w:val="20"/>
                <w:color w:val="auto"/>
              </w:rPr>
            </w:pPr>
            <w:r>
              <w:rPr>
                <w:rFonts w:ascii="Arial" w:cs="Arial" w:eastAsia="Arial" w:hAnsi="Arial"/>
                <w:sz w:val="16"/>
                <w:szCs w:val="16"/>
                <w:b w:val="1"/>
                <w:bCs w:val="1"/>
                <w:color w:val="auto"/>
                <w:w w:val="94"/>
              </w:rPr>
              <w:t>As of</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3"/>
          </w:tcPr>
          <w:p>
            <w:pPr>
              <w:jc w:val="center"/>
              <w:ind w:right="1240"/>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7"/>
              </w:rPr>
              <w:t>December 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3"/>
          </w:tcPr>
          <w:p>
            <w:pPr>
              <w:jc w:val="center"/>
              <w:ind w:right="1240"/>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436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Balance Sheet Data:</w:t>
            </w:r>
          </w:p>
        </w:tc>
        <w:tc>
          <w:tcPr>
            <w:tcW w:w="1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4360" w:type="dxa"/>
            <w:vAlign w:val="bottom"/>
            <w:gridSpan w:val="4"/>
          </w:tcPr>
          <w:p>
            <w:pPr>
              <w:spacing w:after="0" w:line="181" w:lineRule="exact"/>
              <w:rPr>
                <w:sz w:val="20"/>
                <w:szCs w:val="20"/>
                <w:color w:val="auto"/>
              </w:rPr>
            </w:pPr>
            <w:r>
              <w:rPr>
                <w:rFonts w:ascii="Arial" w:cs="Arial" w:eastAsia="Arial" w:hAnsi="Arial"/>
                <w:sz w:val="16"/>
                <w:szCs w:val="16"/>
                <w:color w:val="auto"/>
              </w:rPr>
              <w:t>Cash and cash equivalents</w:t>
            </w:r>
          </w:p>
        </w:tc>
        <w:tc>
          <w:tcPr>
            <w:tcW w:w="18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55,970</w:t>
            </w:r>
          </w:p>
        </w:tc>
        <w:tc>
          <w:tcPr>
            <w:tcW w:w="100" w:type="dxa"/>
            <w:vAlign w:val="bottom"/>
          </w:tcPr>
          <w:p>
            <w:pPr>
              <w:spacing w:after="0"/>
              <w:rPr>
                <w:sz w:val="15"/>
                <w:szCs w:val="15"/>
                <w:color w:val="auto"/>
              </w:rPr>
            </w:pPr>
          </w:p>
        </w:tc>
        <w:tc>
          <w:tcPr>
            <w:tcW w:w="320" w:type="dxa"/>
            <w:vAlign w:val="bottom"/>
            <w:gridSpan w:val="2"/>
          </w:tcPr>
          <w:p>
            <w:pPr>
              <w:jc w:val="center"/>
              <w:ind w:right="82"/>
              <w:spacing w:after="0" w:line="181"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45,555</w:t>
            </w:r>
          </w:p>
        </w:tc>
        <w:tc>
          <w:tcPr>
            <w:tcW w:w="100" w:type="dxa"/>
            <w:vAlign w:val="bottom"/>
          </w:tcPr>
          <w:p>
            <w:pPr>
              <w:spacing w:after="0"/>
              <w:rPr>
                <w:sz w:val="15"/>
                <w:szCs w:val="15"/>
                <w:color w:val="auto"/>
              </w:rPr>
            </w:pPr>
          </w:p>
        </w:tc>
        <w:tc>
          <w:tcPr>
            <w:tcW w:w="2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221,108</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4360" w:type="dxa"/>
            <w:vAlign w:val="bottom"/>
            <w:gridSpan w:val="4"/>
            <w:shd w:val="clear" w:color="auto" w:fill="CCEEFF"/>
          </w:tcPr>
          <w:p>
            <w:pPr>
              <w:spacing w:after="0" w:line="217" w:lineRule="exact"/>
              <w:rPr>
                <w:sz w:val="20"/>
                <w:szCs w:val="20"/>
                <w:color w:val="auto"/>
              </w:rPr>
            </w:pPr>
            <w:r>
              <w:rPr>
                <w:rFonts w:ascii="Arial" w:cs="Arial" w:eastAsia="Arial" w:hAnsi="Arial"/>
                <w:sz w:val="15"/>
                <w:szCs w:val="15"/>
                <w:color w:val="auto"/>
              </w:rPr>
              <w:t>Working capital</w:t>
            </w:r>
            <w:r>
              <w:rPr>
                <w:rFonts w:ascii="Arial" w:cs="Arial" w:eastAsia="Arial" w:hAnsi="Arial"/>
                <w:sz w:val="25"/>
                <w:szCs w:val="25"/>
                <w:color w:val="auto"/>
                <w:vertAlign w:val="superscript"/>
              </w:rPr>
              <w:t>(1)</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203,185</w:t>
            </w: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4360" w:type="dxa"/>
            <w:vAlign w:val="bottom"/>
            <w:gridSpan w:val="4"/>
          </w:tcPr>
          <w:p>
            <w:pPr>
              <w:spacing w:after="0" w:line="181" w:lineRule="exact"/>
              <w:rPr>
                <w:sz w:val="20"/>
                <w:szCs w:val="20"/>
                <w:color w:val="auto"/>
              </w:rPr>
            </w:pPr>
            <w:r>
              <w:rPr>
                <w:rFonts w:ascii="Arial" w:cs="Arial" w:eastAsia="Arial" w:hAnsi="Arial"/>
                <w:sz w:val="16"/>
                <w:szCs w:val="16"/>
                <w:color w:val="auto"/>
              </w:rPr>
              <w:t>Total assets</w:t>
            </w: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56,467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47,492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224,775</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436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Convertible preferred shares</w:t>
            </w:r>
          </w:p>
        </w:tc>
        <w:tc>
          <w:tcPr>
            <w:tcW w:w="1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79,897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119,770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310,592</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360" w:type="dxa"/>
            <w:vAlign w:val="bottom"/>
            <w:gridSpan w:val="4"/>
          </w:tcPr>
          <w:p>
            <w:pPr>
              <w:spacing w:after="0"/>
              <w:rPr>
                <w:sz w:val="20"/>
                <w:szCs w:val="20"/>
                <w:color w:val="auto"/>
              </w:rPr>
            </w:pPr>
            <w:r>
              <w:rPr>
                <w:rFonts w:ascii="Arial" w:cs="Arial" w:eastAsia="Arial" w:hAnsi="Arial"/>
                <w:sz w:val="16"/>
                <w:szCs w:val="16"/>
                <w:color w:val="auto"/>
              </w:rPr>
              <w:t>Total shareholders' deficit</w:t>
            </w: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(25,732)</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(89,708)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(105,115)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140" w:type="dxa"/>
            <w:vAlign w:val="bottom"/>
          </w:tcPr>
          <w:p>
            <w:pPr>
              <w:spacing w:after="0"/>
              <w:rPr>
                <w:sz w:val="7"/>
                <w:szCs w:val="7"/>
                <w:color w:val="auto"/>
              </w:rPr>
            </w:pPr>
          </w:p>
        </w:tc>
        <w:tc>
          <w:tcPr>
            <w:tcW w:w="300" w:type="dxa"/>
            <w:vAlign w:val="bottom"/>
            <w:tcBorders>
              <w:bottom w:val="single" w:sz="8" w:color="auto"/>
            </w:tcBorders>
            <w:gridSpan w:val="2"/>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1440" w:type="dxa"/>
            <w:vAlign w:val="bottom"/>
            <w:gridSpan w:val="3"/>
          </w:tcPr>
          <w:p>
            <w:pPr>
              <w:ind w:left="1140"/>
              <w:spacing w:after="0"/>
              <w:rPr>
                <w:sz w:val="20"/>
                <w:szCs w:val="20"/>
                <w:color w:val="auto"/>
              </w:rPr>
            </w:pPr>
            <w:r>
              <w:rPr>
                <w:rFonts w:ascii="Arial" w:cs="Arial" w:eastAsia="Arial" w:hAnsi="Arial"/>
                <w:sz w:val="10"/>
                <w:szCs w:val="10"/>
                <w:color w:val="auto"/>
              </w:rPr>
              <w:t>(1)</w:t>
            </w:r>
          </w:p>
        </w:tc>
        <w:tc>
          <w:tcPr>
            <w:tcW w:w="4060" w:type="dxa"/>
            <w:vAlign w:val="bottom"/>
            <w:gridSpan w:val="2"/>
            <w:vMerge w:val="restart"/>
          </w:tcPr>
          <w:p>
            <w:pPr>
              <w:ind w:left="180"/>
              <w:spacing w:after="0"/>
              <w:rPr>
                <w:sz w:val="20"/>
                <w:szCs w:val="20"/>
                <w:color w:val="auto"/>
              </w:rPr>
            </w:pPr>
            <w:r>
              <w:rPr>
                <w:rFonts w:ascii="Arial" w:cs="Arial" w:eastAsia="Arial" w:hAnsi="Arial"/>
                <w:sz w:val="13"/>
                <w:szCs w:val="13"/>
                <w:color w:val="auto"/>
              </w:rPr>
              <w:t>We define working capital as current assets less current liabilities.</w:t>
            </w: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60" w:type="dxa"/>
            <w:vAlign w:val="bottom"/>
            <w:gridSpan w:val="2"/>
            <w:vMerge w:val="continue"/>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80" w:type="dxa"/>
            <w:vAlign w:val="bottom"/>
          </w:tcPr>
          <w:p>
            <w:pPr>
              <w:jc w:val="right"/>
              <w:ind w:right="1202"/>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3420" w:type="dxa"/>
            <w:vAlign w:val="bottom"/>
            <w:tcBorders>
              <w:bottom w:val="single" w:sz="8" w:color="808080"/>
            </w:tcBorders>
          </w:tcPr>
          <w:p>
            <w:pPr>
              <w:spacing w:after="0"/>
              <w:rPr>
                <w:sz w:val="16"/>
                <w:szCs w:val="16"/>
                <w:color w:val="auto"/>
              </w:rPr>
            </w:pPr>
          </w:p>
        </w:tc>
        <w:tc>
          <w:tcPr>
            <w:tcW w:w="15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17"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74" w:lineRule="exact"/>
        <w:rPr>
          <w:sz w:val="20"/>
          <w:szCs w:val="20"/>
          <w:color w:val="auto"/>
        </w:rPr>
      </w:pPr>
    </w:p>
    <w:p>
      <w:pPr>
        <w:ind w:right="100" w:firstLine="436"/>
        <w:spacing w:after="0" w:line="24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the other financial information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these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0" w:lineRule="exact"/>
        <w:rPr>
          <w:sz w:val="20"/>
          <w:szCs w:val="20"/>
          <w:color w:val="auto"/>
        </w:rPr>
      </w:pPr>
    </w:p>
    <w:p>
      <w:pPr>
        <w:ind w:right="160" w:firstLine="436"/>
        <w:spacing w:after="0" w:line="237" w:lineRule="auto"/>
        <w:rPr>
          <w:sz w:val="20"/>
          <w:szCs w:val="20"/>
          <w:color w:val="auto"/>
        </w:rPr>
      </w:pPr>
      <w:r>
        <w:rPr>
          <w:rFonts w:ascii="Arial" w:cs="Arial" w:eastAsia="Arial" w:hAnsi="Arial"/>
          <w:sz w:val="16"/>
          <w:szCs w:val="16"/>
          <w:color w:val="auto"/>
        </w:rPr>
        <w:t>We are a clinical-stage biopharmaceutical company focused on discovering, acquiring, developing and commercializing therapeutic medicines for patients suffering from debilitating diseases with significant unmet medical need. We have a pipeline of product candidates across various stages of development, currently focused on autoinflammatory and autoimmune conditions. We have three clinical-stage product candidates, one of which is anticipated to commence a Phase 3 clinical trial in 2018. We follow a disciplined and methodical approach to selectively identify and acquire product candidates with strong biologic rationales or validated mechanisms of action. We believe that each of our product candidates has the potential to address multiple indications.</w:t>
      </w:r>
    </w:p>
    <w:p>
      <w:pPr>
        <w:spacing w:after="0" w:line="189"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Since our inception in 2015, we have devoted substantially all of our efforts and financial resources to organizing and staffing our company, business planning, raising capital, acquiring, in-licensing or discovering product candidates and securing related intellectual property rights and conducting research and development activities for our programs. We do not have any products approved for sale and have not generated any revenue from product sales. We have funded our operations to date primarily with proceeds from the sale of preferred shares. Through March 31, 2018, we had received net proceeds of $310.6 million from the sale of preferred shares.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have incurred significant operating losses since inception. Our ability to generate product revenue sufficient to achieve profitability will depend heavily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successful development and eventual commercialization of one or more of our current or future product candidates. Our net losses were $24.0 million and</w:t>
      </w:r>
    </w:p>
    <w:p>
      <w:pPr>
        <w:spacing w:after="0"/>
        <w:rPr>
          <w:sz w:val="20"/>
          <w:szCs w:val="20"/>
          <w:color w:val="auto"/>
        </w:rPr>
      </w:pPr>
      <w:r>
        <w:rPr>
          <w:rFonts w:ascii="Arial" w:cs="Arial" w:eastAsia="Arial" w:hAnsi="Arial"/>
          <w:sz w:val="15"/>
          <w:szCs w:val="15"/>
          <w:color w:val="auto"/>
        </w:rPr>
        <w:t>$64.9 million for the years ended December 31, 2016 and 2017, respectively and were $4.9 million and $16.0 million for the three months ended March 31, 2017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2018, respectively. As of December 31, 2017 and March 31, 2018, we had an accumulated deficit of $91.0 million and $107.0 million, respectively. We expect to</w:t>
      </w:r>
    </w:p>
    <w:p>
      <w:pPr>
        <w:spacing w:after="0"/>
        <w:rPr>
          <w:sz w:val="20"/>
          <w:szCs w:val="20"/>
          <w:color w:val="auto"/>
        </w:rPr>
      </w:pPr>
      <w:r>
        <w:rPr>
          <w:rFonts w:ascii="Arial" w:cs="Arial" w:eastAsia="Arial" w:hAnsi="Arial"/>
          <w:sz w:val="15"/>
          <w:szCs w:val="15"/>
          <w:color w:val="auto"/>
        </w:rPr>
        <w:t>continue to incur significant operating losses for at least the next several years as we advance our product candidates through all stages of development and clinical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trials and, ultimately, seek regulatory approval. In addition, if we obtain marketing approval for any of our product candidates, we expect to incur significant</w:t>
      </w:r>
    </w:p>
    <w:p>
      <w:pPr>
        <w:spacing w:after="0"/>
        <w:rPr>
          <w:sz w:val="20"/>
          <w:szCs w:val="20"/>
          <w:color w:val="auto"/>
        </w:rPr>
      </w:pPr>
      <w:r>
        <w:rPr>
          <w:rFonts w:ascii="Arial" w:cs="Arial" w:eastAsia="Arial" w:hAnsi="Arial"/>
          <w:sz w:val="15"/>
          <w:szCs w:val="15"/>
          <w:color w:val="auto"/>
        </w:rPr>
        <w:t>commercialization expenses related to product manufacturing, marketing, sales and distribution. We may also incur expenses in connection with the in-licensing 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acquisition of additional product candidates. Furthermore, upon the closing of this offering, we expect to incur additional costs associated with operating as a public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company, including significant legal, accounting, investor relations and other expenses that we did not incur as a private company.</w:t>
      </w:r>
    </w:p>
    <w:p>
      <w:pPr>
        <w:spacing w:after="0" w:line="190" w:lineRule="exact"/>
        <w:rPr>
          <w:sz w:val="20"/>
          <w:szCs w:val="20"/>
          <w:color w:val="auto"/>
        </w:rPr>
      </w:pPr>
    </w:p>
    <w:p>
      <w:pPr>
        <w:ind w:right="400" w:firstLine="427"/>
        <w:spacing w:after="0" w:line="238"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40"/>
        <w:spacing w:after="0" w:line="241" w:lineRule="auto"/>
        <w:rPr>
          <w:sz w:val="20"/>
          <w:szCs w:val="20"/>
          <w:color w:val="auto"/>
        </w:rPr>
      </w:pPr>
      <w:r>
        <w:rPr>
          <w:rFonts w:ascii="Arial" w:cs="Arial" w:eastAsia="Arial" w:hAnsi="Arial"/>
          <w:sz w:val="16"/>
          <w:szCs w:val="16"/>
          <w:color w:val="auto"/>
        </w:rPr>
        <w:t>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5" w:lineRule="exact"/>
        <w:rPr>
          <w:sz w:val="20"/>
          <w:szCs w:val="20"/>
          <w:color w:val="auto"/>
        </w:rPr>
      </w:pPr>
    </w:p>
    <w:p>
      <w:pPr>
        <w:ind w:right="100" w:firstLine="436"/>
        <w:spacing w:after="0" w:line="238"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40" w:firstLine="427"/>
        <w:spacing w:after="0" w:line="238" w:lineRule="auto"/>
        <w:rPr>
          <w:sz w:val="20"/>
          <w:szCs w:val="20"/>
          <w:color w:val="auto"/>
        </w:rPr>
      </w:pPr>
      <w:r>
        <w:rPr>
          <w:rFonts w:ascii="Arial" w:cs="Arial" w:eastAsia="Arial" w:hAnsi="Arial"/>
          <w:sz w:val="16"/>
          <w:szCs w:val="16"/>
          <w:color w:val="auto"/>
        </w:rPr>
        <w:t>As of December 31, 2017 and March 31, 2018, we had cash and cash equivalents of $45.6 million and $221.1 million, respectively. We believe that our existing cash and cash equivalents, will enable us to fund our operating expenses and capital expenditure requirements for at least the next 12 months. We have based this estimate on assumptions that may prove to be wrong, and we could exhaust our available capital resources sooner than we expect. See "— Liquidity and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08" w:lineRule="exact"/>
        <w:rPr>
          <w:sz w:val="20"/>
          <w:szCs w:val="20"/>
          <w:color w:val="auto"/>
        </w:rPr>
      </w:pPr>
    </w:p>
    <w:p>
      <w:pPr>
        <w:ind w:right="240" w:firstLine="433"/>
        <w:spacing w:after="0" w:line="239" w:lineRule="auto"/>
        <w:rPr>
          <w:sz w:val="20"/>
          <w:szCs w:val="20"/>
          <w:color w:val="auto"/>
        </w:rPr>
      </w:pPr>
      <w:r>
        <w:rPr>
          <w:rFonts w:ascii="Arial" w:cs="Arial" w:eastAsia="Arial" w:hAnsi="Arial"/>
          <w:sz w:val="16"/>
          <w:szCs w:val="16"/>
          <w:color w:val="auto"/>
        </w:rPr>
        <w:t>To date, we have not generated any revenue from product sales and do not expect to generate any revenue from the sale of products in the foreseeable future. If our development efforts for our product candidates are successful and result in regulatory approval, we may generate revenue in the future from product sales.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206" w:lineRule="exact"/>
        <w:rPr>
          <w:sz w:val="20"/>
          <w:szCs w:val="20"/>
          <w:color w:val="auto"/>
        </w:rPr>
      </w:pPr>
    </w:p>
    <w:p>
      <w:pPr>
        <w:ind w:right="340" w:firstLine="436"/>
        <w:spacing w:after="0" w:line="241" w:lineRule="auto"/>
        <w:rPr>
          <w:sz w:val="20"/>
          <w:szCs w:val="20"/>
          <w:color w:val="auto"/>
        </w:rPr>
      </w:pPr>
      <w:r>
        <w:rPr>
          <w:rFonts w:ascii="Arial" w:cs="Arial" w:eastAsia="Arial" w:hAnsi="Arial"/>
          <w:sz w:val="16"/>
          <w:szCs w:val="16"/>
          <w:color w:val="auto"/>
        </w:rPr>
        <w:t>Research and development expenses consist primarily of costs incurred in connection with the discovery and development of our product candidates. We expense research and development costs as incurred. These expenses may include:</w:t>
      </w:r>
    </w:p>
    <w:p>
      <w:pPr>
        <w:spacing w:after="0" w:line="185" w:lineRule="exact"/>
        <w:rPr>
          <w:sz w:val="20"/>
          <w:szCs w:val="20"/>
          <w:color w:val="auto"/>
        </w:rPr>
      </w:pPr>
    </w:p>
    <w:p>
      <w:pPr>
        <w:ind w:left="960" w:hanging="481"/>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expenses incurred to conduct the necessary pre-clinical studies and clinical trials required to obtain regulatory approval;</w:t>
      </w:r>
    </w:p>
    <w:p>
      <w:pPr>
        <w:spacing w:after="0" w:line="189" w:lineRule="exact"/>
        <w:rPr>
          <w:rFonts w:ascii="Arial" w:cs="Arial" w:eastAsia="Arial" w:hAnsi="Arial"/>
          <w:sz w:val="16"/>
          <w:szCs w:val="16"/>
          <w:color w:val="auto"/>
        </w:rPr>
      </w:pPr>
    </w:p>
    <w:p>
      <w:pPr>
        <w:ind w:left="960" w:right="380" w:hanging="481"/>
        <w:spacing w:after="0" w:line="241"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expenses incurred under agreements with CROs, that are primarily engaged in the oversight and conduct of our clinical trials and CMOs, that are primarily engaged to provide pre-clinical and clinical drug substance and product for our research and development programs;</w:t>
      </w:r>
    </w:p>
    <w:p>
      <w:pPr>
        <w:spacing w:after="0" w:line="173"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other costs related to acquiring and manufacturing pre-clinical studies and clinical trial materials, including manufacturing validation batches, as well as investigative sites and consultants that conduct our clinical trials, pre-clinical studies and other scientific development services;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payments made in cash or equity securities under third-party licensing, acquisition and option agreements;</w:t>
      </w:r>
    </w:p>
    <w:p>
      <w:pPr>
        <w:spacing w:after="0" w:line="189" w:lineRule="exact"/>
        <w:rPr>
          <w:rFonts w:ascii="Arial" w:cs="Arial" w:eastAsia="Arial" w:hAnsi="Arial"/>
          <w:sz w:val="16"/>
          <w:szCs w:val="16"/>
          <w:color w:val="auto"/>
        </w:rPr>
      </w:pPr>
    </w:p>
    <w:p>
      <w:pPr>
        <w:ind w:left="960" w:right="180" w:hanging="481"/>
        <w:spacing w:after="0" w:line="241"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employee-related expenses, including salaries and benefits, travel and share-based compensation expense for employees engaged in research and development functions;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costs related to compliance with regulatory requirements;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allocated facilities-related costs, depreciation and other expenses, which include rent and utilities.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We recognize external development costs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Nonrefundable advance payments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8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research laboratories in connection with our pre-clinical development, process development, manufacturing and clinical development activities. Our direct research and development expenses by program also include fees incurred under license, acquisition and option agreements. We do not allocate employee costs or facility expenses,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our research and development expenses incurred by program:</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9"/>
              </w:rPr>
              <w:t>Three Months</w:t>
            </w:r>
          </w:p>
        </w:tc>
      </w:tr>
      <w:tr>
        <w:trPr>
          <w:trHeight w:val="181"/>
        </w:trPr>
        <w:tc>
          <w:tcPr>
            <w:tcW w:w="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4"/>
          </w:tcPr>
          <w:p>
            <w:pPr>
              <w:jc w:val="right"/>
              <w:ind w:right="242"/>
              <w:spacing w:after="0" w:line="181" w:lineRule="exact"/>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5"/>
          </w:tcPr>
          <w:p>
            <w:pPr>
              <w:jc w:val="center"/>
              <w:ind w:right="140"/>
              <w:spacing w:after="0" w:line="181" w:lineRule="exact"/>
              <w:rPr>
                <w:sz w:val="20"/>
                <w:szCs w:val="20"/>
                <w:color w:val="auto"/>
              </w:rPr>
            </w:pPr>
            <w:r>
              <w:rPr>
                <w:rFonts w:ascii="Arial" w:cs="Arial" w:eastAsia="Arial" w:hAnsi="Arial"/>
                <w:sz w:val="16"/>
                <w:szCs w:val="16"/>
                <w:b w:val="1"/>
                <w:bCs w:val="1"/>
                <w:color w:val="auto"/>
                <w:w w:val="98"/>
              </w:rPr>
              <w:t>Ended</w:t>
            </w:r>
          </w:p>
        </w:tc>
      </w:tr>
      <w:tr>
        <w:trPr>
          <w:trHeight w:val="202"/>
        </w:trPr>
        <w:tc>
          <w:tcPr>
            <w:tcW w:w="9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4"/>
          </w:tcPr>
          <w:p>
            <w:pPr>
              <w:jc w:val="right"/>
              <w:ind w:right="162"/>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7"/>
              </w:rPr>
              <w:t>March 31,</w:t>
            </w:r>
          </w:p>
        </w:tc>
      </w:tr>
      <w:tr>
        <w:trPr>
          <w:trHeight w:val="197"/>
        </w:trPr>
        <w:tc>
          <w:tcPr>
            <w:tcW w:w="9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9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62"/>
              <w:spacing w:after="0"/>
              <w:rPr>
                <w:sz w:val="20"/>
                <w:szCs w:val="20"/>
                <w:color w:val="auto"/>
              </w:rPr>
            </w:pPr>
            <w:r>
              <w:rPr>
                <w:rFonts w:ascii="Arial" w:cs="Arial" w:eastAsia="Arial" w:hAnsi="Arial"/>
                <w:sz w:val="16"/>
                <w:szCs w:val="16"/>
                <w:b w:val="1"/>
                <w:bCs w:val="1"/>
                <w:color w:val="auto"/>
              </w:rPr>
              <w:t>(in</w:t>
            </w:r>
          </w:p>
        </w:tc>
        <w:tc>
          <w:tcPr>
            <w:tcW w:w="800" w:type="dxa"/>
            <w:vAlign w:val="bottom"/>
            <w:gridSpan w:val="3"/>
          </w:tcPr>
          <w:p>
            <w:pPr>
              <w:jc w:val="right"/>
              <w:ind w:right="82"/>
              <w:spacing w:after="0"/>
              <w:rPr>
                <w:sz w:val="20"/>
                <w:szCs w:val="20"/>
                <w:color w:val="auto"/>
              </w:rPr>
            </w:pPr>
            <w:r>
              <w:rPr>
                <w:rFonts w:ascii="Arial" w:cs="Arial" w:eastAsia="Arial" w:hAnsi="Arial"/>
                <w:sz w:val="16"/>
                <w:szCs w:val="16"/>
                <w:b w:val="1"/>
                <w:bCs w:val="1"/>
                <w:color w:val="auto"/>
                <w:w w:val="71"/>
              </w:rPr>
              <w:t>thousands)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456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Rilonacept</w:t>
            </w:r>
            <w:r>
              <w:rPr>
                <w:rFonts w:ascii="Arial" w:cs="Arial" w:eastAsia="Arial" w:hAnsi="Arial"/>
                <w:sz w:val="25"/>
                <w:szCs w:val="25"/>
                <w:color w:val="auto"/>
                <w:vertAlign w:val="superscript"/>
              </w:rPr>
              <w:t>(1)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40" w:type="dxa"/>
            <w:vAlign w:val="bottom"/>
            <w:shd w:val="clear" w:color="auto" w:fill="CCEEFF"/>
          </w:tcPr>
          <w:p>
            <w:pPr>
              <w:spacing w:after="0"/>
              <w:rPr>
                <w:sz w:val="18"/>
                <w:szCs w:val="18"/>
                <w:color w:val="auto"/>
              </w:rPr>
            </w:pPr>
          </w:p>
        </w:tc>
      </w:tr>
      <w:tr>
        <w:trPr>
          <w:trHeight w:val="217"/>
        </w:trPr>
        <w:tc>
          <w:tcPr>
            <w:tcW w:w="4560" w:type="dxa"/>
            <w:vAlign w:val="bottom"/>
            <w:gridSpan w:val="2"/>
          </w:tcPr>
          <w:p>
            <w:pPr>
              <w:spacing w:after="0" w:line="217" w:lineRule="exact"/>
              <w:rPr>
                <w:sz w:val="20"/>
                <w:szCs w:val="20"/>
                <w:color w:val="auto"/>
              </w:rPr>
            </w:pPr>
            <w:r>
              <w:rPr>
                <w:rFonts w:ascii="Arial" w:cs="Arial" w:eastAsia="Arial" w:hAnsi="Arial"/>
                <w:sz w:val="15"/>
                <w:szCs w:val="15"/>
                <w:color w:val="auto"/>
              </w:rPr>
              <w:t>Mavrilimumab</w:t>
            </w:r>
            <w:r>
              <w:rPr>
                <w:rFonts w:ascii="Arial" w:cs="Arial" w:eastAsia="Arial" w:hAnsi="Arial"/>
                <w:sz w:val="25"/>
                <w:szCs w:val="25"/>
                <w:color w:val="auto"/>
                <w:vertAlign w:val="superscript"/>
              </w:rPr>
              <w:t>(2)</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8"/>
                <w:szCs w:val="18"/>
                <w:color w:val="auto"/>
              </w:rPr>
            </w:pPr>
          </w:p>
        </w:tc>
      </w:tr>
      <w:tr>
        <w:trPr>
          <w:trHeight w:val="217"/>
        </w:trPr>
        <w:tc>
          <w:tcPr>
            <w:tcW w:w="456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KPL-716</w:t>
            </w:r>
            <w:r>
              <w:rPr>
                <w:rFonts w:ascii="Arial" w:cs="Arial" w:eastAsia="Arial" w:hAnsi="Arial"/>
                <w:sz w:val="25"/>
                <w:szCs w:val="25"/>
                <w:color w:val="auto"/>
                <w:vertAlign w:val="superscript"/>
              </w:rPr>
              <w:t>(3)</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7,215</w:t>
            </w:r>
          </w:p>
        </w:tc>
        <w:tc>
          <w:tcPr>
            <w:tcW w:w="140" w:type="dxa"/>
            <w:vAlign w:val="bottom"/>
            <w:shd w:val="clear" w:color="auto" w:fill="CCEEFF"/>
          </w:tcPr>
          <w:p>
            <w:pPr>
              <w:spacing w:after="0"/>
              <w:rPr>
                <w:sz w:val="18"/>
                <w:szCs w:val="18"/>
                <w:color w:val="auto"/>
              </w:rPr>
            </w:pPr>
          </w:p>
        </w:tc>
      </w:tr>
      <w:tr>
        <w:trPr>
          <w:trHeight w:val="217"/>
        </w:trPr>
        <w:tc>
          <w:tcPr>
            <w:tcW w:w="4560" w:type="dxa"/>
            <w:vAlign w:val="bottom"/>
            <w:gridSpan w:val="2"/>
          </w:tcPr>
          <w:p>
            <w:pPr>
              <w:spacing w:after="0" w:line="217" w:lineRule="exact"/>
              <w:rPr>
                <w:sz w:val="20"/>
                <w:szCs w:val="20"/>
                <w:color w:val="auto"/>
              </w:rPr>
            </w:pPr>
            <w:r>
              <w:rPr>
                <w:rFonts w:ascii="Arial" w:cs="Arial" w:eastAsia="Arial" w:hAnsi="Arial"/>
                <w:sz w:val="15"/>
                <w:szCs w:val="15"/>
                <w:color w:val="auto"/>
              </w:rPr>
              <w:t>KPL-045</w:t>
            </w:r>
            <w:r>
              <w:rPr>
                <w:rFonts w:ascii="Arial" w:cs="Arial" w:eastAsia="Arial" w:hAnsi="Arial"/>
                <w:sz w:val="25"/>
                <w:szCs w:val="25"/>
                <w:color w:val="auto"/>
                <w:vertAlign w:val="superscript"/>
              </w:rPr>
              <w:t>(4)</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8"/>
                <w:szCs w:val="18"/>
                <w:color w:val="auto"/>
              </w:rPr>
            </w:pPr>
          </w:p>
        </w:tc>
      </w:tr>
      <w:tr>
        <w:trPr>
          <w:trHeight w:val="217"/>
        </w:trPr>
        <w:tc>
          <w:tcPr>
            <w:tcW w:w="456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KPL-404</w:t>
            </w:r>
            <w:r>
              <w:rPr>
                <w:rFonts w:ascii="Arial" w:cs="Arial" w:eastAsia="Arial" w:hAnsi="Arial"/>
                <w:sz w:val="25"/>
                <w:szCs w:val="25"/>
                <w:color w:val="auto"/>
                <w:vertAlign w:val="superscript"/>
              </w:rPr>
              <w:t>(5)</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40" w:type="dxa"/>
            <w:vAlign w:val="bottom"/>
            <w:shd w:val="clear" w:color="auto" w:fill="CCEEFF"/>
          </w:tcPr>
          <w:p>
            <w:pPr>
              <w:spacing w:after="0"/>
              <w:rPr>
                <w:sz w:val="18"/>
                <w:szCs w:val="18"/>
                <w:color w:val="auto"/>
              </w:rPr>
            </w:pPr>
          </w:p>
        </w:tc>
      </w:tr>
      <w:tr>
        <w:trPr>
          <w:trHeight w:val="181"/>
        </w:trPr>
        <w:tc>
          <w:tcPr>
            <w:tcW w:w="4560" w:type="dxa"/>
            <w:vAlign w:val="bottom"/>
            <w:gridSpan w:val="2"/>
          </w:tcPr>
          <w:p>
            <w:pPr>
              <w:spacing w:after="0" w:line="181" w:lineRule="exact"/>
              <w:rPr>
                <w:sz w:val="20"/>
                <w:szCs w:val="20"/>
                <w:color w:val="auto"/>
              </w:rPr>
            </w:pPr>
            <w:r>
              <w:rPr>
                <w:rFonts w:ascii="Arial" w:cs="Arial" w:eastAsia="Arial" w:hAnsi="Arial"/>
                <w:sz w:val="16"/>
                <w:szCs w:val="16"/>
                <w:color w:val="auto"/>
              </w:rPr>
              <w:t>Unallocated research and development expenses</w:t>
            </w: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2,569</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5,689</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944</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3,103</w:t>
            </w:r>
          </w:p>
        </w:tc>
        <w:tc>
          <w:tcPr>
            <w:tcW w:w="140" w:type="dxa"/>
            <w:vAlign w:val="bottom"/>
          </w:tcPr>
          <w:p>
            <w:pPr>
              <w:spacing w:after="0"/>
              <w:rPr>
                <w:sz w:val="15"/>
                <w:szCs w:val="15"/>
                <w:color w:val="auto"/>
              </w:rPr>
            </w:pPr>
          </w:p>
        </w:tc>
      </w:tr>
      <w:tr>
        <w:trPr>
          <w:trHeight w:val="173"/>
        </w:trPr>
        <w:tc>
          <w:tcPr>
            <w:tcW w:w="4560" w:type="dxa"/>
            <w:vAlign w:val="bottom"/>
            <w:gridSpan w:val="2"/>
            <w:shd w:val="clear" w:color="auto" w:fill="CCEEFF"/>
          </w:tcPr>
          <w:p>
            <w:pPr>
              <w:ind w:left="160"/>
              <w:spacing w:after="0" w:line="173" w:lineRule="exact"/>
              <w:rPr>
                <w:sz w:val="20"/>
                <w:szCs w:val="20"/>
                <w:color w:val="auto"/>
              </w:rPr>
            </w:pPr>
            <w:r>
              <w:rPr>
                <w:rFonts w:ascii="Arial" w:cs="Arial" w:eastAsia="Arial" w:hAnsi="Arial"/>
                <w:sz w:val="16"/>
                <w:szCs w:val="16"/>
                <w:color w:val="auto"/>
              </w:rPr>
              <w:t>Total research and development expenses</w:t>
            </w:r>
          </w:p>
        </w:tc>
        <w:tc>
          <w:tcPr>
            <w:tcW w:w="128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17,439</w:t>
            </w:r>
          </w:p>
        </w:tc>
        <w:tc>
          <w:tcPr>
            <w:tcW w:w="32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56,357</w:t>
            </w:r>
          </w:p>
        </w:tc>
        <w:tc>
          <w:tcPr>
            <w:tcW w:w="30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3,145</w:t>
            </w:r>
          </w:p>
        </w:tc>
        <w:tc>
          <w:tcPr>
            <w:tcW w:w="340" w:type="dxa"/>
            <w:vAlign w:val="bottom"/>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12,630</w:t>
            </w:r>
          </w:p>
        </w:tc>
        <w:tc>
          <w:tcPr>
            <w:tcW w:w="140" w:type="dxa"/>
            <w:vAlign w:val="bottom"/>
            <w:shd w:val="clear" w:color="auto" w:fill="CCEEFF"/>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3"/>
        </w:trPr>
        <w:tc>
          <w:tcPr>
            <w:tcW w:w="940" w:type="dxa"/>
            <w:vAlign w:val="bottom"/>
            <w:tcBorders>
              <w:bottom w:val="single" w:sz="8" w:color="auto"/>
            </w:tcBorders>
          </w:tcPr>
          <w:p>
            <w:pPr>
              <w:spacing w:after="0"/>
              <w:rPr>
                <w:sz w:val="6"/>
                <w:szCs w:val="6"/>
                <w:color w:val="auto"/>
              </w:rPr>
            </w:pPr>
          </w:p>
        </w:tc>
        <w:tc>
          <w:tcPr>
            <w:tcW w:w="3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133" w:lineRule="exact"/>
        <w:rPr>
          <w:sz w:val="20"/>
          <w:szCs w:val="20"/>
          <w:color w:val="auto"/>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amount for the year ended December 31, 2017 includes expense of $5.0 million related to an upfront payment under our license agreement with Regeneron.</w:t>
      </w:r>
    </w:p>
    <w:p>
      <w:pPr>
        <w:spacing w:after="0" w:line="135" w:lineRule="exact"/>
        <w:rPr>
          <w:rFonts w:ascii="Arial" w:cs="Arial" w:eastAsia="Arial" w:hAnsi="Arial"/>
          <w:sz w:val="19"/>
          <w:szCs w:val="19"/>
          <w:color w:val="auto"/>
          <w:vertAlign w:val="superscript"/>
        </w:rPr>
      </w:pPr>
    </w:p>
    <w:p>
      <w:pPr>
        <w:ind w:left="1620" w:right="540" w:hanging="480"/>
        <w:spacing w:after="0" w:line="19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amount for the year ended December 31, 2017 consists of expense of $18.0 million related to an upfront payment and an accrued milestone under our license agreement with MedImmune.</w:t>
      </w:r>
    </w:p>
    <w:p>
      <w:pPr>
        <w:spacing w:after="0" w:line="135" w:lineRule="exact"/>
        <w:rPr>
          <w:rFonts w:ascii="Arial" w:cs="Arial" w:eastAsia="Arial" w:hAnsi="Arial"/>
          <w:sz w:val="19"/>
          <w:szCs w:val="19"/>
          <w:color w:val="auto"/>
          <w:vertAlign w:val="superscript"/>
        </w:rPr>
      </w:pPr>
    </w:p>
    <w:p>
      <w:pPr>
        <w:ind w:left="1620" w:right="320" w:hanging="480"/>
        <w:spacing w:after="0" w:line="20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amount for the year ended December 31, 2016 includes expense of $11.5 million related to an upfront payment and $0.5 million related to a technology transfer payment under our asset purchase agreement with Biogen. The amount for the year ended December 31, 2017 includes expense of $4.0 million related to a milestone payment under our asset purchase agreement with Biogen associated with the achievement of a specified clinical milestone event.</w:t>
      </w:r>
    </w:p>
    <w:p>
      <w:pPr>
        <w:spacing w:after="0" w:line="136" w:lineRule="exact"/>
        <w:rPr>
          <w:rFonts w:ascii="Arial" w:cs="Arial" w:eastAsia="Arial" w:hAnsi="Arial"/>
          <w:sz w:val="19"/>
          <w:szCs w:val="19"/>
          <w:color w:val="auto"/>
          <w:vertAlign w:val="superscript"/>
        </w:rPr>
      </w:pPr>
    </w:p>
    <w:p>
      <w:pPr>
        <w:ind w:left="1620" w:right="240" w:hanging="480"/>
        <w:spacing w:after="0" w:line="20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amount for the year ended December 31, 2017 includes expense of $1.5 million related to an upfront payment under our license agreement with Novo Nordisk. The amount for the three months ended March 31, 2018 includes expense of $0.2 million related to a technology transfer payment under our license agreement with Novo Nordisk.</w:t>
      </w:r>
    </w:p>
    <w:p>
      <w:pPr>
        <w:spacing w:after="0" w:line="136" w:lineRule="exact"/>
        <w:rPr>
          <w:rFonts w:ascii="Arial" w:cs="Arial" w:eastAsia="Arial" w:hAnsi="Arial"/>
          <w:sz w:val="19"/>
          <w:szCs w:val="19"/>
          <w:color w:val="auto"/>
          <w:vertAlign w:val="superscript"/>
        </w:rPr>
      </w:pPr>
    </w:p>
    <w:p>
      <w:pPr>
        <w:ind w:left="1620" w:hanging="480"/>
        <w:spacing w:after="0" w:line="19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The amount for the year ended December 31, 2017 includes expense of $0.5 million related to upfront payments for the initial option period under our stock purchase option agreement with Primatope.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complete our ongoing and planned clinical trials for rilonacept, mavrilimumab and KPL-716, as well as conduct other pre-clinical and clinical development including regulatory filings for our other product candidates and our discovery research efforts and increase personnel costs, including costs associated with share-based compensation. We also expect to incur additional expenses related to milestone and royalty payments payable to third parties with whom we have entered into license, acquisition and option agreements to acquire the rights to our product candidates.</w:t>
      </w:r>
    </w:p>
    <w:p>
      <w:pPr>
        <w:spacing w:after="0" w:line="188" w:lineRule="exact"/>
        <w:rPr>
          <w:sz w:val="20"/>
          <w:szCs w:val="20"/>
          <w:color w:val="auto"/>
        </w:rPr>
      </w:pPr>
    </w:p>
    <w:p>
      <w:pPr>
        <w:ind w:right="180" w:firstLine="433"/>
        <w:spacing w:after="0" w:line="238" w:lineRule="auto"/>
        <w:rPr>
          <w:sz w:val="20"/>
          <w:szCs w:val="20"/>
          <w:color w:val="auto"/>
        </w:rPr>
      </w:pPr>
      <w:r>
        <w:rPr>
          <w:rFonts w:ascii="Arial" w:cs="Arial" w:eastAsia="Arial" w:hAnsi="Arial"/>
          <w:sz w:val="16"/>
          <w:szCs w:val="16"/>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establishing an appropriate safety and efficacy profile with IND-enabling and clinical studies;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successful patient enrollment in and the initiation and completion of clinical trials;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timing, receipt and terms of any marketing approvals from applicable regulatory authorities including the FDA;</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extent of any required post-marketing approval commitments to applicable regulatory authorities;</w:t>
      </w:r>
    </w:p>
    <w:p>
      <w:pPr>
        <w:spacing w:after="0" w:line="177" w:lineRule="exact"/>
        <w:rPr>
          <w:rFonts w:ascii="Arial" w:cs="Arial" w:eastAsia="Arial" w:hAnsi="Arial"/>
          <w:sz w:val="16"/>
          <w:szCs w:val="16"/>
          <w:color w:val="auto"/>
        </w:rPr>
      </w:pPr>
    </w:p>
    <w:p>
      <w:pPr>
        <w:ind w:left="960" w:right="220" w:hanging="481"/>
        <w:spacing w:after="0" w:line="241" w:lineRule="auto"/>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establishing clinical and commercial manufacturing capabilities or making arrangements with third-party manufacturers in order to ensure that we or our third-party manufacturers are able to make product successfully;</w:t>
      </w:r>
    </w:p>
    <w:p>
      <w:pPr>
        <w:spacing w:after="0" w:line="173" w:lineRule="exact"/>
        <w:rPr>
          <w:rFonts w:ascii="Arial" w:cs="Arial" w:eastAsia="Arial" w:hAnsi="Arial"/>
          <w:sz w:val="16"/>
          <w:szCs w:val="16"/>
          <w:color w:val="auto"/>
        </w:rPr>
      </w:pPr>
    </w:p>
    <w:p>
      <w:pPr>
        <w:ind w:left="960" w:right="300" w:hanging="481"/>
        <w:spacing w:after="0" w:line="241" w:lineRule="auto"/>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development and timely delivery of clinical-grade and commercial-grade drug formulations that can be used in our clinical trials and for commercial launch;</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obtaining, maintaining, defending and enforcing patent claims and other intellectual property rights;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significant and changing government regulation;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launching commercial sales of our product candidates, if and when approved, whether alone or in collaboration with others; and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the product candidates following approval if any of our product candidates are approved.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06" w:lineRule="exact"/>
        <w:rPr>
          <w:sz w:val="20"/>
          <w:szCs w:val="20"/>
          <w:color w:val="auto"/>
        </w:rPr>
      </w:pPr>
    </w:p>
    <w:p>
      <w:pPr>
        <w:ind w:right="340" w:firstLine="436"/>
        <w:spacing w:after="0" w:line="239" w:lineRule="auto"/>
        <w:rPr>
          <w:sz w:val="20"/>
          <w:szCs w:val="20"/>
          <w:color w:val="auto"/>
        </w:rPr>
      </w:pPr>
      <w:r>
        <w:rPr>
          <w:rFonts w:ascii="Arial" w:cs="Arial" w:eastAsia="Arial" w:hAnsi="Arial"/>
          <w:sz w:val="16"/>
          <w:szCs w:val="16"/>
          <w:color w:val="auto"/>
        </w:rPr>
        <w:t>General and administrative expenses consist primarily of salaries and benefits, travel and share-based compensation expense for personnel in executive, business development, finance, human resources, legal and support personnel functions. General and administrative expenses also include insurance and professional fees for legal, patent, consulting, accounting and audit services.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We expect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being a public company.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consists of income recognized from investments in money market funds and U.S. Treasury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08" w:lineRule="exact"/>
        <w:rPr>
          <w:sz w:val="20"/>
          <w:szCs w:val="20"/>
          <w:color w:val="auto"/>
        </w:rPr>
      </w:pPr>
    </w:p>
    <w:p>
      <w:pPr>
        <w:ind w:right="160" w:firstLine="427"/>
        <w:spacing w:after="0" w:line="237" w:lineRule="auto"/>
        <w:rPr>
          <w:sz w:val="20"/>
          <w:szCs w:val="20"/>
          <w:color w:val="auto"/>
        </w:rPr>
      </w:pPr>
      <w:r>
        <w:rPr>
          <w:rFonts w:ascii="Arial" w:cs="Arial" w:eastAsia="Arial" w:hAnsi="Arial"/>
          <w:sz w:val="16"/>
          <w:szCs w:val="16"/>
          <w:color w:val="auto"/>
        </w:rPr>
        <w:t>As a company incorporated in Bermuda, we are principally subject to taxation in Bermuda. Under the current laws of Bermuda, tax on a company's income is assessed at a zero percent tax rate. As a result, we have not recorded any income tax benefits from our losses incurred in Bermuda during each reporting period, and no net operating loss carryforwards will be available to us for those losses. Our provision for income taxes relates to taxable income generated by our wholly owned U.S. subsidiary, Kiniksa Pharmaceuticals Corp., under a cost-plus arrangement with our parent company, Kiniksa Pharmaceuticals, Ltd. Kiniksa Pharmaceuticals Corp. is subject to federal and state income taxes in the United States.</w:t>
      </w:r>
    </w:p>
    <w:p>
      <w:pPr>
        <w:spacing w:after="0" w:line="189" w:lineRule="exact"/>
        <w:rPr>
          <w:sz w:val="20"/>
          <w:szCs w:val="20"/>
          <w:color w:val="auto"/>
        </w:rPr>
      </w:pPr>
    </w:p>
    <w:p>
      <w:pPr>
        <w:ind w:right="600" w:firstLine="427"/>
        <w:spacing w:after="0" w:line="241" w:lineRule="auto"/>
        <w:rPr>
          <w:sz w:val="20"/>
          <w:szCs w:val="20"/>
          <w:color w:val="auto"/>
        </w:rPr>
      </w:pPr>
      <w:r>
        <w:rPr>
          <w:rFonts w:ascii="Arial" w:cs="Arial" w:eastAsia="Arial" w:hAnsi="Arial"/>
          <w:sz w:val="16"/>
          <w:szCs w:val="16"/>
          <w:color w:val="auto"/>
        </w:rPr>
        <w:t>As of December 31, 2017, we had state research and development tax credit carryforwards of approximately $0.1 million available to reduce future tax liabilities, which begin to expire in 2031 through 2032.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March 31, 2017 and 2018</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results of operations for the three months ended March 31, 2017 and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Three Months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Ended March 31,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Change</w:t>
            </w: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(in thousands)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35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expenses:</w:t>
            </w:r>
          </w:p>
        </w:tc>
        <w:tc>
          <w:tcPr>
            <w:tcW w:w="2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3580" w:type="dxa"/>
            <w:vAlign w:val="bottom"/>
          </w:tcPr>
          <w:p>
            <w:pPr>
              <w:ind w:left="160"/>
              <w:spacing w:after="0" w:line="181" w:lineRule="exact"/>
              <w:rPr>
                <w:sz w:val="20"/>
                <w:szCs w:val="20"/>
                <w:color w:val="auto"/>
              </w:rPr>
            </w:pPr>
            <w:r>
              <w:rPr>
                <w:rFonts w:ascii="Arial" w:cs="Arial" w:eastAsia="Arial" w:hAnsi="Arial"/>
                <w:sz w:val="16"/>
                <w:szCs w:val="16"/>
                <w:color w:val="auto"/>
              </w:rPr>
              <w:t>Research and development</w:t>
            </w:r>
          </w:p>
        </w:tc>
        <w:tc>
          <w:tcPr>
            <w:tcW w:w="28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3,145</w:t>
            </w:r>
          </w:p>
        </w:tc>
        <w:tc>
          <w:tcPr>
            <w:tcW w:w="100" w:type="dxa"/>
            <w:vAlign w:val="bottom"/>
          </w:tcPr>
          <w:p>
            <w:pPr>
              <w:spacing w:after="0"/>
              <w:rPr>
                <w:sz w:val="15"/>
                <w:szCs w:val="15"/>
                <w:color w:val="auto"/>
              </w:rPr>
            </w:pPr>
          </w:p>
        </w:tc>
        <w:tc>
          <w:tcPr>
            <w:tcW w:w="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12,630</w:t>
            </w:r>
          </w:p>
        </w:tc>
        <w:tc>
          <w:tcPr>
            <w:tcW w:w="100" w:type="dxa"/>
            <w:vAlign w:val="bottom"/>
          </w:tcPr>
          <w:p>
            <w:pPr>
              <w:spacing w:after="0"/>
              <w:rPr>
                <w:sz w:val="15"/>
                <w:szCs w:val="15"/>
                <w:color w:val="auto"/>
              </w:rPr>
            </w:pPr>
          </w:p>
        </w:tc>
        <w:tc>
          <w:tcPr>
            <w:tcW w:w="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1" w:lineRule="exact"/>
              <w:rPr>
                <w:sz w:val="20"/>
                <w:szCs w:val="20"/>
                <w:color w:val="auto"/>
              </w:rPr>
            </w:pPr>
            <w:r>
              <w:rPr>
                <w:rFonts w:ascii="Arial" w:cs="Arial" w:eastAsia="Arial" w:hAnsi="Arial"/>
                <w:sz w:val="16"/>
                <w:szCs w:val="16"/>
                <w:color w:val="auto"/>
              </w:rPr>
              <w:t>9,485</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35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General and administrative</w:t>
            </w:r>
          </w:p>
        </w:tc>
        <w:tc>
          <w:tcPr>
            <w:tcW w:w="26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3,710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1,807</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80" w:type="dxa"/>
            <w:vAlign w:val="bottom"/>
          </w:tcPr>
          <w:p>
            <w:pPr>
              <w:ind w:left="320"/>
              <w:spacing w:after="0" w:line="173" w:lineRule="exact"/>
              <w:rPr>
                <w:sz w:val="20"/>
                <w:szCs w:val="20"/>
                <w:color w:val="auto"/>
              </w:rPr>
            </w:pPr>
            <w:r>
              <w:rPr>
                <w:rFonts w:ascii="Arial" w:cs="Arial" w:eastAsia="Arial" w:hAnsi="Arial"/>
                <w:sz w:val="16"/>
                <w:szCs w:val="16"/>
                <w:color w:val="auto"/>
              </w:rPr>
              <w:t>Total operating expenses</w:t>
            </w:r>
          </w:p>
        </w:tc>
        <w:tc>
          <w:tcPr>
            <w:tcW w:w="2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5,048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16,340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11,292</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from operations</w:t>
            </w:r>
          </w:p>
        </w:tc>
        <w:tc>
          <w:tcPr>
            <w:tcW w:w="2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(5,048)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(16,340)</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(11,292)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Interest income</w:t>
            </w:r>
          </w:p>
        </w:tc>
        <w:tc>
          <w:tcPr>
            <w:tcW w:w="2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231</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before provision for income taxes</w:t>
            </w:r>
          </w:p>
        </w:tc>
        <w:tc>
          <w:tcPr>
            <w:tcW w:w="2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(4,974)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(16,035)</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(11,061)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Benefit (provision) for income taxes</w:t>
            </w:r>
          </w:p>
        </w:tc>
        <w:tc>
          <w:tcPr>
            <w:tcW w:w="2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Net loss</w:t>
            </w:r>
          </w:p>
        </w:tc>
        <w:tc>
          <w:tcPr>
            <w:tcW w:w="2820" w:type="dxa"/>
            <w:vAlign w:val="bottom"/>
            <w:gridSpan w:val="2"/>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(4,941)</w:t>
            </w:r>
          </w:p>
        </w:tc>
        <w:tc>
          <w:tcPr>
            <w:tcW w:w="16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(15,982)</w:t>
            </w:r>
          </w:p>
        </w:tc>
        <w:tc>
          <w:tcPr>
            <w:tcW w:w="240" w:type="dxa"/>
            <w:vAlign w:val="bottom"/>
            <w:gridSpan w:val="2"/>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(11,041)</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20" w:type="dxa"/>
            <w:vAlign w:val="bottom"/>
            <w:vMerge w:val="restart"/>
          </w:tcPr>
          <w:p>
            <w:pPr>
              <w:jc w:val="right"/>
              <w:ind w:right="1462"/>
              <w:spacing w:after="0"/>
              <w:rPr>
                <w:sz w:val="20"/>
                <w:szCs w:val="20"/>
                <w:color w:val="auto"/>
              </w:rPr>
            </w:pPr>
            <w:r>
              <w:rPr>
                <w:rFonts w:ascii="Arial" w:cs="Arial" w:eastAsia="Arial" w:hAnsi="Arial"/>
                <w:sz w:val="16"/>
                <w:szCs w:val="16"/>
                <w:color w:val="auto"/>
              </w:rPr>
              <w:t>99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3580" w:type="dxa"/>
            <w:vAlign w:val="bottom"/>
            <w:tcBorders>
              <w:bottom w:val="single" w:sz="8" w:color="808080"/>
            </w:tcBorders>
          </w:tcPr>
          <w:p>
            <w:pPr>
              <w:spacing w:after="0"/>
              <w:rPr>
                <w:sz w:val="16"/>
                <w:szCs w:val="16"/>
                <w:color w:val="auto"/>
              </w:rPr>
            </w:pPr>
          </w:p>
        </w:tc>
        <w:tc>
          <w:tcPr>
            <w:tcW w:w="26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8"/>
              </w:rPr>
              <w:t>Three Months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rPr>
              <w:t>Ended March 31,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7"/>
        </w:trPr>
        <w:tc>
          <w:tcPr>
            <w:tcW w:w="65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7"/>
                <w:szCs w:val="17"/>
                <w:color w:val="auto"/>
              </w:rPr>
            </w:pPr>
          </w:p>
        </w:tc>
      </w:tr>
      <w:tr>
        <w:trPr>
          <w:trHeight w:val="193"/>
        </w:trPr>
        <w:tc>
          <w:tcPr>
            <w:tcW w:w="6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1"/>
        </w:trPr>
        <w:tc>
          <w:tcPr>
            <w:tcW w:w="6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Direct research and development expenses by program:</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6500" w:type="dxa"/>
            <w:vAlign w:val="bottom"/>
          </w:tcPr>
          <w:p>
            <w:pPr>
              <w:ind w:left="160"/>
              <w:spacing w:after="0" w:line="181" w:lineRule="exact"/>
              <w:rPr>
                <w:sz w:val="20"/>
                <w:szCs w:val="20"/>
                <w:color w:val="auto"/>
              </w:rPr>
            </w:pPr>
            <w:r>
              <w:rPr>
                <w:rFonts w:ascii="Arial" w:cs="Arial" w:eastAsia="Arial" w:hAnsi="Arial"/>
                <w:sz w:val="16"/>
                <w:szCs w:val="16"/>
                <w:color w:val="auto"/>
              </w:rPr>
              <w:t>Rilonacept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1,223</w:t>
            </w:r>
          </w:p>
        </w:tc>
        <w:tc>
          <w:tcPr>
            <w:tcW w:w="80" w:type="dxa"/>
            <w:vAlign w:val="bottom"/>
          </w:tcPr>
          <w:p>
            <w:pPr>
              <w:spacing w:after="0"/>
              <w:rPr>
                <w:sz w:val="15"/>
                <w:szCs w:val="15"/>
                <w:color w:val="auto"/>
              </w:rPr>
            </w:pPr>
          </w:p>
        </w:tc>
        <w:tc>
          <w:tcPr>
            <w:tcW w:w="1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1,223</w:t>
            </w:r>
          </w:p>
        </w:tc>
        <w:tc>
          <w:tcPr>
            <w:tcW w:w="140" w:type="dxa"/>
            <w:vAlign w:val="bottom"/>
          </w:tcPr>
          <w:p>
            <w:pPr>
              <w:spacing w:after="0"/>
              <w:rPr>
                <w:sz w:val="15"/>
                <w:szCs w:val="15"/>
                <w:color w:val="auto"/>
              </w:rPr>
            </w:pPr>
          </w:p>
        </w:tc>
      </w:tr>
      <w:tr>
        <w:trPr>
          <w:trHeight w:val="181"/>
        </w:trPr>
        <w:tc>
          <w:tcPr>
            <w:tcW w:w="65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Mavrilimumab</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278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278</w:t>
            </w:r>
          </w:p>
        </w:tc>
        <w:tc>
          <w:tcPr>
            <w:tcW w:w="140" w:type="dxa"/>
            <w:vAlign w:val="bottom"/>
            <w:shd w:val="clear" w:color="auto" w:fill="CCEEFF"/>
          </w:tcPr>
          <w:p>
            <w:pPr>
              <w:spacing w:after="0"/>
              <w:rPr>
                <w:sz w:val="15"/>
                <w:szCs w:val="15"/>
                <w:color w:val="auto"/>
              </w:rPr>
            </w:pPr>
          </w:p>
        </w:tc>
      </w:tr>
      <w:tr>
        <w:trPr>
          <w:trHeight w:val="181"/>
        </w:trPr>
        <w:tc>
          <w:tcPr>
            <w:tcW w:w="6500" w:type="dxa"/>
            <w:vAlign w:val="bottom"/>
          </w:tcPr>
          <w:p>
            <w:pPr>
              <w:ind w:left="160"/>
              <w:spacing w:after="0" w:line="181" w:lineRule="exact"/>
              <w:rPr>
                <w:sz w:val="20"/>
                <w:szCs w:val="20"/>
                <w:color w:val="auto"/>
              </w:rPr>
            </w:pPr>
            <w:r>
              <w:rPr>
                <w:rFonts w:ascii="Arial" w:cs="Arial" w:eastAsia="Arial" w:hAnsi="Arial"/>
                <w:sz w:val="16"/>
                <w:szCs w:val="16"/>
                <w:color w:val="auto"/>
              </w:rPr>
              <w:t>KPL-716</w:t>
            </w:r>
          </w:p>
        </w:tc>
        <w:tc>
          <w:tcPr>
            <w:tcW w:w="16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6"/>
                <w:szCs w:val="16"/>
                <w:color w:val="auto"/>
              </w:rPr>
              <w:t>2,201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7,215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5,014</w:t>
            </w:r>
          </w:p>
        </w:tc>
        <w:tc>
          <w:tcPr>
            <w:tcW w:w="140" w:type="dxa"/>
            <w:vAlign w:val="bottom"/>
          </w:tcPr>
          <w:p>
            <w:pPr>
              <w:spacing w:after="0"/>
              <w:rPr>
                <w:sz w:val="15"/>
                <w:szCs w:val="15"/>
                <w:color w:val="auto"/>
              </w:rPr>
            </w:pPr>
          </w:p>
        </w:tc>
      </w:tr>
      <w:tr>
        <w:trPr>
          <w:trHeight w:val="181"/>
        </w:trPr>
        <w:tc>
          <w:tcPr>
            <w:tcW w:w="65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KPL-045</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437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437</w:t>
            </w:r>
          </w:p>
        </w:tc>
        <w:tc>
          <w:tcPr>
            <w:tcW w:w="140" w:type="dxa"/>
            <w:vAlign w:val="bottom"/>
            <w:shd w:val="clear" w:color="auto" w:fill="CCEEFF"/>
          </w:tcPr>
          <w:p>
            <w:pPr>
              <w:spacing w:after="0"/>
              <w:rPr>
                <w:sz w:val="15"/>
                <w:szCs w:val="15"/>
                <w:color w:val="auto"/>
              </w:rPr>
            </w:pPr>
          </w:p>
        </w:tc>
      </w:tr>
      <w:tr>
        <w:trPr>
          <w:trHeight w:val="181"/>
        </w:trPr>
        <w:tc>
          <w:tcPr>
            <w:tcW w:w="6500" w:type="dxa"/>
            <w:vAlign w:val="bottom"/>
          </w:tcPr>
          <w:p>
            <w:pPr>
              <w:ind w:left="160"/>
              <w:spacing w:after="0" w:line="181" w:lineRule="exact"/>
              <w:rPr>
                <w:sz w:val="20"/>
                <w:szCs w:val="20"/>
                <w:color w:val="auto"/>
              </w:rPr>
            </w:pPr>
            <w:r>
              <w:rPr>
                <w:rFonts w:ascii="Arial" w:cs="Arial" w:eastAsia="Arial" w:hAnsi="Arial"/>
                <w:sz w:val="16"/>
                <w:szCs w:val="16"/>
                <w:color w:val="auto"/>
              </w:rPr>
              <w:t>KPL-404</w:t>
            </w:r>
          </w:p>
        </w:tc>
        <w:tc>
          <w:tcPr>
            <w:tcW w:w="16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374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374</w:t>
            </w:r>
          </w:p>
        </w:tc>
        <w:tc>
          <w:tcPr>
            <w:tcW w:w="140" w:type="dxa"/>
            <w:vAlign w:val="bottom"/>
          </w:tcPr>
          <w:p>
            <w:pPr>
              <w:spacing w:after="0"/>
              <w:rPr>
                <w:sz w:val="15"/>
                <w:szCs w:val="15"/>
                <w:color w:val="auto"/>
              </w:rPr>
            </w:pPr>
          </w:p>
        </w:tc>
      </w:tr>
      <w:tr>
        <w:trPr>
          <w:trHeight w:val="181"/>
        </w:trPr>
        <w:tc>
          <w:tcPr>
            <w:tcW w:w="6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Unallocated research and development expenses:</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6500" w:type="dxa"/>
            <w:vAlign w:val="bottom"/>
          </w:tcPr>
          <w:p>
            <w:pPr>
              <w:ind w:left="320"/>
              <w:spacing w:after="0" w:line="181" w:lineRule="exact"/>
              <w:rPr>
                <w:sz w:val="20"/>
                <w:szCs w:val="20"/>
                <w:color w:val="auto"/>
              </w:rPr>
            </w:pPr>
            <w:r>
              <w:rPr>
                <w:rFonts w:ascii="Arial" w:cs="Arial" w:eastAsia="Arial" w:hAnsi="Arial"/>
                <w:sz w:val="16"/>
                <w:szCs w:val="16"/>
                <w:color w:val="auto"/>
              </w:rPr>
              <w:t>Personnel related (including share-based compensation)</w:t>
            </w:r>
          </w:p>
        </w:tc>
        <w:tc>
          <w:tcPr>
            <w:tcW w:w="160" w:type="dxa"/>
            <w:vAlign w:val="bottom"/>
          </w:tcPr>
          <w:p>
            <w:pPr>
              <w:spacing w:after="0"/>
              <w:rPr>
                <w:sz w:val="15"/>
                <w:szCs w:val="15"/>
                <w:color w:val="auto"/>
              </w:rPr>
            </w:pPr>
          </w:p>
        </w:tc>
        <w:tc>
          <w:tcPr>
            <w:tcW w:w="480" w:type="dxa"/>
            <w:vAlign w:val="bottom"/>
          </w:tcPr>
          <w:p>
            <w:pPr>
              <w:jc w:val="right"/>
              <w:spacing w:after="0" w:line="181" w:lineRule="exact"/>
              <w:rPr>
                <w:sz w:val="20"/>
                <w:szCs w:val="20"/>
                <w:color w:val="auto"/>
              </w:rPr>
            </w:pPr>
            <w:r>
              <w:rPr>
                <w:rFonts w:ascii="Arial" w:cs="Arial" w:eastAsia="Arial" w:hAnsi="Arial"/>
                <w:sz w:val="16"/>
                <w:szCs w:val="16"/>
                <w:color w:val="auto"/>
              </w:rPr>
              <w:t>738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2,457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1,719</w:t>
            </w:r>
          </w:p>
        </w:tc>
        <w:tc>
          <w:tcPr>
            <w:tcW w:w="140" w:type="dxa"/>
            <w:vAlign w:val="bottom"/>
          </w:tcPr>
          <w:p>
            <w:pPr>
              <w:spacing w:after="0"/>
              <w:rPr>
                <w:sz w:val="15"/>
                <w:szCs w:val="15"/>
                <w:color w:val="auto"/>
              </w:rPr>
            </w:pPr>
          </w:p>
        </w:tc>
      </w:tr>
      <w:tr>
        <w:trPr>
          <w:trHeight w:val="181"/>
        </w:trPr>
        <w:tc>
          <w:tcPr>
            <w:tcW w:w="6500" w:type="dxa"/>
            <w:vAlign w:val="bottom"/>
            <w:shd w:val="clear" w:color="auto" w:fill="CCEEFF"/>
          </w:tcPr>
          <w:p>
            <w:pPr>
              <w:ind w:left="320"/>
              <w:spacing w:after="0" w:line="181" w:lineRule="exact"/>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206</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646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440</w:t>
            </w:r>
          </w:p>
        </w:tc>
        <w:tc>
          <w:tcPr>
            <w:tcW w:w="140" w:type="dxa"/>
            <w:vAlign w:val="bottom"/>
            <w:shd w:val="clear" w:color="auto" w:fill="CCEEFF"/>
          </w:tcPr>
          <w:p>
            <w:pPr>
              <w:spacing w:after="0"/>
              <w:rPr>
                <w:sz w:val="15"/>
                <w:szCs w:val="15"/>
                <w:color w:val="auto"/>
              </w:rPr>
            </w:pPr>
          </w:p>
        </w:tc>
      </w:tr>
      <w:tr>
        <w:trPr>
          <w:trHeight w:val="173"/>
        </w:trPr>
        <w:tc>
          <w:tcPr>
            <w:tcW w:w="6500" w:type="dxa"/>
            <w:vAlign w:val="bottom"/>
          </w:tcPr>
          <w:p>
            <w:pPr>
              <w:ind w:left="480"/>
              <w:spacing w:after="0" w:line="173" w:lineRule="exact"/>
              <w:rPr>
                <w:sz w:val="20"/>
                <w:szCs w:val="20"/>
                <w:color w:val="auto"/>
              </w:rPr>
            </w:pPr>
            <w:r>
              <w:rPr>
                <w:rFonts w:ascii="Arial" w:cs="Arial" w:eastAsia="Arial" w:hAnsi="Arial"/>
                <w:sz w:val="16"/>
                <w:szCs w:val="16"/>
                <w:color w:val="auto"/>
              </w:rPr>
              <w:t>Total research and development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rPr>
              <w:t>3,145</w:t>
            </w:r>
          </w:p>
        </w:tc>
        <w:tc>
          <w:tcPr>
            <w:tcW w:w="2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3" w:lineRule="exact"/>
              <w:rPr>
                <w:sz w:val="20"/>
                <w:szCs w:val="20"/>
                <w:color w:val="auto"/>
              </w:rPr>
            </w:pPr>
            <w:r>
              <w:rPr>
                <w:rFonts w:ascii="Arial" w:cs="Arial" w:eastAsia="Arial" w:hAnsi="Arial"/>
                <w:sz w:val="16"/>
                <w:szCs w:val="16"/>
                <w:color w:val="auto"/>
              </w:rPr>
              <w:t>12,630</w:t>
            </w:r>
          </w:p>
        </w:tc>
        <w:tc>
          <w:tcPr>
            <w:tcW w:w="80" w:type="dxa"/>
            <w:vAlign w:val="bottom"/>
          </w:tcPr>
          <w:p>
            <w:pPr>
              <w:spacing w:after="0"/>
              <w:rPr>
                <w:sz w:val="15"/>
                <w:szCs w:val="15"/>
                <w:color w:val="auto"/>
              </w:rPr>
            </w:pPr>
          </w:p>
        </w:tc>
        <w:tc>
          <w:tcPr>
            <w:tcW w:w="18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73" w:lineRule="exact"/>
              <w:rPr>
                <w:sz w:val="20"/>
                <w:szCs w:val="20"/>
                <w:color w:val="auto"/>
              </w:rPr>
            </w:pPr>
            <w:r>
              <w:rPr>
                <w:rFonts w:ascii="Arial" w:cs="Arial" w:eastAsia="Arial" w:hAnsi="Arial"/>
                <w:sz w:val="16"/>
                <w:szCs w:val="16"/>
                <w:color w:val="auto"/>
              </w:rPr>
              <w:t>9,485</w:t>
            </w:r>
          </w:p>
        </w:tc>
        <w:tc>
          <w:tcPr>
            <w:tcW w:w="140" w:type="dxa"/>
            <w:vAlign w:val="bottom"/>
          </w:tcPr>
          <w:p>
            <w:pPr>
              <w:spacing w:after="0"/>
              <w:rPr>
                <w:sz w:val="15"/>
                <w:szCs w:val="15"/>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Research and development expenses were $12.6 million for the three months ended March 31, 2018, compared to $3.1 million for the three months ended March 31, 2017. The increase of $9.5 million was primarily due to an increase in external fees related to our development programs, of which there were five in 2018 and one in 2017, as well as an increase of $2.2 million in unallocated research and development expenses.</w:t>
      </w:r>
    </w:p>
    <w:p>
      <w:pPr>
        <w:spacing w:after="0" w:line="186" w:lineRule="exact"/>
        <w:rPr>
          <w:sz w:val="20"/>
          <w:szCs w:val="20"/>
          <w:color w:val="auto"/>
        </w:rPr>
      </w:pPr>
    </w:p>
    <w:p>
      <w:pPr>
        <w:ind w:right="260" w:firstLine="433"/>
        <w:spacing w:after="0" w:line="239" w:lineRule="auto"/>
        <w:rPr>
          <w:sz w:val="20"/>
          <w:szCs w:val="20"/>
          <w:color w:val="auto"/>
        </w:rPr>
      </w:pPr>
      <w:r>
        <w:rPr>
          <w:rFonts w:ascii="Arial" w:cs="Arial" w:eastAsia="Arial" w:hAnsi="Arial"/>
          <w:sz w:val="16"/>
          <w:szCs w:val="16"/>
          <w:color w:val="auto"/>
        </w:rPr>
        <w:t>The direct costs of $1.2 million for our rilonacept program during the three months ended March 31, 2018 were due to expenses related to clinical research and development with our open-label Phase 2 proof-of-concept clinical trial. We had no direct costs for our rilonacept program during the three months ended March 31, 2017.</w:t>
      </w:r>
    </w:p>
    <w:p>
      <w:pPr>
        <w:spacing w:after="0" w:line="186" w:lineRule="exact"/>
        <w:rPr>
          <w:sz w:val="20"/>
          <w:szCs w:val="20"/>
          <w:color w:val="auto"/>
        </w:rPr>
      </w:pPr>
    </w:p>
    <w:p>
      <w:pPr>
        <w:ind w:right="480" w:firstLine="433"/>
        <w:spacing w:after="0" w:line="273" w:lineRule="auto"/>
        <w:rPr>
          <w:sz w:val="20"/>
          <w:szCs w:val="20"/>
          <w:color w:val="auto"/>
        </w:rPr>
      </w:pPr>
      <w:r>
        <w:rPr>
          <w:rFonts w:ascii="Arial" w:cs="Arial" w:eastAsia="Arial" w:hAnsi="Arial"/>
          <w:sz w:val="15"/>
          <w:szCs w:val="15"/>
          <w:color w:val="auto"/>
        </w:rPr>
        <w:t>The direct costs of $0.3 million for our mavrilimumab program during the three months ended March 31, 2018 were due to expenses related primarily to preparation for our planned Phase 2 clinical trial. We had no direct costs for our mavrilimumab program during the three months ended March 31, 2017.</w:t>
      </w:r>
    </w:p>
    <w:p>
      <w:pPr>
        <w:spacing w:after="0" w:line="162" w:lineRule="exact"/>
        <w:rPr>
          <w:sz w:val="20"/>
          <w:szCs w:val="20"/>
          <w:color w:val="auto"/>
        </w:rPr>
      </w:pPr>
    </w:p>
    <w:p>
      <w:pPr>
        <w:ind w:right="120" w:firstLine="433"/>
        <w:spacing w:after="0" w:line="238" w:lineRule="auto"/>
        <w:rPr>
          <w:sz w:val="20"/>
          <w:szCs w:val="20"/>
          <w:color w:val="auto"/>
        </w:rPr>
      </w:pPr>
      <w:r>
        <w:rPr>
          <w:rFonts w:ascii="Arial" w:cs="Arial" w:eastAsia="Arial" w:hAnsi="Arial"/>
          <w:sz w:val="16"/>
          <w:szCs w:val="16"/>
          <w:color w:val="auto"/>
        </w:rPr>
        <w:t>The direct costs of our KPL-716 program were $7.2 million during the three months ended March 31, 2018, compared to $2.2 million during the three months ended March 31, 2017. The increase in $5.0 million in direct costs for our KPL-716 program during the three months ended March 31, 2018 was primarily due to increased expenses related to our Phase 1a/1b clinical trial and our LOTUS-PN observational study including manufacturing and development costs related to clinical drug supply, partially offset by a decrease in other research and development studies related to this program.</w:t>
      </w:r>
    </w:p>
    <w:p>
      <w:pPr>
        <w:spacing w:after="0" w:line="187" w:lineRule="exact"/>
        <w:rPr>
          <w:sz w:val="20"/>
          <w:szCs w:val="20"/>
          <w:color w:val="auto"/>
        </w:rPr>
      </w:pPr>
    </w:p>
    <w:p>
      <w:pPr>
        <w:ind w:right="120" w:firstLine="433"/>
        <w:spacing w:after="0" w:line="239" w:lineRule="auto"/>
        <w:rPr>
          <w:sz w:val="20"/>
          <w:szCs w:val="20"/>
          <w:color w:val="auto"/>
        </w:rPr>
      </w:pPr>
      <w:r>
        <w:rPr>
          <w:rFonts w:ascii="Arial" w:cs="Arial" w:eastAsia="Arial" w:hAnsi="Arial"/>
          <w:sz w:val="16"/>
          <w:szCs w:val="16"/>
          <w:color w:val="auto"/>
        </w:rPr>
        <w:t>The direct costs of $0.4 million for our KPL-045 program during the three months ended March 31, 2018 were due to $0.2 million of direct costs related to clinical research and development as well as a $0.2 million payment related to technology transfer under our agreement with Novo Nordisk. We had no direct costs for our KPL-045 program during the three months ended March 31, 2017.</w:t>
      </w:r>
    </w:p>
    <w:p>
      <w:pPr>
        <w:spacing w:after="0" w:line="186" w:lineRule="exact"/>
        <w:rPr>
          <w:sz w:val="20"/>
          <w:szCs w:val="20"/>
          <w:color w:val="auto"/>
        </w:rPr>
      </w:pPr>
    </w:p>
    <w:p>
      <w:pPr>
        <w:ind w:right="20" w:firstLine="433"/>
        <w:spacing w:after="0" w:line="241" w:lineRule="auto"/>
        <w:rPr>
          <w:sz w:val="20"/>
          <w:szCs w:val="20"/>
          <w:color w:val="auto"/>
        </w:rPr>
      </w:pPr>
      <w:r>
        <w:rPr>
          <w:rFonts w:ascii="Arial" w:cs="Arial" w:eastAsia="Arial" w:hAnsi="Arial"/>
          <w:sz w:val="16"/>
          <w:szCs w:val="16"/>
          <w:color w:val="auto"/>
        </w:rPr>
        <w:t>The direct costs of $0.4 million for our KPL-404 program during the three months ended March 31, 2018 were due to expenses related to clinical research and development, including manufacturing development. We had no direct costs for our KPL-404 program during the three months ended March 31, 2017.</w:t>
      </w:r>
    </w:p>
    <w:p>
      <w:pPr>
        <w:spacing w:after="0" w:line="185" w:lineRule="exact"/>
        <w:rPr>
          <w:sz w:val="20"/>
          <w:szCs w:val="20"/>
          <w:color w:val="auto"/>
        </w:rPr>
      </w:pPr>
    </w:p>
    <w:p>
      <w:pPr>
        <w:ind w:right="40" w:firstLine="436"/>
        <w:spacing w:after="0" w:line="241" w:lineRule="auto"/>
        <w:rPr>
          <w:sz w:val="20"/>
          <w:szCs w:val="20"/>
          <w:color w:val="auto"/>
        </w:rPr>
      </w:pPr>
      <w:r>
        <w:rPr>
          <w:rFonts w:ascii="Arial" w:cs="Arial" w:eastAsia="Arial" w:hAnsi="Arial"/>
          <w:sz w:val="16"/>
          <w:szCs w:val="16"/>
          <w:color w:val="auto"/>
        </w:rPr>
        <w:t>Unallocated research and development expenses were $3.1 million for the three months ended March 31, 2018 compared to $0.9 million for the three months ended March 31, 2017. The increase of $2.2 million in unallocated research and development expenses was due to an increase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of $1.7 million in personnel-related costs, including share-based compensation, and an increase of $0.4 million in other costs. The increase in personnel-related costs was primarily due to the hiring of additional personnel in our research and development functions, particularly those responsible for coordinating with CMOs on development and manufacturing of drug supply and coordinating with CROs on the conduct and oversight of our current and planned clinical trials as well as research studies and development programs for our product candidates. Personnel-related costs for the three months ended March 31, 2018 and 2017 included share-based compensation of $0.2 million and $29,700, respectively. The increase in other costs was primarily due to a $0.2 million increase in professional fees, a $0.1 million increase in travel expenses and a $0.1 million increase in certain allocated facilities-related costs.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06"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General and administrative expenses were $3.7 million for the three months ended March 31, 2018 compared to $1.9 million for the three months ended March 31, 2017. The increase of $1.8 million was due to increases of $0.7 million in personnel-related costs and $1.1 million in professional fees. The increase in personnel-related costs was due to the hiring of additional personnel in our general and administrative functions, primarily in our corporate, finance and human resources departments, as we continued to expand our operations to support the organization. Personnel-related costs for the three months ended March 31, 2018 and 2017 included share-based compensation of $0.4 million and $0.1 million, respectively. Professional fees increased due to legal costs incurred in connection with maintaining and registering worldwide patents and costs associated with our ongoing business operations, as well as higher accounting, recruiting and market research expenses.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Income</w:t>
      </w:r>
    </w:p>
    <w:p>
      <w:pPr>
        <w:spacing w:after="0" w:line="206" w:lineRule="exact"/>
        <w:rPr>
          <w:sz w:val="20"/>
          <w:szCs w:val="20"/>
          <w:color w:val="auto"/>
        </w:rPr>
      </w:pPr>
    </w:p>
    <w:p>
      <w:pPr>
        <w:ind w:right="480" w:firstLine="436"/>
        <w:spacing w:after="0" w:line="241" w:lineRule="auto"/>
        <w:rPr>
          <w:sz w:val="20"/>
          <w:szCs w:val="20"/>
          <w:color w:val="auto"/>
        </w:rPr>
      </w:pPr>
      <w:r>
        <w:rPr>
          <w:rFonts w:ascii="Arial" w:cs="Arial" w:eastAsia="Arial" w:hAnsi="Arial"/>
          <w:sz w:val="16"/>
          <w:szCs w:val="16"/>
          <w:color w:val="auto"/>
        </w:rPr>
        <w:t>Interest income was $0.3 million for the three months ended March 31, 2018 compared to $0.1 million for the three months ended March 31, 2017. The increase was due to both higher average invested cash balances and higher interest rates on U.S. Treasury securities in 2018.</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Benefit (Provision) for Income Taxes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recorded an insignificant benefit for income taxes for the three months ended March 31, 2018 and 2017.</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Years Ended December 31, 2016 and 2017</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results of operations for the years ended December 31, 2016 and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7"/>
              </w:rPr>
              <w:t>Year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7"/>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3"/>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Change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8"/>
          </w:tcPr>
          <w:p>
            <w:pPr>
              <w:jc w:val="right"/>
              <w:ind w:right="180"/>
              <w:spacing w:after="0"/>
              <w:rPr>
                <w:sz w:val="20"/>
                <w:szCs w:val="20"/>
                <w:color w:val="auto"/>
              </w:rPr>
            </w:pPr>
            <w:r>
              <w:rPr>
                <w:rFonts w:ascii="Arial" w:cs="Arial" w:eastAsia="Arial" w:hAnsi="Arial"/>
                <w:sz w:val="16"/>
                <w:szCs w:val="16"/>
                <w:b w:val="1"/>
                <w:bCs w:val="1"/>
                <w:color w:val="auto"/>
                <w:w w:val="96"/>
              </w:rPr>
              <w:t>(in thousands)</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expenses: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tcPr>
          <w:p>
            <w:pPr>
              <w:ind w:left="160"/>
              <w:spacing w:after="0" w:line="181" w:lineRule="exact"/>
              <w:rPr>
                <w:sz w:val="20"/>
                <w:szCs w:val="20"/>
                <w:color w:val="auto"/>
              </w:rPr>
            </w:pPr>
            <w:r>
              <w:rPr>
                <w:rFonts w:ascii="Arial" w:cs="Arial" w:eastAsia="Arial" w:hAnsi="Arial"/>
                <w:sz w:val="16"/>
                <w:szCs w:val="16"/>
                <w:color w:val="auto"/>
              </w:rPr>
              <w:t>Research and development</w:t>
            </w:r>
          </w:p>
        </w:tc>
        <w:tc>
          <w:tcPr>
            <w:tcW w:w="1140" w:type="dxa"/>
            <w:vAlign w:val="bottom"/>
            <w:gridSpan w:val="2"/>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17,439</w:t>
            </w:r>
          </w:p>
        </w:tc>
        <w:tc>
          <w:tcPr>
            <w:tcW w:w="60" w:type="dxa"/>
            <w:vAlign w:val="bottom"/>
          </w:tcPr>
          <w:p>
            <w:pPr>
              <w:spacing w:after="0"/>
              <w:rPr>
                <w:sz w:val="15"/>
                <w:szCs w:val="15"/>
                <w:color w:val="auto"/>
              </w:rPr>
            </w:pPr>
          </w:p>
        </w:tc>
        <w:tc>
          <w:tcPr>
            <w:tcW w:w="180" w:type="dxa"/>
            <w:vAlign w:val="bottom"/>
            <w:gridSpan w:val="2"/>
          </w:tcPr>
          <w:p>
            <w:pPr>
              <w:jc w:val="center"/>
              <w:spacing w:after="0" w:line="181" w:lineRule="exact"/>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color w:val="auto"/>
                <w:w w:val="98"/>
              </w:rPr>
              <w:t>56,357</w:t>
            </w:r>
          </w:p>
        </w:tc>
        <w:tc>
          <w:tcPr>
            <w:tcW w:w="120" w:type="dxa"/>
            <w:vAlign w:val="bottom"/>
          </w:tcPr>
          <w:p>
            <w:pPr>
              <w:spacing w:after="0"/>
              <w:rPr>
                <w:sz w:val="15"/>
                <w:szCs w:val="15"/>
                <w:color w:val="auto"/>
              </w:rPr>
            </w:pPr>
          </w:p>
        </w:tc>
        <w:tc>
          <w:tcPr>
            <w:tcW w:w="1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38,918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General and administrative</w:t>
            </w:r>
          </w:p>
        </w:tc>
        <w:tc>
          <w:tcPr>
            <w:tcW w:w="9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3"/>
            <w:shd w:val="clear" w:color="auto" w:fill="CCEEFF"/>
          </w:tcPr>
          <w:p>
            <w:pPr>
              <w:jc w:val="right"/>
              <w:spacing w:after="0" w:line="181" w:lineRule="exact"/>
              <w:rPr>
                <w:sz w:val="20"/>
                <w:szCs w:val="20"/>
                <w:color w:val="auto"/>
              </w:rPr>
            </w:pPr>
            <w:r>
              <w:rPr>
                <w:rFonts w:ascii="Arial" w:cs="Arial" w:eastAsia="Arial" w:hAnsi="Arial"/>
                <w:sz w:val="16"/>
                <w:szCs w:val="16"/>
                <w:color w:val="auto"/>
              </w:rPr>
              <w:t>6,563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9,043</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2,480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tcPr>
          <w:p>
            <w:pPr>
              <w:ind w:left="320"/>
              <w:spacing w:after="0" w:line="173" w:lineRule="exact"/>
              <w:rPr>
                <w:sz w:val="20"/>
                <w:szCs w:val="20"/>
                <w:color w:val="auto"/>
              </w:rPr>
            </w:pPr>
            <w:r>
              <w:rPr>
                <w:rFonts w:ascii="Arial" w:cs="Arial" w:eastAsia="Arial" w:hAnsi="Arial"/>
                <w:sz w:val="16"/>
                <w:szCs w:val="16"/>
                <w:color w:val="auto"/>
              </w:rPr>
              <w:t>Total operating expenses</w:t>
            </w:r>
          </w:p>
        </w:tc>
        <w:tc>
          <w:tcPr>
            <w:tcW w:w="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right"/>
              <w:spacing w:after="0" w:line="173" w:lineRule="exact"/>
              <w:rPr>
                <w:sz w:val="20"/>
                <w:szCs w:val="20"/>
                <w:color w:val="auto"/>
              </w:rPr>
            </w:pPr>
            <w:r>
              <w:rPr>
                <w:rFonts w:ascii="Arial" w:cs="Arial" w:eastAsia="Arial" w:hAnsi="Arial"/>
                <w:sz w:val="16"/>
                <w:szCs w:val="16"/>
                <w:color w:val="auto"/>
              </w:rPr>
              <w:t>24,002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w w:val="98"/>
              </w:rPr>
              <w:t>65,400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41,398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from operations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(24,002)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(65,400)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(41,398)</w:t>
            </w:r>
          </w:p>
        </w:tc>
        <w:tc>
          <w:tcPr>
            <w:tcW w:w="0" w:type="dxa"/>
            <w:vAlign w:val="bottom"/>
          </w:tcPr>
          <w:p>
            <w:pPr>
              <w:spacing w:after="0"/>
              <w:rPr>
                <w:sz w:val="1"/>
                <w:szCs w:val="1"/>
                <w:color w:val="auto"/>
              </w:rPr>
            </w:pPr>
          </w:p>
        </w:tc>
      </w:tr>
      <w:tr>
        <w:trPr>
          <w:trHeight w:val="181"/>
        </w:trPr>
        <w:tc>
          <w:tcPr>
            <w:tcW w:w="632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Interest income</w:t>
            </w:r>
          </w:p>
        </w:tc>
        <w:tc>
          <w:tcPr>
            <w:tcW w:w="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right"/>
              <w:spacing w:after="0" w:line="181" w:lineRule="exact"/>
              <w:rPr>
                <w:sz w:val="20"/>
                <w:szCs w:val="20"/>
                <w:color w:val="auto"/>
              </w:rPr>
            </w:pPr>
            <w:r>
              <w:rPr>
                <w:rFonts w:ascii="Arial" w:cs="Arial" w:eastAsia="Arial" w:hAnsi="Arial"/>
                <w:sz w:val="16"/>
                <w:szCs w:val="16"/>
                <w:color w:val="auto"/>
              </w:rPr>
              <w:t>65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464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before provision for income taxes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(23,937)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(64,871)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(40,934)</w:t>
            </w:r>
          </w:p>
        </w:tc>
        <w:tc>
          <w:tcPr>
            <w:tcW w:w="0" w:type="dxa"/>
            <w:vAlign w:val="bottom"/>
          </w:tcPr>
          <w:p>
            <w:pPr>
              <w:spacing w:after="0"/>
              <w:rPr>
                <w:sz w:val="1"/>
                <w:szCs w:val="1"/>
                <w:color w:val="auto"/>
              </w:rPr>
            </w:pPr>
          </w:p>
        </w:tc>
      </w:tr>
      <w:tr>
        <w:trPr>
          <w:trHeight w:val="181"/>
        </w:trPr>
        <w:tc>
          <w:tcPr>
            <w:tcW w:w="632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Provision for income taxes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4"/>
          </w:tcPr>
          <w:p>
            <w:pPr>
              <w:jc w:val="right"/>
              <w:ind w:right="20"/>
              <w:spacing w:after="0" w:line="181" w:lineRule="exact"/>
              <w:rPr>
                <w:sz w:val="20"/>
                <w:szCs w:val="20"/>
                <w:color w:val="auto"/>
              </w:rPr>
            </w:pPr>
            <w:r>
              <w:rPr>
                <w:rFonts w:ascii="Arial" w:cs="Arial" w:eastAsia="Arial" w:hAnsi="Arial"/>
                <w:sz w:val="16"/>
                <w:szCs w:val="16"/>
                <w:color w:val="auto"/>
              </w:rPr>
              <w:t>(36)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Net loss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2"/>
              <w:spacing w:after="0" w:line="173" w:lineRule="exact"/>
              <w:rPr>
                <w:sz w:val="20"/>
                <w:szCs w:val="20"/>
                <w:color w:val="auto"/>
              </w:rPr>
            </w:pPr>
            <w:r>
              <w:rPr>
                <w:rFonts w:ascii="Arial" w:cs="Arial" w:eastAsia="Arial" w:hAnsi="Arial"/>
                <w:sz w:val="16"/>
                <w:szCs w:val="16"/>
                <w:color w:val="auto"/>
                <w:w w:val="89"/>
              </w:rPr>
              <w:t>$</w:t>
            </w:r>
          </w:p>
        </w:tc>
        <w:tc>
          <w:tcPr>
            <w:tcW w:w="720" w:type="dxa"/>
            <w:vAlign w:val="bottom"/>
            <w:gridSpan w:val="4"/>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(23,973)</w:t>
            </w:r>
          </w:p>
        </w:tc>
        <w:tc>
          <w:tcPr>
            <w:tcW w:w="180" w:type="dxa"/>
            <w:vAlign w:val="bottom"/>
            <w:gridSpan w:val="2"/>
            <w:shd w:val="clear" w:color="auto" w:fill="CCEEFF"/>
          </w:tcPr>
          <w:p>
            <w:pPr>
              <w:jc w:val="center"/>
              <w:spacing w:after="0" w:line="173" w:lineRule="exact"/>
              <w:rPr>
                <w:sz w:val="20"/>
                <w:szCs w:val="20"/>
                <w:color w:val="auto"/>
              </w:rPr>
            </w:pPr>
            <w:r>
              <w:rPr>
                <w:rFonts w:ascii="Arial" w:cs="Arial" w:eastAsia="Arial" w:hAnsi="Arial"/>
                <w:sz w:val="16"/>
                <w:szCs w:val="16"/>
                <w:color w:val="auto"/>
                <w:w w:val="89"/>
              </w:rPr>
              <w:t>$</w:t>
            </w:r>
          </w:p>
        </w:tc>
        <w:tc>
          <w:tcPr>
            <w:tcW w:w="880" w:type="dxa"/>
            <w:vAlign w:val="bottom"/>
            <w:gridSpan w:val="4"/>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(64,873)</w:t>
            </w:r>
          </w:p>
        </w:tc>
        <w:tc>
          <w:tcPr>
            <w:tcW w:w="1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(40,900)</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3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1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8"/>
          </w:tcPr>
          <w:p>
            <w:pPr>
              <w:jc w:val="right"/>
              <w:ind w:right="300"/>
              <w:spacing w:after="0"/>
              <w:rPr>
                <w:sz w:val="20"/>
                <w:szCs w:val="20"/>
                <w:color w:val="auto"/>
              </w:rPr>
            </w:pPr>
            <w:r>
              <w:rPr>
                <w:rFonts w:ascii="Arial" w:cs="Arial" w:eastAsia="Arial" w:hAnsi="Arial"/>
                <w:sz w:val="16"/>
                <w:szCs w:val="16"/>
                <w:b w:val="1"/>
                <w:bCs w:val="1"/>
                <w:color w:val="auto"/>
              </w:rPr>
              <w:t>Year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Change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Direct research and development expenses by program:</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tcPr>
          <w:p>
            <w:pPr>
              <w:ind w:left="160"/>
              <w:spacing w:after="0" w:line="181" w:lineRule="exact"/>
              <w:rPr>
                <w:sz w:val="20"/>
                <w:szCs w:val="20"/>
                <w:color w:val="auto"/>
              </w:rPr>
            </w:pPr>
            <w:r>
              <w:rPr>
                <w:rFonts w:ascii="Arial" w:cs="Arial" w:eastAsia="Arial" w:hAnsi="Arial"/>
                <w:sz w:val="16"/>
                <w:szCs w:val="16"/>
                <w:color w:val="auto"/>
              </w:rPr>
              <w:t>Rilonacept</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3"/>
          </w:tcPr>
          <w:p>
            <w:pPr>
              <w:jc w:val="right"/>
              <w:ind w:right="322"/>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80" w:type="dxa"/>
            <w:vAlign w:val="bottom"/>
            <w:gridSpan w:val="2"/>
          </w:tcPr>
          <w:p>
            <w:pPr>
              <w:jc w:val="right"/>
              <w:spacing w:after="0" w:line="181" w:lineRule="exact"/>
              <w:rPr>
                <w:sz w:val="20"/>
                <w:szCs w:val="20"/>
                <w:color w:val="auto"/>
              </w:rPr>
            </w:pPr>
            <w:r>
              <w:rPr>
                <w:rFonts w:ascii="Arial" w:cs="Arial" w:eastAsia="Arial" w:hAnsi="Arial"/>
                <w:sz w:val="16"/>
                <w:szCs w:val="16"/>
                <w:color w:val="auto"/>
                <w:w w:val="99"/>
              </w:rPr>
              <w:t>—</w:t>
            </w:r>
          </w:p>
        </w:tc>
        <w:tc>
          <w:tcPr>
            <w:tcW w:w="2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6,301</w:t>
            </w:r>
          </w:p>
        </w:tc>
        <w:tc>
          <w:tcPr>
            <w:tcW w:w="280" w:type="dxa"/>
            <w:vAlign w:val="bottom"/>
            <w:gridSpan w:val="3"/>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6,301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Mavrilimumab</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18,000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tcPr>
          <w:p>
            <w:pPr>
              <w:ind w:left="160"/>
              <w:spacing w:after="0" w:line="181" w:lineRule="exact"/>
              <w:rPr>
                <w:sz w:val="20"/>
                <w:szCs w:val="20"/>
                <w:color w:val="auto"/>
              </w:rPr>
            </w:pPr>
            <w:r>
              <w:rPr>
                <w:rFonts w:ascii="Arial" w:cs="Arial" w:eastAsia="Arial" w:hAnsi="Arial"/>
                <w:sz w:val="16"/>
                <w:szCs w:val="16"/>
                <w:color w:val="auto"/>
              </w:rPr>
              <w:t>KPL-716</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6"/>
          </w:tcPr>
          <w:p>
            <w:pPr>
              <w:jc w:val="right"/>
              <w:spacing w:after="0" w:line="181" w:lineRule="exact"/>
              <w:rPr>
                <w:sz w:val="20"/>
                <w:szCs w:val="20"/>
                <w:color w:val="auto"/>
              </w:rPr>
            </w:pPr>
            <w:r>
              <w:rPr>
                <w:rFonts w:ascii="Arial" w:cs="Arial" w:eastAsia="Arial" w:hAnsi="Arial"/>
                <w:sz w:val="16"/>
                <w:szCs w:val="16"/>
                <w:color w:val="auto"/>
              </w:rPr>
              <w:t>14,870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24,164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9,294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KPL-045</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1,654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1,654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tcPr>
          <w:p>
            <w:pPr>
              <w:ind w:left="160"/>
              <w:spacing w:after="0" w:line="181" w:lineRule="exact"/>
              <w:rPr>
                <w:sz w:val="20"/>
                <w:szCs w:val="20"/>
                <w:color w:val="auto"/>
              </w:rPr>
            </w:pPr>
            <w:r>
              <w:rPr>
                <w:rFonts w:ascii="Arial" w:cs="Arial" w:eastAsia="Arial" w:hAnsi="Arial"/>
                <w:sz w:val="16"/>
                <w:szCs w:val="16"/>
                <w:color w:val="auto"/>
              </w:rPr>
              <w:t>KPL-404</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jc w:val="right"/>
              <w:spacing w:after="0" w:line="181" w:lineRule="exact"/>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549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549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Unallocated research and development expenses: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tcPr>
          <w:p>
            <w:pPr>
              <w:ind w:left="320"/>
              <w:spacing w:after="0" w:line="181" w:lineRule="exact"/>
              <w:rPr>
                <w:sz w:val="20"/>
                <w:szCs w:val="20"/>
                <w:color w:val="auto"/>
              </w:rPr>
            </w:pPr>
            <w:r>
              <w:rPr>
                <w:rFonts w:ascii="Arial" w:cs="Arial" w:eastAsia="Arial" w:hAnsi="Arial"/>
                <w:sz w:val="16"/>
                <w:szCs w:val="16"/>
                <w:color w:val="auto"/>
              </w:rPr>
              <w:t>Personnel related (including share-based compensation)</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6"/>
          </w:tcPr>
          <w:p>
            <w:pPr>
              <w:jc w:val="right"/>
              <w:spacing w:after="0" w:line="181" w:lineRule="exact"/>
              <w:rPr>
                <w:sz w:val="20"/>
                <w:szCs w:val="20"/>
                <w:color w:val="auto"/>
              </w:rPr>
            </w:pPr>
            <w:r>
              <w:rPr>
                <w:rFonts w:ascii="Arial" w:cs="Arial" w:eastAsia="Arial" w:hAnsi="Arial"/>
                <w:sz w:val="16"/>
                <w:szCs w:val="16"/>
                <w:color w:val="auto"/>
              </w:rPr>
              <w:t>1,837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4,576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2,739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1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700" w:type="dxa"/>
            <w:vAlign w:val="bottom"/>
            <w:tcBorders>
              <w:bottom w:val="single" w:sz="8" w:color="auto"/>
            </w:tcBorders>
            <w:gridSpan w:val="4"/>
            <w:shd w:val="clear" w:color="auto" w:fill="CCEEFF"/>
          </w:tcPr>
          <w:p>
            <w:pPr>
              <w:jc w:val="right"/>
              <w:spacing w:after="0" w:line="181" w:lineRule="exact"/>
              <w:rPr>
                <w:sz w:val="20"/>
                <w:szCs w:val="20"/>
                <w:color w:val="auto"/>
              </w:rPr>
            </w:pPr>
            <w:r>
              <w:rPr>
                <w:rFonts w:ascii="Arial" w:cs="Arial" w:eastAsia="Arial" w:hAnsi="Arial"/>
                <w:sz w:val="16"/>
                <w:szCs w:val="16"/>
                <w:color w:val="auto"/>
              </w:rPr>
              <w:t>732</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1,113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381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180" w:type="dxa"/>
            <w:vAlign w:val="bottom"/>
          </w:tcPr>
          <w:p>
            <w:pPr>
              <w:ind w:left="480"/>
              <w:spacing w:after="0" w:line="173" w:lineRule="exact"/>
              <w:rPr>
                <w:sz w:val="20"/>
                <w:szCs w:val="20"/>
                <w:color w:val="auto"/>
              </w:rPr>
            </w:pPr>
            <w:r>
              <w:rPr>
                <w:rFonts w:ascii="Arial" w:cs="Arial" w:eastAsia="Arial" w:hAnsi="Arial"/>
                <w:sz w:val="16"/>
                <w:szCs w:val="16"/>
                <w:color w:val="auto"/>
              </w:rPr>
              <w:t>Total research and development expenses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6"/>
          </w:tcPr>
          <w:p>
            <w:pPr>
              <w:jc w:val="right"/>
              <w:spacing w:after="0" w:line="173" w:lineRule="exact"/>
              <w:rPr>
                <w:sz w:val="20"/>
                <w:szCs w:val="20"/>
                <w:color w:val="auto"/>
              </w:rPr>
            </w:pPr>
            <w:r>
              <w:rPr>
                <w:rFonts w:ascii="Arial" w:cs="Arial" w:eastAsia="Arial" w:hAnsi="Arial"/>
                <w:sz w:val="16"/>
                <w:szCs w:val="16"/>
                <w:color w:val="auto"/>
              </w:rPr>
              <w:t>$  17,439</w:t>
            </w:r>
          </w:p>
        </w:tc>
        <w:tc>
          <w:tcPr>
            <w:tcW w:w="260" w:type="dxa"/>
            <w:vAlign w:val="bottom"/>
            <w:gridSpan w:val="2"/>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56,357</w:t>
            </w:r>
          </w:p>
        </w:tc>
        <w:tc>
          <w:tcPr>
            <w:tcW w:w="280" w:type="dxa"/>
            <w:vAlign w:val="bottom"/>
            <w:gridSpan w:val="3"/>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38,918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Research and development expenses were $56.4 million for the year ended December 31, 2017, compared to $17.4 million for the year ended December 31, 2016. The increase of $38.9 million was primarily due to an increase in external fees related to our development programs as well as an increase of $3.1 million in unallocated research and development expenses.</w:t>
      </w:r>
    </w:p>
    <w:p>
      <w:pPr>
        <w:spacing w:after="0" w:line="186" w:lineRule="exact"/>
        <w:rPr>
          <w:sz w:val="20"/>
          <w:szCs w:val="20"/>
          <w:color w:val="auto"/>
        </w:rPr>
      </w:pPr>
    </w:p>
    <w:p>
      <w:pPr>
        <w:ind w:right="60" w:firstLine="433"/>
        <w:spacing w:after="0" w:line="239" w:lineRule="auto"/>
        <w:rPr>
          <w:sz w:val="20"/>
          <w:szCs w:val="20"/>
          <w:color w:val="auto"/>
        </w:rPr>
      </w:pPr>
      <w:r>
        <w:rPr>
          <w:rFonts w:ascii="Arial" w:cs="Arial" w:eastAsia="Arial" w:hAnsi="Arial"/>
          <w:sz w:val="16"/>
          <w:szCs w:val="16"/>
          <w:color w:val="auto"/>
        </w:rPr>
        <w:t>The direct costs of $6.3 million for our rilonacept program during the year ended December 31, 2017 were due to a $5.0 million upfront payment made under our license agreement with Regeneron, as well as $1.3 million of clinical research and development costs associated with the commencement of our open-label Phase 2 proof-of-concept clinical trial. We had no direct costs for our rilonacept program during the year ended December 31, 2016.</w:t>
      </w:r>
    </w:p>
    <w:p>
      <w:pPr>
        <w:spacing w:after="0" w:line="186" w:lineRule="exact"/>
        <w:rPr>
          <w:sz w:val="20"/>
          <w:szCs w:val="20"/>
          <w:color w:val="auto"/>
        </w:rPr>
      </w:pPr>
    </w:p>
    <w:p>
      <w:pPr>
        <w:ind w:right="40" w:firstLine="433"/>
        <w:spacing w:after="0" w:line="241" w:lineRule="auto"/>
        <w:rPr>
          <w:sz w:val="20"/>
          <w:szCs w:val="20"/>
          <w:color w:val="auto"/>
        </w:rPr>
      </w:pPr>
      <w:r>
        <w:rPr>
          <w:rFonts w:ascii="Arial" w:cs="Arial" w:eastAsia="Arial" w:hAnsi="Arial"/>
          <w:sz w:val="16"/>
          <w:szCs w:val="16"/>
          <w:color w:val="auto"/>
        </w:rPr>
        <w:t>The direct costs of $18.0 million for our mavrilimumab program during the year ended December 31, 2017 were due to an $8.0 million upfront payment made under our license agreement with MedImmune as well as an accrued milestone of $10.0 million, as we have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determined the payment related to the milestone to be probable. We had no direct costs for our mavrilimumab program during the year ended December 31, 2016.</w:t>
      </w:r>
    </w:p>
    <w:p>
      <w:pPr>
        <w:spacing w:after="0" w:line="201" w:lineRule="exact"/>
        <w:rPr>
          <w:sz w:val="20"/>
          <w:szCs w:val="20"/>
          <w:color w:val="auto"/>
        </w:rPr>
      </w:pPr>
    </w:p>
    <w:p>
      <w:pPr>
        <w:ind w:right="100" w:firstLine="433"/>
        <w:spacing w:after="0" w:line="237" w:lineRule="auto"/>
        <w:rPr>
          <w:sz w:val="20"/>
          <w:szCs w:val="20"/>
          <w:color w:val="auto"/>
        </w:rPr>
      </w:pPr>
      <w:r>
        <w:rPr>
          <w:rFonts w:ascii="Arial" w:cs="Arial" w:eastAsia="Arial" w:hAnsi="Arial"/>
          <w:sz w:val="16"/>
          <w:szCs w:val="16"/>
          <w:color w:val="auto"/>
        </w:rPr>
        <w:t>The direct costs for our KPL-716 program were $24.2 million during the year ended December 31, 2017, compared to $14.9 million during the year ended December 31, 2016. The increase of $9.3 million in direct costs for our KPL-716 program during the year ended December 31, 2017 was primarily due to expenses related to our Phase 1a/1b clinical trial, including a $4.0 million milestone payment made to Biogen upon the achievement of a specified clinical milestone event, as well as expenses related to our LOTUS-PN observational study, manufacturing development costs for clinical drug supply and other research and development studies. During the year ended December 31, 2016, direct costs for our KPL-716 program included expenses of $11.5 million related to an upfront payment and $0.5 million related to a technology transfer payment, each under our agreement with Biogen.</w:t>
      </w:r>
    </w:p>
    <w:p>
      <w:pPr>
        <w:spacing w:after="0" w:line="188" w:lineRule="exact"/>
        <w:rPr>
          <w:sz w:val="20"/>
          <w:szCs w:val="20"/>
          <w:color w:val="auto"/>
        </w:rPr>
      </w:pPr>
    </w:p>
    <w:p>
      <w:pPr>
        <w:ind w:firstLine="433"/>
        <w:spacing w:after="0" w:line="241" w:lineRule="auto"/>
        <w:rPr>
          <w:sz w:val="20"/>
          <w:szCs w:val="20"/>
          <w:color w:val="auto"/>
        </w:rPr>
      </w:pPr>
      <w:r>
        <w:rPr>
          <w:rFonts w:ascii="Arial" w:cs="Arial" w:eastAsia="Arial" w:hAnsi="Arial"/>
          <w:sz w:val="16"/>
          <w:szCs w:val="16"/>
          <w:color w:val="auto"/>
        </w:rPr>
        <w:t>The direct costs of $1.7 million for our KPL-045 program during the year ended December 31, 2017 were primarily due to a $1.5 million upfront payment made under our license agreement with Novo Nordisk. We had no direct costs for our KPL-045 program during the year ended December 31, 2016.</w:t>
      </w:r>
    </w:p>
    <w:p>
      <w:pPr>
        <w:spacing w:after="0" w:line="185"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direct costs of $0.5 million for our KPL-404 program during the year ended December 31, 2017 were due to $0.5 million of upfront payments made in connection with the initial option period under our stock purchase option agreement with Primatope. We had no direct costs for our KPL-404 program during the year ended December 31, 2016.</w:t>
      </w:r>
    </w:p>
    <w:p>
      <w:pPr>
        <w:spacing w:after="0" w:line="186" w:lineRule="exact"/>
        <w:rPr>
          <w:sz w:val="20"/>
          <w:szCs w:val="20"/>
          <w:color w:val="auto"/>
        </w:rPr>
      </w:pPr>
    </w:p>
    <w:p>
      <w:pPr>
        <w:ind w:right="80" w:firstLine="436"/>
        <w:spacing w:after="0" w:line="254" w:lineRule="auto"/>
        <w:rPr>
          <w:sz w:val="20"/>
          <w:szCs w:val="20"/>
          <w:color w:val="auto"/>
        </w:rPr>
      </w:pPr>
      <w:r>
        <w:rPr>
          <w:rFonts w:ascii="Arial" w:cs="Arial" w:eastAsia="Arial" w:hAnsi="Arial"/>
          <w:sz w:val="15"/>
          <w:szCs w:val="15"/>
          <w:color w:val="auto"/>
        </w:rPr>
        <w:t>Unallocated research and development expenses were $5.7 million for the year ended December 31, 2017, compared to $2.6 million for the year ended December 31, 2016. The increase of $3.1 million in unallocated research and development expenses was due to an increase of $2.7 million in personnel-related costs, including share-based compensation, and an increase of $0.4 million in other costs. The increase in personnel-related costs was primarily due to the hiring of additional personnel in our research and development functions, particularly those responsible for coordinating with CMOs on development and manufacturing of drug supply for our product candidates and coordinating with CROs on the conduct and oversight of our Phase 1a/1b clinical trial and LOTUS-PN observational study for our KPL-716 program and our open-label Phase 2 proof-of-concept clinical trial for our rilonacept program. Personnel-related costs for the years ended December 31, 2017 and 2016 included share-based compensation of $0.3 million and $0.1 million, respectively. The increase in other costs was primarily due to a $0.2 million increase in travel expense and a $0.1 million increase in certain allocated facilities-related costs and information technology expenses.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06" w:lineRule="exact"/>
        <w:rPr>
          <w:sz w:val="20"/>
          <w:szCs w:val="20"/>
          <w:color w:val="auto"/>
        </w:rPr>
      </w:pPr>
    </w:p>
    <w:p>
      <w:pPr>
        <w:ind w:right="20" w:firstLine="436"/>
        <w:spacing w:after="0" w:line="256" w:lineRule="auto"/>
        <w:rPr>
          <w:sz w:val="20"/>
          <w:szCs w:val="20"/>
          <w:color w:val="auto"/>
        </w:rPr>
      </w:pPr>
      <w:r>
        <w:rPr>
          <w:rFonts w:ascii="Arial" w:cs="Arial" w:eastAsia="Arial" w:hAnsi="Arial"/>
          <w:sz w:val="15"/>
          <w:szCs w:val="15"/>
          <w:color w:val="auto"/>
        </w:rPr>
        <w:t>General and administrative expenses were $9.0 million for the year ended December 31, 2017, compared to $6.6 million for the year ended December 31, 2016. The increase of $2.5 million was primarily due to increases of $1.4 million in personnel-related costs and $1.1 million in professional fees. The increase in personnel-related costs was due to the hiring of additional personnel in our general and administrative functions, primarily in our legal and finance departments, as we continued to expand our operations to support the organization. Personnel-related costs for the years ended December 31, 2017 and 2016 included share-based compensation of $0.6 million and $0.3 million, respectively. Professional fees increased due to legal costs incurred in connection with maintaining and registering worldwide patents and costs associated with our ongoing business operations, as well higher accounting, consulting and market research expenses.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Income</w:t>
      </w:r>
    </w:p>
    <w:p>
      <w:pPr>
        <w:spacing w:after="0" w:line="206"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Interest income was $0.5 million for the year ended December 31, 2017, compared to $0.1 million for the year ended December 31, 2016. The increase was due to both higher average invested cash balances and higher interest rates on U.S. Treasury securities in 2017.</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recorded an insignificant provision for income taxes for the years ended December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0"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Since our inception, we have not generated any revenue from any sources, including from product sales, and have incurred significant operating losses and negative cash flows from our operations. We have funded our operations to date primarily with proceeds from the sale of preferred shares. Through March 31, 2018, we had received net proceeds of $310.6 million from sales of our preferred shares. As of December 31, 2017 and March 31, 2018, we had cash and cash equivalents of $45.6 million and $221.1 million,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Cash Flows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4"/>
        </w:trPr>
        <w:tc>
          <w:tcPr>
            <w:tcW w:w="6760" w:type="dxa"/>
            <w:vAlign w:val="bottom"/>
            <w:gridSpan w:val="2"/>
          </w:tcPr>
          <w:p>
            <w:pPr>
              <w:ind w:left="420"/>
              <w:spacing w:after="0"/>
              <w:rPr>
                <w:sz w:val="20"/>
                <w:szCs w:val="20"/>
                <w:color w:val="auto"/>
              </w:rPr>
            </w:pPr>
            <w:r>
              <w:rPr>
                <w:rFonts w:ascii="Arial" w:cs="Arial" w:eastAsia="Arial" w:hAnsi="Arial"/>
                <w:sz w:val="16"/>
                <w:szCs w:val="16"/>
                <w:color w:val="auto"/>
              </w:rPr>
              <w:t>The following table summarizes our cash flows for each of the periods presented: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7"/>
        </w:trPr>
        <w:tc>
          <w:tcPr>
            <w:tcW w:w="11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6"/>
          </w:tcPr>
          <w:p>
            <w:pPr>
              <w:jc w:val="right"/>
              <w:ind w:right="382"/>
              <w:spacing w:after="0"/>
              <w:rPr>
                <w:sz w:val="20"/>
                <w:szCs w:val="20"/>
                <w:color w:val="auto"/>
              </w:rPr>
            </w:pPr>
            <w:r>
              <w:rPr>
                <w:rFonts w:ascii="Arial" w:cs="Arial" w:eastAsia="Arial" w:hAnsi="Arial"/>
                <w:sz w:val="16"/>
                <w:szCs w:val="16"/>
                <w:b w:val="1"/>
                <w:bCs w:val="1"/>
                <w:color w:val="auto"/>
              </w:rPr>
              <w:t>Year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6"/>
          </w:tcPr>
          <w:p>
            <w:pPr>
              <w:ind w:left="180"/>
              <w:spacing w:after="0"/>
              <w:rPr>
                <w:sz w:val="20"/>
                <w:szCs w:val="20"/>
                <w:color w:val="auto"/>
              </w:rPr>
            </w:pPr>
            <w:r>
              <w:rPr>
                <w:rFonts w:ascii="Arial" w:cs="Arial" w:eastAsia="Arial" w:hAnsi="Arial"/>
                <w:sz w:val="16"/>
                <w:szCs w:val="16"/>
                <w:b w:val="1"/>
                <w:bCs w:val="1"/>
                <w:color w:val="auto"/>
              </w:rPr>
              <w:t>Three Months</w:t>
            </w:r>
          </w:p>
        </w:tc>
      </w:tr>
      <w:tr>
        <w:trPr>
          <w:trHeight w:val="202"/>
        </w:trPr>
        <w:tc>
          <w:tcPr>
            <w:tcW w:w="11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6"/>
          </w:tcPr>
          <w:p>
            <w:pPr>
              <w:jc w:val="right"/>
              <w:ind w:right="302"/>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6"/>
          </w:tcPr>
          <w:p>
            <w:pPr>
              <w:ind w:left="60"/>
              <w:spacing w:after="0"/>
              <w:rPr>
                <w:sz w:val="20"/>
                <w:szCs w:val="20"/>
                <w:color w:val="auto"/>
              </w:rPr>
            </w:pPr>
            <w:r>
              <w:rPr>
                <w:rFonts w:ascii="Arial" w:cs="Arial" w:eastAsia="Arial" w:hAnsi="Arial"/>
                <w:sz w:val="16"/>
                <w:szCs w:val="16"/>
                <w:b w:val="1"/>
                <w:bCs w:val="1"/>
                <w:color w:val="auto"/>
              </w:rPr>
              <w:t>Ended March 31,</w:t>
            </w:r>
          </w:p>
        </w:tc>
      </w:tr>
      <w:tr>
        <w:trPr>
          <w:trHeight w:val="197"/>
        </w:trPr>
        <w:tc>
          <w:tcPr>
            <w:tcW w:w="11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82"/>
              <w:spacing w:after="0"/>
              <w:rPr>
                <w:sz w:val="20"/>
                <w:szCs w:val="20"/>
                <w:color w:val="auto"/>
              </w:rPr>
            </w:pPr>
            <w:r>
              <w:rPr>
                <w:rFonts w:ascii="Arial" w:cs="Arial" w:eastAsia="Arial" w:hAnsi="Arial"/>
                <w:sz w:val="16"/>
                <w:szCs w:val="16"/>
                <w:b w:val="1"/>
                <w:bCs w:val="1"/>
                <w:color w:val="auto"/>
              </w:rPr>
              <w:t>(in</w:t>
            </w:r>
          </w:p>
        </w:tc>
        <w:tc>
          <w:tcPr>
            <w:tcW w:w="84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1"/>
        </w:trPr>
        <w:tc>
          <w:tcPr>
            <w:tcW w:w="1140" w:type="dxa"/>
            <w:vAlign w:val="bottom"/>
          </w:tcPr>
          <w:p>
            <w:pPr>
              <w:spacing w:after="0"/>
              <w:rPr>
                <w:sz w:val="15"/>
                <w:szCs w:val="15"/>
                <w:color w:val="auto"/>
              </w:rPr>
            </w:pPr>
          </w:p>
        </w:tc>
        <w:tc>
          <w:tcPr>
            <w:tcW w:w="56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(21,867)</w:t>
            </w:r>
          </w:p>
        </w:tc>
        <w:tc>
          <w:tcPr>
            <w:tcW w:w="2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(50,219)</w:t>
            </w:r>
          </w:p>
        </w:tc>
        <w:tc>
          <w:tcPr>
            <w:tcW w:w="2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(5,679)</w:t>
            </w:r>
          </w:p>
        </w:tc>
        <w:tc>
          <w:tcPr>
            <w:tcW w:w="1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(14,972)</w:t>
            </w:r>
          </w:p>
        </w:tc>
      </w:tr>
      <w:tr>
        <w:trPr>
          <w:trHeight w:val="181"/>
        </w:trPr>
        <w:tc>
          <w:tcPr>
            <w:tcW w:w="676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Net cash used in investing activities</w:t>
            </w:r>
          </w:p>
        </w:tc>
        <w:tc>
          <w:tcPr>
            <w:tcW w:w="140" w:type="dxa"/>
            <w:vAlign w:val="bottom"/>
          </w:tcPr>
          <w:p>
            <w:pPr>
              <w:spacing w:after="0"/>
              <w:rPr>
                <w:sz w:val="15"/>
                <w:szCs w:val="15"/>
                <w:color w:val="auto"/>
              </w:rPr>
            </w:pPr>
          </w:p>
        </w:tc>
        <w:tc>
          <w:tcPr>
            <w:tcW w:w="7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(75)</w:t>
            </w:r>
          </w:p>
        </w:tc>
      </w:tr>
      <w:tr>
        <w:trPr>
          <w:trHeight w:val="181"/>
        </w:trPr>
        <w:tc>
          <w:tcPr>
            <w:tcW w:w="1140" w:type="dxa"/>
            <w:vAlign w:val="bottom"/>
          </w:tcPr>
          <w:p>
            <w:pPr>
              <w:spacing w:after="0"/>
              <w:rPr>
                <w:sz w:val="15"/>
                <w:szCs w:val="15"/>
                <w:color w:val="auto"/>
              </w:rPr>
            </w:pPr>
          </w:p>
        </w:tc>
        <w:tc>
          <w:tcPr>
            <w:tcW w:w="56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cash provided by financing activities</w:t>
            </w: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42,509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39,873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39,873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190,810</w:t>
            </w:r>
          </w:p>
        </w:tc>
        <w:tc>
          <w:tcPr>
            <w:tcW w:w="140" w:type="dxa"/>
            <w:vAlign w:val="bottom"/>
            <w:shd w:val="clear" w:color="auto" w:fill="CCEEFF"/>
          </w:tcPr>
          <w:p>
            <w:pPr>
              <w:spacing w:after="0"/>
              <w:rPr>
                <w:sz w:val="15"/>
                <w:szCs w:val="15"/>
                <w:color w:val="auto"/>
              </w:rPr>
            </w:pPr>
          </w:p>
        </w:tc>
      </w:tr>
      <w:tr>
        <w:trPr>
          <w:trHeight w:val="173"/>
        </w:trPr>
        <w:tc>
          <w:tcPr>
            <w:tcW w:w="1140" w:type="dxa"/>
            <w:vAlign w:val="bottom"/>
          </w:tcPr>
          <w:p>
            <w:pPr>
              <w:spacing w:after="0"/>
              <w:rPr>
                <w:sz w:val="15"/>
                <w:szCs w:val="15"/>
                <w:color w:val="auto"/>
              </w:rPr>
            </w:pPr>
          </w:p>
        </w:tc>
        <w:tc>
          <w:tcPr>
            <w:tcW w:w="5620" w:type="dxa"/>
            <w:vAlign w:val="bottom"/>
          </w:tcPr>
          <w:p>
            <w:pPr>
              <w:ind w:left="160"/>
              <w:spacing w:after="0" w:line="173" w:lineRule="exact"/>
              <w:rPr>
                <w:sz w:val="20"/>
                <w:szCs w:val="20"/>
                <w:color w:val="auto"/>
              </w:rPr>
            </w:pPr>
            <w:r>
              <w:rPr>
                <w:rFonts w:ascii="Arial" w:cs="Arial" w:eastAsia="Arial" w:hAnsi="Arial"/>
                <w:sz w:val="16"/>
                <w:szCs w:val="16"/>
                <w:color w:val="auto"/>
              </w:rPr>
              <w:t>Net increase (decrease) in cash and cash equivalents and restricted 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73" w:lineRule="exact"/>
              <w:rPr>
                <w:sz w:val="20"/>
                <w:szCs w:val="20"/>
                <w:color w:val="auto"/>
              </w:rPr>
            </w:pPr>
            <w:r>
              <w:rPr>
                <w:rFonts w:ascii="Arial" w:cs="Arial" w:eastAsia="Arial" w:hAnsi="Arial"/>
                <w:sz w:val="16"/>
                <w:szCs w:val="16"/>
                <w:color w:val="auto"/>
              </w:rPr>
              <w:t>20,639</w:t>
            </w:r>
          </w:p>
        </w:tc>
        <w:tc>
          <w:tcPr>
            <w:tcW w:w="100" w:type="dxa"/>
            <w:vAlign w:val="bottom"/>
          </w:tcPr>
          <w:p>
            <w:pPr>
              <w:spacing w:after="0"/>
              <w:rPr>
                <w:sz w:val="15"/>
                <w:szCs w:val="15"/>
                <w:color w:val="auto"/>
              </w:rPr>
            </w:pPr>
          </w:p>
        </w:tc>
        <w:tc>
          <w:tcPr>
            <w:tcW w:w="20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(10,415)</w:t>
            </w:r>
          </w:p>
        </w:tc>
        <w:tc>
          <w:tcPr>
            <w:tcW w:w="20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73" w:lineRule="exact"/>
              <w:rPr>
                <w:sz w:val="20"/>
                <w:szCs w:val="20"/>
                <w:color w:val="auto"/>
              </w:rPr>
            </w:pPr>
            <w:r>
              <w:rPr>
                <w:rFonts w:ascii="Arial" w:cs="Arial" w:eastAsia="Arial" w:hAnsi="Arial"/>
                <w:sz w:val="16"/>
                <w:szCs w:val="16"/>
                <w:color w:val="auto"/>
              </w:rPr>
              <w:t>34,176</w:t>
            </w:r>
          </w:p>
        </w:tc>
        <w:tc>
          <w:tcPr>
            <w:tcW w:w="100" w:type="dxa"/>
            <w:vAlign w:val="bottom"/>
          </w:tcPr>
          <w:p>
            <w:pPr>
              <w:spacing w:after="0"/>
              <w:rPr>
                <w:sz w:val="15"/>
                <w:szCs w:val="15"/>
                <w:color w:val="auto"/>
              </w:rPr>
            </w:pPr>
          </w:p>
        </w:tc>
        <w:tc>
          <w:tcPr>
            <w:tcW w:w="18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175,763</w:t>
            </w:r>
          </w:p>
        </w:tc>
        <w:tc>
          <w:tcPr>
            <w:tcW w:w="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0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During the three months ended March 31, 2018, operating activities used $15.0 million of cash, primarily resulting from our net loss of $16.0 million, partially offset by non-cash charges of $0.5 million and net cash provided by changes in our operating assets and liabilities of $0.5 million. Net cash provided by changes in our operating assets and liabilities for the three months ended March 31, 2018 consisted of a $1.1 million increase in accounts payable and a $0.2 million decrease in prepaid expenses and other current assets, both partially offset by a $0.8 million decrease in accrued expenses. The increase in accounts payable was due to our increased level of operating activities and the timing of vendor invoicing and payments. The decrease in prepaid expenses and other current assets was primarily due to a decrease in prepaid expenses to CMOs related to manufacturing development related to our product candidates. The decrease in accrued expenses was primarily due to a decrease in accrued employee compensation expense related to the payment of the 2017 annual bonus during the three months ended March 31, 2018.</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2017, operating activities used $5.7 million of cash, primarily resulting from our net loss of $4.9 million and</w:t>
      </w:r>
    </w:p>
    <w:p>
      <w:pPr>
        <w:ind w:right="140"/>
        <w:spacing w:after="0" w:line="241" w:lineRule="auto"/>
        <w:rPr>
          <w:sz w:val="20"/>
          <w:szCs w:val="20"/>
          <w:color w:val="auto"/>
        </w:rPr>
      </w:pPr>
      <w:r>
        <w:rPr>
          <w:rFonts w:ascii="Arial" w:cs="Arial" w:eastAsia="Arial" w:hAnsi="Arial"/>
          <w:sz w:val="16"/>
          <w:szCs w:val="16"/>
          <w:color w:val="auto"/>
        </w:rPr>
        <w:t>$0.8 million in net cash used in changes in our operating assets and liabilities, partially offset by non-cash charges of $0.1 million. Net cash used in changes in our operating assets and liabilities for the three months ended March 31, 2017</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consisted of a $1.1 million decrease in accrued expenses, partially offset by a $0.4 million increase in accounts payable. The decrease in accrued expenses was primarily due to the payment of the 2016 annual bonus during the three months ended March 31, 2017. The increase in accounts payable was due to our increased level of operating activities and the timing of vendor invoicing and payments.</w:t>
      </w:r>
    </w:p>
    <w:p>
      <w:pPr>
        <w:spacing w:after="0" w:line="186"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During the year ended December 31, 2017, operating activities used $50.2 million of cash, primarily resulting from our net loss of $64.9 million, partially offset by non-cash charges of $0.7 million and net cash provided by changes in our operating assets and liabilities of $13.9 million. Net cash provided by changes in our operating assets and liabilities for the year ended December 31, 2017 consisted of a $14.1 million increase in accrued expenses and a $1.0 million increase in accounts payable, both partially offset by a $1.2 million increase in prepaid expenses and other current assets. The increase in accrued expenses was primarily due to an accrued milestone of $10.0 million related to our mavrilimumab program, increased clinical trial and manufacturing activities as well as increased accrued legal and professional fees and accrued employee compensation-related expenses. The increase in accounts payable was due to our increased level of operating activities and the timing of vendor invoicing and payments. The increase in prepaid expenses and other current assets was primarily due to prepaid clinical trial and manufacturing costs associated with our research and development programs.</w:t>
      </w:r>
    </w:p>
    <w:p>
      <w:pPr>
        <w:spacing w:after="0" w:line="187" w:lineRule="exact"/>
        <w:rPr>
          <w:sz w:val="20"/>
          <w:szCs w:val="20"/>
          <w:color w:val="auto"/>
        </w:rPr>
      </w:pPr>
    </w:p>
    <w:p>
      <w:pPr>
        <w:ind w:right="60" w:firstLine="436"/>
        <w:spacing w:after="0" w:line="251" w:lineRule="auto"/>
        <w:rPr>
          <w:sz w:val="20"/>
          <w:szCs w:val="20"/>
          <w:color w:val="auto"/>
        </w:rPr>
      </w:pPr>
      <w:r>
        <w:rPr>
          <w:rFonts w:ascii="Arial" w:cs="Arial" w:eastAsia="Arial" w:hAnsi="Arial"/>
          <w:sz w:val="15"/>
          <w:szCs w:val="15"/>
          <w:color w:val="auto"/>
        </w:rPr>
        <w:t>During the year ended December 31, 2016, operating activities used $21.9 million of cash, primarily resulting from our net loss of $24.0 million, partially offset by non-cash charges of $0.3 million and net cash provided by changes in our operating assets and liabilities of $1.8 million. Net cash provided by changes in our operating assets and liabilities for the year ended December 31, 2016 consisted primarily of a $1.9 million increase in accrued expenses, partially offset by a</w:t>
      </w:r>
    </w:p>
    <w:p>
      <w:pPr>
        <w:spacing w:after="0" w:line="2" w:lineRule="exact"/>
        <w:rPr>
          <w:sz w:val="20"/>
          <w:szCs w:val="20"/>
          <w:color w:val="auto"/>
        </w:rPr>
      </w:pPr>
    </w:p>
    <w:p>
      <w:pPr>
        <w:jc w:val="both"/>
        <w:ind w:right="200"/>
        <w:spacing w:after="0" w:line="239" w:lineRule="auto"/>
        <w:rPr>
          <w:sz w:val="20"/>
          <w:szCs w:val="20"/>
          <w:color w:val="auto"/>
        </w:rPr>
      </w:pPr>
      <w:r>
        <w:rPr>
          <w:rFonts w:ascii="Arial" w:cs="Arial" w:eastAsia="Arial" w:hAnsi="Arial"/>
          <w:sz w:val="16"/>
          <w:szCs w:val="16"/>
          <w:color w:val="auto"/>
        </w:rPr>
        <w:t>$0.2 million increase in prepaid expenses and other current assets. The increase in accrued expenses was primarily due to increased research and development costs, an accrued expense related to technology transfer, regulatory consulting costs and accrued compensation expense. The increase in prepaid expenses and other current assets was primarily due to prepaid manufacturing costs and recording an income tax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2018, investing activities used $0.1 million of cash, consisting of purchases of property and equipment.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2017, cash used in investing activities was not significant.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year ended December 31, 2017, investing activities used $0.1 million of cash, consisting of purchases of property and equipment.</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During the year ended December 31, 2016, we used an insignificant amount of cash in investing activities, consisting of purchases of property and equipment.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06" w:lineRule="exact"/>
        <w:rPr>
          <w:sz w:val="20"/>
          <w:szCs w:val="20"/>
          <w:color w:val="auto"/>
        </w:rPr>
      </w:pPr>
    </w:p>
    <w:p>
      <w:pPr>
        <w:ind w:right="300" w:firstLine="436"/>
        <w:spacing w:after="0" w:line="241" w:lineRule="auto"/>
        <w:rPr>
          <w:sz w:val="20"/>
          <w:szCs w:val="20"/>
          <w:color w:val="auto"/>
        </w:rPr>
      </w:pPr>
      <w:r>
        <w:rPr>
          <w:rFonts w:ascii="Arial" w:cs="Arial" w:eastAsia="Arial" w:hAnsi="Arial"/>
          <w:sz w:val="16"/>
          <w:szCs w:val="16"/>
          <w:color w:val="auto"/>
        </w:rPr>
        <w:t>During the three months ended March 31, 2018, net cash provided by financing activities was $190.8 million, primarily consisting of net proceeds from our issuance and sale of Series C preferred shares.</w:t>
      </w:r>
    </w:p>
    <w:p>
      <w:pPr>
        <w:spacing w:after="0" w:line="185"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During the three months ended March 31, 2017, net cash provided by financing activities was $39.9 million, consisting of net proceeds from our issuance and sale of Series B preferred shares.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During the year ended December 31, 2017, net cash provided by financing activities was $39.9 million, consisting of net proceeds from our issuance and sale of Series B preferred shares.</w:t>
      </w:r>
    </w:p>
    <w:p>
      <w:pPr>
        <w:spacing w:after="0" w:line="185"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During the year ended December 31, 2016, net cash provided by financing activities was $42.5 million, consisting of net proceeds from our issuance and sale of Series A preferred shares.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Funding Requirements</w:t>
      </w:r>
    </w:p>
    <w:p>
      <w:pPr>
        <w:spacing w:after="0" w:line="208" w:lineRule="exact"/>
        <w:rPr>
          <w:sz w:val="20"/>
          <w:szCs w:val="20"/>
          <w:color w:val="auto"/>
        </w:rPr>
      </w:pPr>
    </w:p>
    <w:p>
      <w:pPr>
        <w:ind w:right="100" w:firstLine="436"/>
        <w:spacing w:after="0" w:line="239"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advance the pre-clinical activities and clinical trials of our product candidates. In addition, upon the closing of this offering, we expect to incur additional costs associated with operating as a public company. Our expenses will also increase as we:</w:t>
      </w:r>
    </w:p>
    <w:p>
      <w:pPr>
        <w:spacing w:after="0" w:line="186" w:lineRule="exact"/>
        <w:rPr>
          <w:sz w:val="20"/>
          <w:szCs w:val="20"/>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continue to conduct our current clinical trials and initiate our planned clinical trials of rilonacept, mavrilimumab and KPL-716;</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advance pre-clinical development of our early-stage programs, KPL-045 and KPL-404;</w:t>
      </w:r>
    </w:p>
    <w:p>
      <w:pPr>
        <w:spacing w:after="0" w:line="177" w:lineRule="exact"/>
        <w:rPr>
          <w:rFonts w:ascii="Arial" w:cs="Arial" w:eastAsia="Arial" w:hAnsi="Arial"/>
          <w:sz w:val="16"/>
          <w:szCs w:val="16"/>
          <w:color w:val="auto"/>
        </w:rPr>
      </w:pPr>
    </w:p>
    <w:p>
      <w:pPr>
        <w:ind w:left="960" w:right="400" w:hanging="481"/>
        <w:spacing w:after="0" w:line="241"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manufacture, or have manufactured on our behalf, our pre-clinical and clinical drug material and develop processes for late state and commercial manufacturing;</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seek regulatory approvals for any product candidates that successfully complete clinical trials;</w:t>
      </w:r>
    </w:p>
    <w:p>
      <w:pPr>
        <w:spacing w:after="0" w:line="189"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establish a sales, marketing, medical affairs and distribution infrastructure to commercialize any product candidates for which we may obtain marketing approval and intend to commercialize on our own;</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hire additional clinical, quality control and scientific personnel;</w:t>
      </w:r>
    </w:p>
    <w:p>
      <w:pPr>
        <w:spacing w:after="0" w:line="177" w:lineRule="exact"/>
        <w:rPr>
          <w:rFonts w:ascii="Arial" w:cs="Arial" w:eastAsia="Arial" w:hAnsi="Arial"/>
          <w:sz w:val="16"/>
          <w:szCs w:val="16"/>
          <w:color w:val="auto"/>
        </w:rPr>
      </w:pPr>
    </w:p>
    <w:p>
      <w:pPr>
        <w:ind w:left="960" w:right="660" w:hanging="481"/>
        <w:spacing w:after="0" w:line="241"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acquire or in-license other product candidates and technologies.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believe that our existing cash and cash equivalents, will enable us to fund our operating expenses and capital expenditure requirements for at least the next 12 months. We have based these estimates on assumptions that may prove to be wrong, and we could utilize our available capital resources sooner than we expect. We anticipate that we may require additional capital if we choose to pursue in-licenses or acquisitions of other product candidates. If we receive regulatory approval for rilonacept or our other product candidates, we expect to incur significant commercialization expenses related to product manufacturing, sales, marketing and distribution, depending on where we choose to commercialize.</w:t>
      </w:r>
    </w:p>
    <w:p>
      <w:pPr>
        <w:spacing w:after="0" w:line="189"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biologic product candidates, we are unable to estimate the exact amount of our working capital requirements. Our future funding requirements will depend on and could increase significantly as a result of many factors, including:</w:t>
      </w:r>
    </w:p>
    <w:p>
      <w:pPr>
        <w:spacing w:after="0" w:line="186" w:lineRule="exact"/>
        <w:rPr>
          <w:sz w:val="20"/>
          <w:szCs w:val="20"/>
          <w:color w:val="auto"/>
        </w:rPr>
      </w:pPr>
    </w:p>
    <w:p>
      <w:pPr>
        <w:ind w:left="960" w:hanging="481"/>
        <w:spacing w:after="0"/>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trials;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product candidates;</w:t>
      </w:r>
    </w:p>
    <w:p>
      <w:pPr>
        <w:spacing w:after="0" w:line="177" w:lineRule="exact"/>
        <w:rPr>
          <w:rFonts w:ascii="Arial" w:cs="Arial" w:eastAsia="Arial" w:hAnsi="Arial"/>
          <w:sz w:val="16"/>
          <w:szCs w:val="16"/>
          <w:color w:val="auto"/>
        </w:rPr>
      </w:pPr>
    </w:p>
    <w:p>
      <w:pPr>
        <w:ind w:left="5580" w:right="340" w:hanging="5101"/>
        <w:spacing w:after="0" w:line="492" w:lineRule="auto"/>
        <w:tabs>
          <w:tab w:leader="none" w:pos="9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costs, timing and ability to manufacture our product candidates to supply our clinical and pre-clinical development efforts and our clinical trials;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266305"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220" w:hanging="481"/>
        <w:spacing w:after="0" w:line="241" w:lineRule="auto"/>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costs of future activities, including product sales, medical affairs, marketing, manufacturing and distribution, for any of our product candidates for which we receive marketing approval;</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costs of manufacturing commercial-grade product and necessary inventory to support commercial launch;</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ability to receive additional non-dilutive funding, including grants from organizations and foundations;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revenue, if any, received from commercial sale of our products, should any of our product candidates receive marketing approval;</w:t>
      </w:r>
    </w:p>
    <w:p>
      <w:pPr>
        <w:spacing w:after="0" w:line="189" w:lineRule="exact"/>
        <w:rPr>
          <w:rFonts w:ascii="Arial" w:cs="Arial" w:eastAsia="Arial" w:hAnsi="Arial"/>
          <w:sz w:val="16"/>
          <w:szCs w:val="16"/>
          <w:color w:val="auto"/>
        </w:rPr>
      </w:pPr>
    </w:p>
    <w:p>
      <w:pPr>
        <w:ind w:left="960" w:right="220" w:hanging="481"/>
        <w:spacing w:after="0" w:line="241" w:lineRule="auto"/>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ability to establish and maintain collaborations on favorable terms, if at all;</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product candidates and technologies; and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timing, receipt and amount of sales of, or milestone payments related to or royalties on, our current or future product candidates, if any.</w:t>
      </w:r>
    </w:p>
    <w:p>
      <w:pPr>
        <w:spacing w:after="0" w:line="19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public or private equity offerings, debt financings, governmental funding, collaborations, strategic partnerships or marketing, distribution or licensing arrangements with third parties.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shareholder.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fixed payment obligations.</w:t>
      </w:r>
    </w:p>
    <w:p>
      <w:pPr>
        <w:spacing w:after="0" w:line="18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If we raise funds through governmental funding,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reduce or eliminate our product development or future commercialization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210" w:lineRule="exact"/>
        <w:rPr>
          <w:sz w:val="20"/>
          <w:szCs w:val="20"/>
          <w:color w:val="auto"/>
        </w:rPr>
      </w:pPr>
    </w:p>
    <w:p>
      <w:pPr>
        <w:ind w:right="20" w:firstLine="433"/>
        <w:spacing w:after="0" w:line="241" w:lineRule="auto"/>
        <w:rPr>
          <w:sz w:val="20"/>
          <w:szCs w:val="20"/>
          <w:color w:val="auto"/>
        </w:rPr>
      </w:pPr>
      <w:r>
        <w:rPr>
          <w:rFonts w:ascii="Arial" w:cs="Arial" w:eastAsia="Arial" w:hAnsi="Arial"/>
          <w:sz w:val="16"/>
          <w:szCs w:val="16"/>
          <w:color w:val="auto"/>
        </w:rPr>
        <w:t>The following table summarizes our contractual obligations as of December 31, 2017 and the effects that such obligations are expected to have on our liquidity and cash flows in future periods: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9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7"/>
          </w:tcPr>
          <w:p>
            <w:pPr>
              <w:ind w:left="24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64"/>
        </w:trPr>
        <w:tc>
          <w:tcPr>
            <w:tcW w:w="9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Less than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80"/>
              <w:spacing w:after="0" w:line="164" w:lineRule="exact"/>
              <w:rPr>
                <w:sz w:val="20"/>
                <w:szCs w:val="20"/>
                <w:color w:val="auto"/>
              </w:rPr>
            </w:pPr>
            <w:r>
              <w:rPr>
                <w:rFonts w:ascii="Arial" w:cs="Arial" w:eastAsia="Arial" w:hAnsi="Arial"/>
                <w:sz w:val="16"/>
                <w:szCs w:val="16"/>
                <w:b w:val="1"/>
                <w:bCs w:val="1"/>
                <w:color w:val="auto"/>
              </w:rPr>
              <w:t>1 to 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80"/>
              <w:spacing w:after="0" w:line="164" w:lineRule="exact"/>
              <w:rPr>
                <w:sz w:val="20"/>
                <w:szCs w:val="20"/>
                <w:color w:val="auto"/>
              </w:rPr>
            </w:pPr>
            <w:r>
              <w:rPr>
                <w:rFonts w:ascii="Arial" w:cs="Arial" w:eastAsia="Arial" w:hAnsi="Arial"/>
                <w:sz w:val="16"/>
                <w:szCs w:val="16"/>
                <w:b w:val="1"/>
                <w:bCs w:val="1"/>
                <w:color w:val="auto"/>
              </w:rPr>
              <w:t>4 to 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60"/>
              <w:spacing w:after="0" w:line="164" w:lineRule="exact"/>
              <w:rPr>
                <w:sz w:val="20"/>
                <w:szCs w:val="20"/>
                <w:color w:val="auto"/>
              </w:rPr>
            </w:pPr>
            <w:r>
              <w:rPr>
                <w:rFonts w:ascii="Arial" w:cs="Arial" w:eastAsia="Arial" w:hAnsi="Arial"/>
                <w:sz w:val="16"/>
                <w:szCs w:val="16"/>
                <w:b w:val="1"/>
                <w:bCs w:val="1"/>
                <w:color w:val="auto"/>
                <w:w w:val="99"/>
              </w:rPr>
              <w:t>More than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2"/>
        </w:trPr>
        <w:tc>
          <w:tcPr>
            <w:tcW w:w="9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 Year</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5 Years</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93"/>
        </w:trPr>
        <w:tc>
          <w:tcPr>
            <w:tcW w:w="9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442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Accrued milestone</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680"/>
              <w:spacing w:after="0"/>
              <w:rPr>
                <w:sz w:val="20"/>
                <w:szCs w:val="20"/>
                <w:color w:val="auto"/>
              </w:rPr>
            </w:pPr>
            <w:r>
              <w:rPr>
                <w:rFonts w:ascii="Arial" w:cs="Arial" w:eastAsia="Arial" w:hAnsi="Arial"/>
                <w:sz w:val="16"/>
                <w:szCs w:val="16"/>
                <w:color w:val="auto"/>
                <w:w w:val="87"/>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CEEFF"/>
          </w:tcPr>
          <w:p>
            <w:pPr>
              <w:spacing w:after="0"/>
              <w:rPr>
                <w:sz w:val="18"/>
                <w:szCs w:val="18"/>
                <w:color w:val="auto"/>
              </w:rPr>
            </w:pPr>
          </w:p>
        </w:tc>
      </w:tr>
      <w:tr>
        <w:trPr>
          <w:trHeight w:val="217"/>
        </w:trPr>
        <w:tc>
          <w:tcPr>
            <w:tcW w:w="4420" w:type="dxa"/>
            <w:vAlign w:val="bottom"/>
            <w:gridSpan w:val="2"/>
          </w:tcPr>
          <w:p>
            <w:pPr>
              <w:spacing w:after="0" w:line="217" w:lineRule="exact"/>
              <w:rPr>
                <w:sz w:val="20"/>
                <w:szCs w:val="20"/>
                <w:color w:val="auto"/>
              </w:rPr>
            </w:pPr>
            <w:r>
              <w:rPr>
                <w:rFonts w:ascii="Arial" w:cs="Arial" w:eastAsia="Arial" w:hAnsi="Arial"/>
                <w:sz w:val="15"/>
                <w:szCs w:val="15"/>
                <w:color w:val="auto"/>
              </w:rPr>
              <w:t>Manufacturing commitments</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3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36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7,766</w:t>
            </w:r>
          </w:p>
        </w:tc>
        <w:tc>
          <w:tcPr>
            <w:tcW w:w="140" w:type="dxa"/>
            <w:vAlign w:val="bottom"/>
          </w:tcPr>
          <w:p>
            <w:pPr>
              <w:spacing w:after="0"/>
              <w:rPr>
                <w:sz w:val="18"/>
                <w:szCs w:val="18"/>
                <w:color w:val="auto"/>
              </w:rPr>
            </w:pPr>
          </w:p>
        </w:tc>
      </w:tr>
      <w:tr>
        <w:trPr>
          <w:trHeight w:val="217"/>
        </w:trPr>
        <w:tc>
          <w:tcPr>
            <w:tcW w:w="4420" w:type="dxa"/>
            <w:vAlign w:val="bottom"/>
            <w:gridSpan w:val="2"/>
            <w:shd w:val="clear" w:color="auto" w:fill="CCEEFF"/>
          </w:tcPr>
          <w:p>
            <w:pPr>
              <w:spacing w:after="0" w:line="217" w:lineRule="exact"/>
              <w:rPr>
                <w:sz w:val="20"/>
                <w:szCs w:val="20"/>
                <w:color w:val="auto"/>
              </w:rPr>
            </w:pPr>
            <w:r>
              <w:rPr>
                <w:rFonts w:ascii="Arial" w:cs="Arial" w:eastAsia="Arial" w:hAnsi="Arial"/>
                <w:sz w:val="15"/>
                <w:szCs w:val="15"/>
                <w:color w:val="auto"/>
              </w:rPr>
              <w:t>Operating lease commitments</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40" w:type="dxa"/>
            <w:vAlign w:val="bottom"/>
            <w:shd w:val="clear" w:color="auto" w:fill="CCEEFF"/>
          </w:tcPr>
          <w:p>
            <w:pPr>
              <w:spacing w:after="0"/>
              <w:rPr>
                <w:sz w:val="18"/>
                <w:szCs w:val="18"/>
                <w:color w:val="auto"/>
              </w:rPr>
            </w:pPr>
          </w:p>
        </w:tc>
      </w:tr>
      <w:tr>
        <w:trPr>
          <w:trHeight w:val="173"/>
        </w:trPr>
        <w:tc>
          <w:tcPr>
            <w:tcW w:w="4420" w:type="dxa"/>
            <w:vAlign w:val="bottom"/>
            <w:gridSpan w:val="2"/>
          </w:tcPr>
          <w:p>
            <w:pPr>
              <w:ind w:left="160"/>
              <w:spacing w:after="0" w:line="173" w:lineRule="exact"/>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18,036</w:t>
            </w:r>
          </w:p>
        </w:tc>
        <w:tc>
          <w:tcPr>
            <w:tcW w:w="28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ind w:left="360"/>
              <w:spacing w:after="0" w:line="173" w:lineRule="exact"/>
              <w:rPr>
                <w:sz w:val="20"/>
                <w:szCs w:val="20"/>
                <w:color w:val="auto"/>
              </w:rPr>
            </w:pPr>
            <w:r>
              <w:rPr>
                <w:rFonts w:ascii="Arial" w:cs="Arial" w:eastAsia="Arial" w:hAnsi="Arial"/>
                <w:sz w:val="16"/>
                <w:szCs w:val="16"/>
                <w:color w:val="auto"/>
                <w:w w:val="87"/>
              </w:rPr>
              <w:t>—</w:t>
            </w:r>
          </w:p>
        </w:tc>
        <w:tc>
          <w:tcPr>
            <w:tcW w:w="280" w:type="dxa"/>
            <w:vAlign w:val="bottom"/>
            <w:gridSpan w:val="2"/>
          </w:tcPr>
          <w:p>
            <w:pPr>
              <w:ind w:left="140"/>
              <w:spacing w:after="0" w:line="173" w:lineRule="exact"/>
              <w:rPr>
                <w:sz w:val="20"/>
                <w:szCs w:val="20"/>
                <w:color w:val="auto"/>
              </w:rPr>
            </w:pPr>
            <w:r>
              <w:rPr>
                <w:rFonts w:ascii="Arial" w:cs="Arial" w:eastAsia="Arial" w:hAnsi="Arial"/>
                <w:sz w:val="16"/>
                <w:szCs w:val="16"/>
                <w:color w:val="auto"/>
              </w:rPr>
              <w:t>$</w:t>
            </w:r>
          </w:p>
        </w:tc>
        <w:tc>
          <w:tcPr>
            <w:tcW w:w="520" w:type="dxa"/>
            <w:vAlign w:val="bottom"/>
          </w:tcPr>
          <w:p>
            <w:pPr>
              <w:ind w:left="360"/>
              <w:spacing w:after="0" w:line="173" w:lineRule="exact"/>
              <w:rPr>
                <w:sz w:val="20"/>
                <w:szCs w:val="20"/>
                <w:color w:val="auto"/>
              </w:rPr>
            </w:pPr>
            <w:r>
              <w:rPr>
                <w:rFonts w:ascii="Arial" w:cs="Arial" w:eastAsia="Arial" w:hAnsi="Arial"/>
                <w:sz w:val="16"/>
                <w:szCs w:val="16"/>
                <w:color w:val="auto"/>
                <w:w w:val="87"/>
              </w:rPr>
              <w:t>—</w:t>
            </w:r>
          </w:p>
        </w:tc>
        <w:tc>
          <w:tcPr>
            <w:tcW w:w="280" w:type="dxa"/>
            <w:vAlign w:val="bottom"/>
            <w:gridSpan w:val="2"/>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840" w:type="dxa"/>
            <w:vAlign w:val="bottom"/>
          </w:tcPr>
          <w:p>
            <w:pPr>
              <w:ind w:left="680"/>
              <w:spacing w:after="0" w:line="173" w:lineRule="exact"/>
              <w:rPr>
                <w:sz w:val="20"/>
                <w:szCs w:val="20"/>
                <w:color w:val="auto"/>
              </w:rPr>
            </w:pPr>
            <w:r>
              <w:rPr>
                <w:rFonts w:ascii="Arial" w:cs="Arial" w:eastAsia="Arial" w:hAnsi="Arial"/>
                <w:sz w:val="16"/>
                <w:szCs w:val="16"/>
                <w:color w:val="auto"/>
                <w:w w:val="87"/>
              </w:rPr>
              <w:t>—</w:t>
            </w:r>
          </w:p>
        </w:tc>
        <w:tc>
          <w:tcPr>
            <w:tcW w:w="340" w:type="dxa"/>
            <w:vAlign w:val="bottom"/>
            <w:gridSpan w:val="2"/>
          </w:tcPr>
          <w:p>
            <w:pPr>
              <w:jc w:val="right"/>
              <w:ind w:right="120"/>
              <w:spacing w:after="0" w:line="17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3" w:lineRule="exact"/>
              <w:rPr>
                <w:sz w:val="20"/>
                <w:szCs w:val="20"/>
                <w:color w:val="auto"/>
              </w:rPr>
            </w:pPr>
            <w:r>
              <w:rPr>
                <w:rFonts w:ascii="Arial" w:cs="Arial" w:eastAsia="Arial" w:hAnsi="Arial"/>
                <w:sz w:val="16"/>
                <w:szCs w:val="16"/>
                <w:color w:val="auto"/>
              </w:rPr>
              <w:t>18,036</w:t>
            </w:r>
          </w:p>
        </w:tc>
        <w:tc>
          <w:tcPr>
            <w:tcW w:w="14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3"/>
        </w:trPr>
        <w:tc>
          <w:tcPr>
            <w:tcW w:w="940" w:type="dxa"/>
            <w:vAlign w:val="bottom"/>
            <w:tcBorders>
              <w:bottom w:val="single" w:sz="8" w:color="auto"/>
            </w:tcBorders>
          </w:tcPr>
          <w:p>
            <w:pPr>
              <w:spacing w:after="0"/>
              <w:rPr>
                <w:sz w:val="6"/>
                <w:szCs w:val="6"/>
                <w:color w:val="auto"/>
              </w:rPr>
            </w:pPr>
          </w:p>
        </w:tc>
        <w:tc>
          <w:tcPr>
            <w:tcW w:w="3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197" w:lineRule="exact"/>
        <w:rPr>
          <w:sz w:val="20"/>
          <w:szCs w:val="20"/>
          <w:color w:val="auto"/>
        </w:rPr>
      </w:pPr>
    </w:p>
    <w:p>
      <w:pPr>
        <w:ind w:left="1620" w:right="220" w:hanging="480"/>
        <w:spacing w:after="0" w:line="195" w:lineRule="auto"/>
        <w:tabs>
          <w:tab w:leader="none" w:pos="1620" w:val="left"/>
        </w:tabs>
        <w:numPr>
          <w:ilvl w:val="0"/>
          <w:numId w:val="62"/>
        </w:numPr>
        <w:rPr>
          <w:rFonts w:ascii="Arial" w:cs="Arial" w:eastAsia="Arial" w:hAnsi="Arial"/>
          <w:sz w:val="19"/>
          <w:szCs w:val="19"/>
          <w:color w:val="auto"/>
          <w:vertAlign w:val="superscript"/>
        </w:rPr>
      </w:pPr>
      <w:r>
        <w:rPr>
          <w:rFonts w:ascii="Arial" w:cs="Arial" w:eastAsia="Arial" w:hAnsi="Arial"/>
          <w:sz w:val="13"/>
          <w:szCs w:val="13"/>
          <w:color w:val="auto"/>
        </w:rPr>
        <w:t>Represents a payment of $10.0 million we are obligated to make under our license agreement with MedImmune upon the earlier to occur of (a) the first achievement of a specified regulatory milestone for a product licensed under the agreement and (b) December 31, 2018.</w:t>
      </w:r>
    </w:p>
    <w:p>
      <w:pPr>
        <w:spacing w:after="0" w:line="135" w:lineRule="exact"/>
        <w:rPr>
          <w:rFonts w:ascii="Arial" w:cs="Arial" w:eastAsia="Arial" w:hAnsi="Arial"/>
          <w:sz w:val="19"/>
          <w:szCs w:val="19"/>
          <w:color w:val="auto"/>
          <w:vertAlign w:val="superscript"/>
        </w:rPr>
      </w:pPr>
    </w:p>
    <w:p>
      <w:pPr>
        <w:ind w:left="1620" w:hanging="480"/>
        <w:spacing w:after="0" w:line="215" w:lineRule="auto"/>
        <w:tabs>
          <w:tab w:leader="none" w:pos="1620" w:val="left"/>
        </w:tabs>
        <w:numPr>
          <w:ilvl w:val="0"/>
          <w:numId w:val="62"/>
        </w:numPr>
        <w:rPr>
          <w:rFonts w:ascii="Arial" w:cs="Arial" w:eastAsia="Arial" w:hAnsi="Arial"/>
          <w:sz w:val="19"/>
          <w:szCs w:val="19"/>
          <w:color w:val="auto"/>
          <w:vertAlign w:val="superscript"/>
        </w:rPr>
      </w:pPr>
      <w:r>
        <w:rPr>
          <w:rFonts w:ascii="Arial" w:cs="Arial" w:eastAsia="Arial" w:hAnsi="Arial"/>
          <w:sz w:val="13"/>
          <w:szCs w:val="13"/>
          <w:color w:val="auto"/>
        </w:rPr>
        <w:t>Amounts in the table reflect commitments for costs associated with our external CMOs, which we have engaged to manufacture pre-clinical and clinical trial materials. Manufacturing commitments include agreements that are enforceable and legally binding on us and that specify all significant terms, including fixed or minimum quantities to be purchased; fixed, minimum or variable price provisions; and the approximate timing of the transaction. For obligations with cancellation provisions, the amounts included in the preceding table are limited to the non-cancelable portion of the agreement terms or the minimum cancellation fee. As of March 31, 2018, non-cancelable commitments associated with our external CMOs were $5.9 million.</w:t>
      </w:r>
    </w:p>
    <w:p>
      <w:pPr>
        <w:spacing w:after="0" w:line="137" w:lineRule="exact"/>
        <w:rPr>
          <w:rFonts w:ascii="Arial" w:cs="Arial" w:eastAsia="Arial" w:hAnsi="Arial"/>
          <w:sz w:val="19"/>
          <w:szCs w:val="19"/>
          <w:color w:val="auto"/>
          <w:vertAlign w:val="superscript"/>
        </w:rPr>
      </w:pPr>
    </w:p>
    <w:p>
      <w:pPr>
        <w:ind w:left="1620" w:right="40" w:hanging="480"/>
        <w:spacing w:after="0" w:line="215" w:lineRule="auto"/>
        <w:tabs>
          <w:tab w:leader="none" w:pos="1620" w:val="left"/>
        </w:tabs>
        <w:numPr>
          <w:ilvl w:val="0"/>
          <w:numId w:val="62"/>
        </w:numPr>
        <w:rPr>
          <w:rFonts w:ascii="Arial" w:cs="Arial" w:eastAsia="Arial" w:hAnsi="Arial"/>
          <w:sz w:val="18"/>
          <w:szCs w:val="18"/>
          <w:color w:val="auto"/>
          <w:vertAlign w:val="superscript"/>
        </w:rPr>
      </w:pPr>
      <w:r>
        <w:rPr>
          <w:rFonts w:ascii="Arial" w:cs="Arial" w:eastAsia="Arial" w:hAnsi="Arial"/>
          <w:sz w:val="12"/>
          <w:szCs w:val="12"/>
          <w:color w:val="auto"/>
        </w:rPr>
        <w:t>Represents minimum payments due for the lease of office space by our wholly owned U.S. subsidiary, Kiniksa Pharmaceuticals Corp., or Kiniksa US, in Wellesley Hills, Massachusetts under an operating lease agreement that expires in August 2018. In March 2018, Kiniksa US entered into a lease agreement for our new U.S. headquarters, which expires in July 2021. Upon execution of the lease, we made a prepayment of $0.1 million for August 2018 rent. The lease requires monthly rental payments of</w:t>
      </w:r>
    </w:p>
    <w:p>
      <w:pPr>
        <w:spacing w:after="0" w:line="1" w:lineRule="exact"/>
        <w:rPr>
          <w:rFonts w:ascii="Arial" w:cs="Arial" w:eastAsia="Arial" w:hAnsi="Arial"/>
          <w:sz w:val="18"/>
          <w:szCs w:val="18"/>
          <w:color w:val="auto"/>
          <w:vertAlign w:val="superscript"/>
        </w:rPr>
      </w:pPr>
    </w:p>
    <w:p>
      <w:pPr>
        <w:ind w:left="1620" w:right="20"/>
        <w:spacing w:after="0"/>
        <w:rPr>
          <w:rFonts w:ascii="Arial" w:cs="Arial" w:eastAsia="Arial" w:hAnsi="Arial"/>
          <w:sz w:val="18"/>
          <w:szCs w:val="18"/>
          <w:color w:val="auto"/>
          <w:vertAlign w:val="superscript"/>
        </w:rPr>
      </w:pPr>
      <w:r>
        <w:rPr>
          <w:rFonts w:ascii="Arial" w:cs="Arial" w:eastAsia="Arial" w:hAnsi="Arial"/>
          <w:sz w:val="13"/>
          <w:szCs w:val="13"/>
          <w:color w:val="auto"/>
        </w:rPr>
        <w:t>$0.1 million beginning in September 2018. The lease requires future rental payments of $0.3 million during the year ending December 31, 2018, an aggregate of $1.6 million during the years ending December 31, 2019 and 2020 and $0.5 million during the year ending December 31, 2021. Such amounts are not reflected in the table.</w:t>
      </w:r>
    </w:p>
    <w:p>
      <w:pPr>
        <w:spacing w:after="0" w:line="182"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Our contracts with CMOs, CROs and other third parties for the manufacture of our product candidates and to support clinical trials and pre-clinical research studies and testing are generally cancelable by us upon prior notice. Payments due upon cancellation consisting only of payments for services provided or expenses incurred, including noncancelable obligations of our service providers, up to the date of cancellation are not included in the preceding table as the amount and timing of such payments are not known.</w:t>
      </w:r>
    </w:p>
    <w:p>
      <w:pPr>
        <w:spacing w:after="0" w:line="187" w:lineRule="exact"/>
        <w:rPr>
          <w:sz w:val="20"/>
          <w:szCs w:val="20"/>
          <w:color w:val="auto"/>
        </w:rPr>
      </w:pPr>
    </w:p>
    <w:p>
      <w:pPr>
        <w:jc w:val="both"/>
        <w:ind w:right="60" w:firstLine="436"/>
        <w:spacing w:after="0" w:line="237" w:lineRule="auto"/>
        <w:rPr>
          <w:sz w:val="20"/>
          <w:szCs w:val="20"/>
          <w:color w:val="auto"/>
        </w:rPr>
      </w:pPr>
      <w:r>
        <w:rPr>
          <w:rFonts w:ascii="Arial" w:cs="Arial" w:eastAsia="Arial" w:hAnsi="Arial"/>
          <w:sz w:val="16"/>
          <w:szCs w:val="16"/>
          <w:color w:val="auto"/>
        </w:rPr>
        <w:t>Under various agreements with third parties, we have agreed to make milestone payments, pay royalties, annual maintenance fees and to meet due diligence requirements based upon specified milestones. We generally have not included any contingent payment obligations, such as milestones, royalties or due diligence, in the table above as the amount, timing and likelihood of such payments are not known. We have not included any of the annual maintenance fee payments in the above table, as although the amount and timing are known, we cannot currently determine the final termination dates of the agreements and, as a result, we cannot determine the total amounts of such payments we will be required to make under the agreements.</w:t>
      </w:r>
    </w:p>
    <w:p>
      <w:pPr>
        <w:spacing w:after="0" w:line="189"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Under our license agreement with Regeneron, we are obligated to make future regulatory milestone payments of $27.5 million in the aggregate. Thereafter, we have agreed to evenly split profits on our sales of rilonacept with Regeneron after deducting certain commercialization expenses subject to specified limits.</w:t>
      </w:r>
    </w:p>
    <w:p>
      <w:pPr>
        <w:spacing w:after="0" w:line="185" w:lineRule="exact"/>
        <w:rPr>
          <w:sz w:val="20"/>
          <w:szCs w:val="20"/>
          <w:color w:val="auto"/>
        </w:rPr>
      </w:pPr>
    </w:p>
    <w:p>
      <w:pPr>
        <w:ind w:right="100" w:firstLine="436"/>
        <w:spacing w:after="0" w:line="241" w:lineRule="auto"/>
        <w:rPr>
          <w:sz w:val="20"/>
          <w:szCs w:val="20"/>
          <w:color w:val="auto"/>
        </w:rPr>
      </w:pPr>
      <w:r>
        <w:rPr>
          <w:rFonts w:ascii="Arial" w:cs="Arial" w:eastAsia="Arial" w:hAnsi="Arial"/>
          <w:sz w:val="16"/>
          <w:szCs w:val="16"/>
          <w:color w:val="auto"/>
        </w:rPr>
        <w:t>Under our license agreement with MedImmune, we are obligated to make future clinical, regulatory and initial sales milestone payments of up to $72.5 million in aggregate for the first two indications we develop, including a milestone payment of $10.0 million upon the earlier to occur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a specified regulatory milestone and December 31, 2018, and clinical and regulatory milestone payments of up to $15.0 million in the aggregate for each subsequent indication. The $10.0 million milestone payment was accrued on our consolidated balance sheet as of December 31, 2017 and recognized as research and development expense during the year ended December 31, 2017. Such payment is included in the table above. We are also obligated to make milestone payments to MedImmune of up to $85.0 million upon the achievement of annual net sales thresholds of up to, but excluding, $1.0 billion in annual net sales as well as additional milestone payments aggregating up to $1.1 billion upon the achievement of additional specified annual net sales thresholds starting at $1.0 billion and higher. Commencing on the first commercial sale of licensed products, we are obligated to pay tiered royalties on escalating tiers of annual net sales of licensed products starting in the low double-digit percentages and ending at twenty percent. We must pay such royalties on a product-by-product and country-by-country basis until the latest to occur of the expiration of licensed patents, the expiration of regulatory exclusivity or the tenth anniversary of first commercial sale of such product in such country.</w:t>
      </w:r>
    </w:p>
    <w:p>
      <w:pPr>
        <w:spacing w:after="0" w:line="186"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Under our asset purchase agreement with Biogen, we are obligated to make future milestone payments of up to $325.0 million upon the achievement of specified clinical and regulatory milestones as well as upon the achievement of annual net sales thresholds. We have also agreed to pay certain obligations under third-party contracts retained by Biogen that relate to KPL-716. Additionally, we are obligated to pay tiered royalties on escalating tiers of annual net sales of licensed products starting in the high single-digit percentages and ending below the teens.</w:t>
      </w:r>
    </w:p>
    <w:p>
      <w:pPr>
        <w:spacing w:after="0" w:line="187" w:lineRule="exact"/>
        <w:rPr>
          <w:sz w:val="20"/>
          <w:szCs w:val="20"/>
          <w:color w:val="auto"/>
        </w:rPr>
      </w:pPr>
    </w:p>
    <w:p>
      <w:pPr>
        <w:ind w:right="180" w:firstLine="436"/>
        <w:spacing w:after="0" w:line="238" w:lineRule="auto"/>
        <w:rPr>
          <w:sz w:val="20"/>
          <w:szCs w:val="20"/>
          <w:color w:val="auto"/>
        </w:rPr>
      </w:pPr>
      <w:r>
        <w:rPr>
          <w:rFonts w:ascii="Arial" w:cs="Arial" w:eastAsia="Arial" w:hAnsi="Arial"/>
          <w:sz w:val="16"/>
          <w:szCs w:val="16"/>
          <w:color w:val="auto"/>
        </w:rPr>
        <w:t>Under our license agreement with Novo Nordisk, we are obligated to make future milestone payments upon the achievement of specified clinical, regulatory, initial sales milestones as well as upon the achievement of annual net sales thresholds, including a payment of $1.0 million upon the earlier to occur of a specified regulatory milestone and January 2020. We are also obligated to pay royalties on annual net sales of products licensed under the agreement. In addition, we are obligated to make a payment upon the completion of technology transfer.</w:t>
      </w:r>
    </w:p>
    <w:p>
      <w:pPr>
        <w:spacing w:after="0" w:line="187" w:lineRule="exact"/>
        <w:rPr>
          <w:sz w:val="20"/>
          <w:szCs w:val="20"/>
          <w:color w:val="auto"/>
        </w:rPr>
      </w:pPr>
    </w:p>
    <w:p>
      <w:pPr>
        <w:ind w:right="100" w:firstLine="436"/>
        <w:spacing w:after="0" w:line="251" w:lineRule="auto"/>
        <w:rPr>
          <w:sz w:val="20"/>
          <w:szCs w:val="20"/>
          <w:color w:val="auto"/>
        </w:rPr>
      </w:pPr>
      <w:r>
        <w:rPr>
          <w:rFonts w:ascii="Arial" w:cs="Arial" w:eastAsia="Arial" w:hAnsi="Arial"/>
          <w:sz w:val="15"/>
          <w:szCs w:val="15"/>
          <w:color w:val="auto"/>
        </w:rPr>
        <w:t>We have an exclusive option to acquire all outstanding capital stock of Primatope, which, subject to extension and the payment of specified extension fees, is exercisable until January 2019. If the option is exercised, we will acquire all of the outstanding equity of Primatope in exchange for upfront consideration of</w:t>
      </w:r>
    </w:p>
    <w:p>
      <w:pPr>
        <w:spacing w:after="0" w:line="1" w:lineRule="exact"/>
        <w:rPr>
          <w:sz w:val="20"/>
          <w:szCs w:val="20"/>
          <w:color w:val="auto"/>
        </w:rPr>
      </w:pPr>
    </w:p>
    <w:p>
      <w:pPr>
        <w:ind w:right="320"/>
        <w:spacing w:after="0" w:line="241" w:lineRule="auto"/>
        <w:rPr>
          <w:sz w:val="20"/>
          <w:szCs w:val="20"/>
          <w:color w:val="auto"/>
        </w:rPr>
      </w:pPr>
      <w:r>
        <w:rPr>
          <w:rFonts w:ascii="Arial" w:cs="Arial" w:eastAsia="Arial" w:hAnsi="Arial"/>
          <w:sz w:val="16"/>
          <w:szCs w:val="16"/>
          <w:color w:val="auto"/>
        </w:rPr>
        <w:t>$10.0 million as well as potential milestone payments of up to $10.0 million, in each case payable in a combination of cash and issuance of our Class A common shares.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210"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8" w:lineRule="exact"/>
        <w:rPr>
          <w:sz w:val="20"/>
          <w:szCs w:val="20"/>
          <w:color w:val="auto"/>
        </w:rPr>
      </w:pPr>
    </w:p>
    <w:p>
      <w:pPr>
        <w:ind w:right="440" w:firstLine="436"/>
        <w:spacing w:after="0" w:line="239" w:lineRule="auto"/>
        <w:rPr>
          <w:sz w:val="20"/>
          <w:szCs w:val="20"/>
          <w:color w:val="auto"/>
        </w:rPr>
      </w:pPr>
      <w:r>
        <w:rPr>
          <w:rFonts w:ascii="Arial" w:cs="Arial" w:eastAsia="Arial" w:hAnsi="Arial"/>
          <w:sz w:val="16"/>
          <w:szCs w:val="16"/>
          <w:color w:val="auto"/>
        </w:rPr>
        <w:t>While our significant accounting policies are described in more detail in Note 2 to our consolidated financial statements appearing at the end of this prospectus, we believe that the following accounting policies are those most critical to the judgments and estimates used in the preparation of our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Accrued Research and Development Expenses</w:t>
      </w:r>
    </w:p>
    <w:p>
      <w:pPr>
        <w:spacing w:after="0" w:line="208" w:lineRule="exact"/>
        <w:rPr>
          <w:sz w:val="20"/>
          <w:szCs w:val="20"/>
          <w:color w:val="auto"/>
        </w:rPr>
      </w:pPr>
    </w:p>
    <w:p>
      <w:pPr>
        <w:ind w:right="60" w:firstLine="427"/>
        <w:spacing w:after="0" w:line="237"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88" w:lineRule="exact"/>
        <w:rPr>
          <w:sz w:val="20"/>
          <w:szCs w:val="20"/>
          <w:color w:val="auto"/>
        </w:rPr>
      </w:pPr>
    </w:p>
    <w:p>
      <w:pPr>
        <w:ind w:left="960" w:hanging="481"/>
        <w:spacing w:after="0"/>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vendors, including research laboratories, in connection with pre-clinical development activities;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CROs and investigative sites in connection with pre-clinical studies and clinical trials;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CMOs in connection with drug substance and drug product formulation of pre-clinical studies and clinical trial materials.</w:t>
      </w:r>
    </w:p>
    <w:p>
      <w:pPr>
        <w:spacing w:after="0" w:line="190" w:lineRule="exact"/>
        <w:rPr>
          <w:sz w:val="20"/>
          <w:szCs w:val="20"/>
          <w:color w:val="auto"/>
        </w:rPr>
      </w:pPr>
    </w:p>
    <w:p>
      <w:pPr>
        <w:ind w:right="60" w:firstLine="436"/>
        <w:spacing w:after="0" w:line="236"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08"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We measure options and other share-based awards granted to employees and directors based on the fair value on the date of the grant and recognize the corresponding compensation expense of those awards over the requisite service period, which is generally the vesting period of the respective award. We have only issued options and restricted share awards with service-based vesting conditions and record the expense for these awards using the straight-line method.</w:t>
      </w:r>
    </w:p>
    <w:p>
      <w:pPr>
        <w:spacing w:after="0" w:line="186" w:lineRule="exact"/>
        <w:rPr>
          <w:sz w:val="20"/>
          <w:szCs w:val="20"/>
          <w:color w:val="auto"/>
        </w:rPr>
      </w:pPr>
    </w:p>
    <w:p>
      <w:pPr>
        <w:ind w:firstLine="436"/>
        <w:spacing w:after="0" w:line="262" w:lineRule="auto"/>
        <w:rPr>
          <w:sz w:val="20"/>
          <w:szCs w:val="20"/>
          <w:color w:val="auto"/>
        </w:rPr>
      </w:pPr>
      <w:r>
        <w:rPr>
          <w:rFonts w:ascii="Arial" w:cs="Arial" w:eastAsia="Arial" w:hAnsi="Arial"/>
          <w:sz w:val="15"/>
          <w:szCs w:val="15"/>
          <w:color w:val="auto"/>
        </w:rPr>
        <w:t>For share-based awards granted to consultants and non-employees, we recognize compensation expense over the period during which services are rendered by such consultants and non-employees until completed. At the end of each financial reporting period prior to completion of the service, the fair value of these awards is remeasured using the then-current fair value of our Class A common shares and updated assumption inputs in the Black-Scholes option-pricing model.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460" w:firstLine="436"/>
        <w:spacing w:after="0" w:line="239" w:lineRule="auto"/>
        <w:rPr>
          <w:sz w:val="20"/>
          <w:szCs w:val="20"/>
          <w:color w:val="auto"/>
        </w:rPr>
      </w:pPr>
      <w:r>
        <w:rPr>
          <w:rFonts w:ascii="Arial" w:cs="Arial" w:eastAsia="Arial" w:hAnsi="Arial"/>
          <w:sz w:val="16"/>
          <w:szCs w:val="16"/>
          <w:color w:val="auto"/>
        </w:rPr>
        <w:t>We estimate the fair value of each option grant using the Black-Scholes option-pricing model, which uses as inputs the fair value of our Class A common shares and assumptions we make for the volatility of our Class A common shares, the expected term of our options, the risk-free interest rate for a period that approximates the expected term of our options and our expected dividend yield.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Determination of the Fair Value of Common Shares</w:t>
      </w:r>
    </w:p>
    <w:p>
      <w:pPr>
        <w:spacing w:after="0" w:line="206" w:lineRule="exact"/>
        <w:rPr>
          <w:sz w:val="20"/>
          <w:szCs w:val="20"/>
          <w:color w:val="auto"/>
        </w:rPr>
      </w:pPr>
    </w:p>
    <w:p>
      <w:pPr>
        <w:ind w:firstLine="427"/>
        <w:spacing w:after="0" w:line="253" w:lineRule="auto"/>
        <w:rPr>
          <w:sz w:val="20"/>
          <w:szCs w:val="20"/>
          <w:color w:val="auto"/>
        </w:rPr>
      </w:pPr>
      <w:r>
        <w:rPr>
          <w:rFonts w:ascii="Arial" w:cs="Arial" w:eastAsia="Arial" w:hAnsi="Arial"/>
          <w:sz w:val="15"/>
          <w:szCs w:val="15"/>
          <w:color w:val="auto"/>
        </w:rPr>
        <w:t xml:space="preserve">As there has been no public market for our Class A common shares to date, the estimated fair value of our common shares has been determined by our board of directors as of the date of each option grant, with input from management, considering third-party valuations of our Class A common shares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Our common share valuations were prepared using the option-pricing method, or OPM, which used a market approach to estimate our enterprise value. The OPM treats common shares and preferred shares as call options on the total equity value of a company, with exercise prices based on the value thresholds at which the allocation among the various holders of a company's securities changes. Under this method, the common shares have value only if the funds available for distribution to shareholders exceeded the value of the preferred share liquidation preferences at the time of the liquidity event, such as a strategic sale or a merger. A discount for lack of marketability of the common shares is then applied to arrive at an indication of value for the common shares. These third-party valuations were performed at various dates, which resulted in valuations of our common shares of $1.59 per share as of October 15, 2015, $1.86 per share as of September 16, 2016, $3.80 per share as of March 8, 2017 and June 29, 2017, $4.46 per share as of September 4, 2017, $4.68 as of December 14, 2017 and $10.36 as of March 1, 2018.</w:t>
      </w:r>
    </w:p>
    <w:p>
      <w:pPr>
        <w:spacing w:after="0" w:line="182" w:lineRule="exact"/>
        <w:rPr>
          <w:sz w:val="20"/>
          <w:szCs w:val="20"/>
          <w:color w:val="auto"/>
        </w:rPr>
      </w:pPr>
    </w:p>
    <w:p>
      <w:pPr>
        <w:ind w:right="300" w:firstLine="436"/>
        <w:spacing w:after="0" w:line="241" w:lineRule="auto"/>
        <w:rPr>
          <w:sz w:val="20"/>
          <w:szCs w:val="20"/>
          <w:color w:val="auto"/>
        </w:rPr>
      </w:pPr>
      <w:r>
        <w:rPr>
          <w:rFonts w:ascii="Arial" w:cs="Arial" w:eastAsia="Arial" w:hAnsi="Arial"/>
          <w:sz w:val="16"/>
          <w:szCs w:val="16"/>
          <w:color w:val="auto"/>
        </w:rPr>
        <w:t>Our board of directors considered various objective and subjective factors to determine the fair value of our Class A common shares as of each grant date, including:</w:t>
      </w:r>
    </w:p>
    <w:p>
      <w:pPr>
        <w:spacing w:after="0" w:line="185" w:lineRule="exact"/>
        <w:rPr>
          <w:sz w:val="20"/>
          <w:szCs w:val="20"/>
          <w:color w:val="auto"/>
        </w:rPr>
      </w:pPr>
    </w:p>
    <w:p>
      <w:pPr>
        <w:ind w:left="960" w:right="100" w:hanging="481"/>
        <w:spacing w:after="0" w:line="241"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prices at which we sold preferred shares and the superior rights and preferences of the preferred shares relative to our Class A common shares at the time of each grant;</w:t>
      </w:r>
    </w:p>
    <w:p>
      <w:pPr>
        <w:spacing w:after="0" w:line="185"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progress and value of our research and development programs, including the status of pre-clinical studies and planned clinical trials for our product candidates;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stage of development and our business strategy;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external market conditions affecting the biotechnology industry, and trends within the biotechnology industry;</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financial position, including cash on hand, our historical and forecasted performance and operating results;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lack of an active public market for our Class A common shares and our preferred shares;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IPO, or a sale of our company in light of prevailing market conditions;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analysis of IPOs and the market performance of similar companies in the biopharmaceutical industry;</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market value of equity interests in similar corporations and other entities engaged in businesses substantially similar to ours;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most recent transactions involving our preferred shares;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current and potential strategic relationships, licenses and acquisitions;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competitive developments.</w:t>
      </w:r>
    </w:p>
    <w:p>
      <w:pPr>
        <w:spacing w:after="0" w:line="190"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w:t>
      </w:r>
    </w:p>
    <w:p>
      <w:pPr>
        <w:spacing w:after="0" w:line="186"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Following the closing of this offering, the fair value of our Class A common shares will be determined based on the quoted market price of our Class A common shares.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Options Granted</w:t>
      </w:r>
    </w:p>
    <w:p>
      <w:pPr>
        <w:spacing w:after="0" w:line="206" w:lineRule="exact"/>
        <w:rPr>
          <w:sz w:val="20"/>
          <w:szCs w:val="20"/>
          <w:color w:val="auto"/>
        </w:rPr>
      </w:pPr>
    </w:p>
    <w:p>
      <w:pPr>
        <w:ind w:right="160" w:firstLine="433"/>
        <w:spacing w:after="0" w:line="239" w:lineRule="auto"/>
        <w:rPr>
          <w:sz w:val="20"/>
          <w:szCs w:val="20"/>
          <w:color w:val="auto"/>
        </w:rPr>
      </w:pPr>
      <w:r>
        <w:rPr>
          <w:rFonts w:ascii="Arial" w:cs="Arial" w:eastAsia="Arial" w:hAnsi="Arial"/>
          <w:sz w:val="16"/>
          <w:szCs w:val="16"/>
          <w:color w:val="auto"/>
        </w:rPr>
        <w:t>The following table sets forth by grant date the number of Class A common shares subject to options granted from January 1, 2016 through the date of this prospectus, the per share exercise price of the options, the fair value of common shares per share on each grant date and the per share estimated fair value of the options: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40" w:type="dxa"/>
            <w:vAlign w:val="bottom"/>
          </w:tcPr>
          <w:p>
            <w:pPr>
              <w:jc w:val="center"/>
              <w:ind w:left="2"/>
              <w:spacing w:after="0"/>
              <w:rPr>
                <w:sz w:val="20"/>
                <w:szCs w:val="20"/>
                <w:color w:val="auto"/>
              </w:rPr>
            </w:pPr>
            <w:r>
              <w:rPr>
                <w:rFonts w:ascii="Arial" w:cs="Arial" w:eastAsia="Arial" w:hAnsi="Arial"/>
                <w:sz w:val="16"/>
                <w:szCs w:val="16"/>
                <w:b w:val="1"/>
                <w:bCs w:val="1"/>
                <w:color w:val="auto"/>
                <w:w w:val="99"/>
              </w:rPr>
              <w:t>Number of</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8"/>
              </w:rPr>
              <w:t>Per Share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6"/>
              </w:rPr>
              <w:t>Fair Value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Per Share</w:t>
            </w:r>
          </w:p>
        </w:tc>
      </w:tr>
      <w:tr>
        <w:trPr>
          <w:trHeight w:val="181"/>
        </w:trPr>
        <w:tc>
          <w:tcPr>
            <w:tcW w:w="8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6"/>
              </w:rPr>
              <w:t>Shares Subject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Exercise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7"/>
              </w:rPr>
              <w:t>per Common</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w w:val="97"/>
              </w:rPr>
              <w:t>Estimated Fair</w:t>
            </w:r>
          </w:p>
        </w:tc>
      </w:tr>
      <w:tr>
        <w:trPr>
          <w:trHeight w:val="181"/>
        </w:trPr>
        <w:tc>
          <w:tcPr>
            <w:tcW w:w="8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9"/>
              </w:rPr>
              <w:t>to Options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Price of</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9"/>
              </w:rPr>
              <w:t>Share on</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w w:val="96"/>
              </w:rPr>
              <w:t>Value of</w:t>
            </w:r>
          </w:p>
        </w:tc>
      </w:tr>
      <w:tr>
        <w:trPr>
          <w:trHeight w:val="174"/>
        </w:trPr>
        <w:tc>
          <w:tcPr>
            <w:tcW w:w="3780" w:type="dxa"/>
            <w:vAlign w:val="bottom"/>
            <w:gridSpan w:val="2"/>
          </w:tcPr>
          <w:p>
            <w:pPr>
              <w:spacing w:after="0" w:line="174" w:lineRule="exact"/>
              <w:rPr>
                <w:sz w:val="20"/>
                <w:szCs w:val="20"/>
                <w:color w:val="auto"/>
              </w:rPr>
            </w:pPr>
            <w:r>
              <w:rPr>
                <w:rFonts w:ascii="Arial" w:cs="Arial" w:eastAsia="Arial" w:hAnsi="Arial"/>
                <w:sz w:val="16"/>
                <w:szCs w:val="16"/>
                <w:b w:val="1"/>
                <w:bCs w:val="1"/>
                <w:color w:val="auto"/>
              </w:rPr>
              <w:t>Grant Date</w:t>
            </w:r>
          </w:p>
        </w:tc>
        <w:tc>
          <w:tcPr>
            <w:tcW w:w="1240" w:type="dxa"/>
            <w:vAlign w:val="bottom"/>
          </w:tcPr>
          <w:p>
            <w:pPr>
              <w:jc w:val="center"/>
              <w:ind w:left="2"/>
              <w:spacing w:after="0" w:line="174" w:lineRule="exact"/>
              <w:rPr>
                <w:sz w:val="20"/>
                <w:szCs w:val="20"/>
                <w:color w:val="auto"/>
              </w:rPr>
            </w:pPr>
            <w:r>
              <w:rPr>
                <w:rFonts w:ascii="Arial" w:cs="Arial" w:eastAsia="Arial" w:hAnsi="Arial"/>
                <w:sz w:val="16"/>
                <w:szCs w:val="16"/>
                <w:b w:val="1"/>
                <w:bCs w:val="1"/>
                <w:color w:val="auto"/>
                <w:w w:val="97"/>
              </w:rPr>
              <w:t>Granted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95"/>
              </w:rPr>
              <w:t>Options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left="2"/>
              <w:spacing w:after="0" w:line="174" w:lineRule="exact"/>
              <w:rPr>
                <w:sz w:val="20"/>
                <w:szCs w:val="20"/>
                <w:color w:val="auto"/>
              </w:rPr>
            </w:pPr>
            <w:r>
              <w:rPr>
                <w:rFonts w:ascii="Arial" w:cs="Arial" w:eastAsia="Arial" w:hAnsi="Arial"/>
                <w:sz w:val="16"/>
                <w:szCs w:val="16"/>
                <w:b w:val="1"/>
                <w:bCs w:val="1"/>
                <w:color w:val="auto"/>
                <w:w w:val="97"/>
              </w:rPr>
              <w:t>Grant Date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80"/>
              <w:spacing w:after="0" w:line="174" w:lineRule="exact"/>
              <w:rPr>
                <w:sz w:val="20"/>
                <w:szCs w:val="20"/>
                <w:color w:val="auto"/>
              </w:rPr>
            </w:pPr>
            <w:r>
              <w:rPr>
                <w:rFonts w:ascii="Arial" w:cs="Arial" w:eastAsia="Arial" w:hAnsi="Arial"/>
                <w:sz w:val="16"/>
                <w:szCs w:val="16"/>
                <w:b w:val="1"/>
                <w:bCs w:val="1"/>
                <w:color w:val="auto"/>
                <w:w w:val="99"/>
              </w:rPr>
              <w:t>Options</w:t>
            </w: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37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March 16, 2016</w:t>
            </w:r>
          </w:p>
        </w:tc>
        <w:tc>
          <w:tcPr>
            <w:tcW w:w="12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27,445</w:t>
            </w:r>
          </w:p>
        </w:tc>
        <w:tc>
          <w:tcPr>
            <w:tcW w:w="3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1.59</w:t>
            </w:r>
          </w:p>
        </w:tc>
        <w:tc>
          <w:tcPr>
            <w:tcW w:w="3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1.59</w:t>
            </w:r>
          </w:p>
        </w:tc>
        <w:tc>
          <w:tcPr>
            <w:tcW w:w="3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1.05</w:t>
            </w:r>
          </w:p>
        </w:tc>
        <w:tc>
          <w:tcPr>
            <w:tcW w:w="140" w:type="dxa"/>
            <w:vAlign w:val="bottom"/>
            <w:shd w:val="clear" w:color="auto" w:fill="CCEEFF"/>
          </w:tcPr>
          <w:p>
            <w:pPr>
              <w:spacing w:after="0"/>
              <w:rPr>
                <w:sz w:val="14"/>
                <w:szCs w:val="14"/>
                <w:color w:val="auto"/>
              </w:rPr>
            </w:pPr>
          </w:p>
        </w:tc>
      </w:tr>
      <w:tr>
        <w:trPr>
          <w:trHeight w:val="181"/>
        </w:trPr>
        <w:tc>
          <w:tcPr>
            <w:tcW w:w="3780" w:type="dxa"/>
            <w:vAlign w:val="bottom"/>
            <w:gridSpan w:val="2"/>
          </w:tcPr>
          <w:p>
            <w:pPr>
              <w:spacing w:after="0" w:line="181" w:lineRule="exact"/>
              <w:rPr>
                <w:sz w:val="20"/>
                <w:szCs w:val="20"/>
                <w:color w:val="auto"/>
              </w:rPr>
            </w:pPr>
            <w:r>
              <w:rPr>
                <w:rFonts w:ascii="Arial" w:cs="Arial" w:eastAsia="Arial" w:hAnsi="Arial"/>
                <w:sz w:val="16"/>
                <w:szCs w:val="16"/>
                <w:color w:val="auto"/>
              </w:rPr>
              <w:t>June 1, 2016</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22,322</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1.59</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1.59</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0.96</w:t>
            </w:r>
          </w:p>
        </w:tc>
        <w:tc>
          <w:tcPr>
            <w:tcW w:w="140" w:type="dxa"/>
            <w:vAlign w:val="bottom"/>
          </w:tcPr>
          <w:p>
            <w:pPr>
              <w:spacing w:after="0"/>
              <w:rPr>
                <w:sz w:val="15"/>
                <w:szCs w:val="15"/>
                <w:color w:val="auto"/>
              </w:rPr>
            </w:pPr>
          </w:p>
        </w:tc>
      </w:tr>
      <w:tr>
        <w:trPr>
          <w:trHeight w:val="181"/>
        </w:trPr>
        <w:tc>
          <w:tcPr>
            <w:tcW w:w="37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September 14, 2016</w:t>
            </w: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246,420</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1.86</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1.86</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1.18</w:t>
            </w:r>
          </w:p>
        </w:tc>
        <w:tc>
          <w:tcPr>
            <w:tcW w:w="140" w:type="dxa"/>
            <w:vAlign w:val="bottom"/>
            <w:shd w:val="clear" w:color="auto" w:fill="CCEEFF"/>
          </w:tcPr>
          <w:p>
            <w:pPr>
              <w:spacing w:after="0"/>
              <w:rPr>
                <w:sz w:val="15"/>
                <w:szCs w:val="15"/>
                <w:color w:val="auto"/>
              </w:rPr>
            </w:pPr>
          </w:p>
        </w:tc>
      </w:tr>
      <w:tr>
        <w:trPr>
          <w:trHeight w:val="181"/>
        </w:trPr>
        <w:tc>
          <w:tcPr>
            <w:tcW w:w="3780" w:type="dxa"/>
            <w:vAlign w:val="bottom"/>
            <w:gridSpan w:val="2"/>
          </w:tcPr>
          <w:p>
            <w:pPr>
              <w:spacing w:after="0" w:line="181" w:lineRule="exact"/>
              <w:rPr>
                <w:sz w:val="20"/>
                <w:szCs w:val="20"/>
                <w:color w:val="auto"/>
              </w:rPr>
            </w:pPr>
            <w:r>
              <w:rPr>
                <w:rFonts w:ascii="Arial" w:cs="Arial" w:eastAsia="Arial" w:hAnsi="Arial"/>
                <w:sz w:val="16"/>
                <w:szCs w:val="16"/>
                <w:color w:val="auto"/>
              </w:rPr>
              <w:t>December 7, 2016</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33,486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1.86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1.86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1.22</w:t>
            </w:r>
          </w:p>
        </w:tc>
        <w:tc>
          <w:tcPr>
            <w:tcW w:w="140" w:type="dxa"/>
            <w:vAlign w:val="bottom"/>
          </w:tcPr>
          <w:p>
            <w:pPr>
              <w:spacing w:after="0"/>
              <w:rPr>
                <w:sz w:val="15"/>
                <w:szCs w:val="15"/>
                <w:color w:val="auto"/>
              </w:rPr>
            </w:pPr>
          </w:p>
        </w:tc>
      </w:tr>
      <w:tr>
        <w:trPr>
          <w:trHeight w:val="181"/>
        </w:trPr>
        <w:tc>
          <w:tcPr>
            <w:tcW w:w="37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March 6, 2017</w:t>
            </w: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39,341</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2.54</w:t>
            </w:r>
          </w:p>
        </w:tc>
        <w:tc>
          <w:tcPr>
            <w:tcW w:w="140" w:type="dxa"/>
            <w:vAlign w:val="bottom"/>
            <w:shd w:val="clear" w:color="auto" w:fill="CCEEFF"/>
          </w:tcPr>
          <w:p>
            <w:pPr>
              <w:spacing w:after="0"/>
              <w:rPr>
                <w:sz w:val="15"/>
                <w:szCs w:val="15"/>
                <w:color w:val="auto"/>
              </w:rPr>
            </w:pPr>
          </w:p>
        </w:tc>
      </w:tr>
      <w:tr>
        <w:trPr>
          <w:trHeight w:val="181"/>
        </w:trPr>
        <w:tc>
          <w:tcPr>
            <w:tcW w:w="3780" w:type="dxa"/>
            <w:vAlign w:val="bottom"/>
            <w:gridSpan w:val="2"/>
          </w:tcPr>
          <w:p>
            <w:pPr>
              <w:spacing w:after="0" w:line="181" w:lineRule="exact"/>
              <w:rPr>
                <w:sz w:val="20"/>
                <w:szCs w:val="20"/>
                <w:color w:val="auto"/>
              </w:rPr>
            </w:pPr>
            <w:r>
              <w:rPr>
                <w:rFonts w:ascii="Arial" w:cs="Arial" w:eastAsia="Arial" w:hAnsi="Arial"/>
                <w:sz w:val="16"/>
                <w:szCs w:val="16"/>
                <w:color w:val="auto"/>
              </w:rPr>
              <w:t>June 7, 2017</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42,815</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2.50</w:t>
            </w:r>
          </w:p>
        </w:tc>
        <w:tc>
          <w:tcPr>
            <w:tcW w:w="140" w:type="dxa"/>
            <w:vAlign w:val="bottom"/>
          </w:tcPr>
          <w:p>
            <w:pPr>
              <w:spacing w:after="0"/>
              <w:rPr>
                <w:sz w:val="15"/>
                <w:szCs w:val="15"/>
                <w:color w:val="auto"/>
              </w:rPr>
            </w:pPr>
          </w:p>
        </w:tc>
      </w:tr>
      <w:tr>
        <w:trPr>
          <w:trHeight w:val="181"/>
        </w:trPr>
        <w:tc>
          <w:tcPr>
            <w:tcW w:w="37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June 29, 2017</w:t>
            </w: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1,275,144</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3.80</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2.51</w:t>
            </w:r>
          </w:p>
        </w:tc>
        <w:tc>
          <w:tcPr>
            <w:tcW w:w="140" w:type="dxa"/>
            <w:vAlign w:val="bottom"/>
            <w:shd w:val="clear" w:color="auto" w:fill="CCEEFF"/>
          </w:tcPr>
          <w:p>
            <w:pPr>
              <w:spacing w:after="0"/>
              <w:rPr>
                <w:sz w:val="15"/>
                <w:szCs w:val="15"/>
                <w:color w:val="auto"/>
              </w:rPr>
            </w:pPr>
          </w:p>
        </w:tc>
      </w:tr>
      <w:tr>
        <w:trPr>
          <w:trHeight w:val="181"/>
        </w:trPr>
        <w:tc>
          <w:tcPr>
            <w:tcW w:w="3780" w:type="dxa"/>
            <w:vAlign w:val="bottom"/>
            <w:gridSpan w:val="2"/>
          </w:tcPr>
          <w:p>
            <w:pPr>
              <w:spacing w:after="0" w:line="181" w:lineRule="exact"/>
              <w:rPr>
                <w:sz w:val="20"/>
                <w:szCs w:val="20"/>
                <w:color w:val="auto"/>
              </w:rPr>
            </w:pPr>
            <w:r>
              <w:rPr>
                <w:rFonts w:ascii="Arial" w:cs="Arial" w:eastAsia="Arial" w:hAnsi="Arial"/>
                <w:sz w:val="16"/>
                <w:szCs w:val="16"/>
                <w:color w:val="auto"/>
              </w:rPr>
              <w:t>September 14, 2017</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78,685</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4.46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4.46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1" w:lineRule="exact"/>
              <w:rPr>
                <w:sz w:val="20"/>
                <w:szCs w:val="20"/>
                <w:color w:val="auto"/>
              </w:rPr>
            </w:pPr>
            <w:r>
              <w:rPr>
                <w:rFonts w:ascii="Arial" w:cs="Arial" w:eastAsia="Arial" w:hAnsi="Arial"/>
                <w:sz w:val="16"/>
                <w:szCs w:val="16"/>
                <w:color w:val="auto"/>
              </w:rPr>
              <w:t>2.92</w:t>
            </w:r>
          </w:p>
        </w:tc>
        <w:tc>
          <w:tcPr>
            <w:tcW w:w="140" w:type="dxa"/>
            <w:vAlign w:val="bottom"/>
          </w:tcPr>
          <w:p>
            <w:pPr>
              <w:spacing w:after="0"/>
              <w:rPr>
                <w:sz w:val="15"/>
                <w:szCs w:val="15"/>
                <w:color w:val="auto"/>
              </w:rPr>
            </w:pPr>
          </w:p>
        </w:tc>
      </w:tr>
      <w:tr>
        <w:trPr>
          <w:trHeight w:val="181"/>
        </w:trPr>
        <w:tc>
          <w:tcPr>
            <w:tcW w:w="37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December 14, 2017</w:t>
            </w:r>
          </w:p>
        </w:tc>
        <w:tc>
          <w:tcPr>
            <w:tcW w:w="1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110,889</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4.68</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4.68</w:t>
            </w:r>
          </w:p>
        </w:tc>
        <w:tc>
          <w:tcPr>
            <w:tcW w:w="3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3.07</w:t>
            </w:r>
          </w:p>
        </w:tc>
        <w:tc>
          <w:tcPr>
            <w:tcW w:w="140" w:type="dxa"/>
            <w:vAlign w:val="bottom"/>
            <w:shd w:val="clear" w:color="auto" w:fill="CCEEFF"/>
          </w:tcPr>
          <w:p>
            <w:pPr>
              <w:spacing w:after="0"/>
              <w:rPr>
                <w:sz w:val="15"/>
                <w:szCs w:val="15"/>
                <w:color w:val="auto"/>
              </w:rPr>
            </w:pPr>
          </w:p>
        </w:tc>
      </w:tr>
      <w:tr>
        <w:trPr>
          <w:trHeight w:val="191"/>
        </w:trPr>
        <w:tc>
          <w:tcPr>
            <w:tcW w:w="3780" w:type="dxa"/>
            <w:vAlign w:val="bottom"/>
            <w:gridSpan w:val="2"/>
          </w:tcPr>
          <w:p>
            <w:pPr>
              <w:spacing w:after="0"/>
              <w:rPr>
                <w:sz w:val="20"/>
                <w:szCs w:val="20"/>
                <w:color w:val="auto"/>
              </w:rPr>
            </w:pPr>
            <w:r>
              <w:rPr>
                <w:rFonts w:ascii="Arial" w:cs="Arial" w:eastAsia="Arial" w:hAnsi="Arial"/>
                <w:sz w:val="16"/>
                <w:szCs w:val="16"/>
                <w:color w:val="auto"/>
              </w:rPr>
              <w:t>March 1, 2018</w:t>
            </w:r>
          </w:p>
        </w:tc>
        <w:tc>
          <w:tcPr>
            <w:tcW w:w="1240" w:type="dxa"/>
            <w:vAlign w:val="bottom"/>
          </w:tcPr>
          <w:p>
            <w:pPr>
              <w:jc w:val="right"/>
              <w:spacing w:after="0"/>
              <w:rPr>
                <w:sz w:val="20"/>
                <w:szCs w:val="20"/>
                <w:color w:val="auto"/>
              </w:rPr>
            </w:pPr>
            <w:r>
              <w:rPr>
                <w:rFonts w:ascii="Arial" w:cs="Arial" w:eastAsia="Arial" w:hAnsi="Arial"/>
                <w:sz w:val="16"/>
                <w:szCs w:val="16"/>
                <w:color w:val="auto"/>
              </w:rPr>
              <w:t>1,652,321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10.36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7.17</w:t>
            </w:r>
          </w:p>
        </w:tc>
        <w:tc>
          <w:tcPr>
            <w:tcW w:w="140" w:type="dxa"/>
            <w:vAlign w:val="bottom"/>
          </w:tcPr>
          <w:p>
            <w:pPr>
              <w:spacing w:after="0"/>
              <w:rPr>
                <w:sz w:val="16"/>
                <w:szCs w:val="16"/>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210"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10" w:lineRule="exact"/>
        <w:rPr>
          <w:sz w:val="20"/>
          <w:szCs w:val="20"/>
          <w:color w:val="auto"/>
        </w:rPr>
      </w:pPr>
    </w:p>
    <w:p>
      <w:pPr>
        <w:ind w:right="220" w:firstLine="436"/>
        <w:spacing w:after="0" w:line="241" w:lineRule="auto"/>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in the rules and regulations of the Securities and Exchange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210" w:lineRule="exact"/>
        <w:rPr>
          <w:sz w:val="20"/>
          <w:szCs w:val="20"/>
          <w:color w:val="auto"/>
        </w:rPr>
      </w:pPr>
    </w:p>
    <w:p>
      <w:pPr>
        <w:ind w:right="160" w:firstLine="427"/>
        <w:spacing w:after="0" w:line="241"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disclosed in Note 2 to our consolidated financial statements appearing at the end of this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08" w:lineRule="exact"/>
        <w:rPr>
          <w:sz w:val="20"/>
          <w:szCs w:val="20"/>
          <w:color w:val="auto"/>
        </w:rPr>
      </w:pPr>
    </w:p>
    <w:p>
      <w:pPr>
        <w:jc w:val="both"/>
        <w:ind w:right="40" w:firstLine="427"/>
        <w:spacing w:after="0" w:line="239" w:lineRule="auto"/>
        <w:rPr>
          <w:sz w:val="20"/>
          <w:szCs w:val="20"/>
          <w:color w:val="auto"/>
        </w:rPr>
      </w:pPr>
      <w:r>
        <w:rPr>
          <w:rFonts w:ascii="Arial" w:cs="Arial" w:eastAsia="Arial" w:hAnsi="Arial"/>
          <w:sz w:val="16"/>
          <w:szCs w:val="16"/>
          <w:color w:val="auto"/>
        </w:rPr>
        <w:t>As of December 31, 2016, December 31, 2017 and March 31, 2018, we had cash equivalents consisting of money market funds and U.S. Treasury securities. Based on the carrying value of the cash equivalents, an immediate change by 100 basis points in the interest rates would not have a material impact on our financial position or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BUSINESS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0"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We are a clinical-stage biopharmaceutical company focused on discovering, acquiring, developing and commercializing therapeutic medicines for patients suffering from debilitating diseases with significant unmet medical need. We have a pipeline of product candidates across various stages of development, currently focused on autoinflammatory and autoimmune conditions. We have three clinical-stage product candidates, one of which is anticipated to commence a Phase 3 clinical trial in 2018. We follow a disciplined and methodical approach to selectively identify and acquire product candidates with strong biologic rationales or validated mechanisms of action. We believe that each of our product candidates has the potential to address multiple indications.</w:t>
      </w:r>
    </w:p>
    <w:p>
      <w:pPr>
        <w:spacing w:after="0" w:line="189" w:lineRule="exact"/>
        <w:rPr>
          <w:sz w:val="20"/>
          <w:szCs w:val="20"/>
          <w:color w:val="auto"/>
        </w:rPr>
      </w:pPr>
    </w:p>
    <w:p>
      <w:pPr>
        <w:ind w:right="100" w:firstLine="436"/>
        <w:spacing w:after="0" w:line="241" w:lineRule="auto"/>
        <w:rPr>
          <w:sz w:val="20"/>
          <w:szCs w:val="20"/>
          <w:color w:val="auto"/>
        </w:rPr>
      </w:pPr>
      <w:r>
        <w:rPr>
          <w:rFonts w:ascii="Arial" w:cs="Arial" w:eastAsia="Arial" w:hAnsi="Arial"/>
          <w:sz w:val="16"/>
          <w:szCs w:val="16"/>
          <w:color w:val="auto"/>
        </w:rPr>
        <w:t>Our portfolio of product candidates offers multiple development opportunities. By modulating different parts of the innate and adaptive immune system, these product candidates together have the potential to provide a variety of mechanisms to address multiple devastating diseases.</w:t>
      </w:r>
    </w:p>
    <w:p>
      <w:pPr>
        <w:spacing w:after="0" w:line="165" w:lineRule="exact"/>
        <w:rPr>
          <w:sz w:val="20"/>
          <w:szCs w:val="20"/>
          <w:color w:val="auto"/>
        </w:rPr>
      </w:pPr>
    </w:p>
    <w:p>
      <w:pPr>
        <w:ind w:left="960" w:right="20" w:hanging="481"/>
        <w:spacing w:after="0" w:line="239" w:lineRule="auto"/>
        <w:tabs>
          <w:tab w:leader="none" w:pos="96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Rilonacept</w:t>
      </w:r>
      <w:r>
        <w:rPr>
          <w:rFonts w:ascii="Arial" w:cs="Arial" w:eastAsia="Arial" w:hAnsi="Arial"/>
          <w:sz w:val="16"/>
          <w:szCs w:val="16"/>
          <w:b w:val="1"/>
          <w:bCs w:val="1"/>
          <w:color w:val="auto"/>
        </w:rPr>
        <w:t xml:space="preserve"> </w:t>
      </w:r>
      <w:r>
        <w:rPr>
          <w:rFonts w:ascii="Arial" w:cs="Arial" w:eastAsia="Arial" w:hAnsi="Arial"/>
          <w:sz w:val="16"/>
          <w:szCs w:val="16"/>
          <w:color w:val="auto"/>
        </w:rPr>
        <w:t>(ARCALYST) is a protein cytokine trap for inhibiting interleukin-1a, or IL-1a, and interleukin-1b, or IL-1b. Cytokines are small proteins that</w:t>
      </w:r>
      <w:r>
        <w:rPr>
          <w:rFonts w:ascii="Arial" w:cs="Arial" w:eastAsia="Arial" w:hAnsi="Arial"/>
          <w:sz w:val="16"/>
          <w:szCs w:val="16"/>
          <w:b w:val="1"/>
          <w:bCs w:val="1"/>
          <w:color w:val="auto"/>
        </w:rPr>
        <w:t xml:space="preserve"> </w:t>
      </w:r>
      <w:r>
        <w:rPr>
          <w:rFonts w:ascii="Arial" w:cs="Arial" w:eastAsia="Arial" w:hAnsi="Arial"/>
          <w:sz w:val="16"/>
          <w:szCs w:val="16"/>
          <w:color w:val="auto"/>
        </w:rPr>
        <w:t>play a key role in cell signaling. Rilonacept is approved by the U.S. Food and Drug Administration, or FDA, for the treatment of cryopyrin-associated periodic syndromes, or CAPS, and has been commercially available from Regeneron Pharmaceuticals, Inc., or Regeneron, for this indication since 2008. We are initially developing rilonacept for the treatment of recurrent pericarditis, a debilitating inflammatory cardiovascular disease. We are not aware of any therapy currently approved by the FDA for the treatment of recurrent pericarditis. We are currently conducting an open-label Phase 2 proof-of-concept clinical trial in this disease and expect to report preliminary data in 2018. The trial is divided into five parts to evaluate rilonacept in various subgroups of patients with pericarditis. As of April 23, 2018, a total of four subjects were enrolled in the clinical trial. Three of the four subjects were experiencing symptomatic recurrent pericarditis at the time of enrollment. All three subjects showed a reduction in C-reactive protein measurements, as well as a reduction in scores of an 11-point Numerical Rating Scale instrument for assessing pericardial-associated chest pain, in the first week of treatment. The fourth subject, in a separate patient cohort, was on corticosteroids at the time of enrollment but not experiencing active symptoms, and had a history of corticosteroid dependence. This subject was treated with rilonacept and as of April 23, 2018, had been free of pericarditis flares for three weeks. Among these subjects, the most commonly reported adverse reaction associated with rilonacept has been injection-site reactions.</w:t>
      </w:r>
    </w:p>
    <w:p>
      <w:pPr>
        <w:spacing w:after="0" w:line="175" w:lineRule="exact"/>
        <w:rPr>
          <w:rFonts w:ascii="Arial" w:cs="Arial" w:eastAsia="Arial" w:hAnsi="Arial"/>
          <w:sz w:val="16"/>
          <w:szCs w:val="16"/>
          <w:color w:val="auto"/>
        </w:rPr>
      </w:pPr>
    </w:p>
    <w:p>
      <w:pPr>
        <w:ind w:left="960" w:hanging="481"/>
        <w:spacing w:after="0" w:line="239" w:lineRule="auto"/>
        <w:tabs>
          <w:tab w:leader="none" w:pos="96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Mavrilimumab</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that antagonizes the signaling of granulocyte macrophage colony stimulating factor, or GM-CSF. We are</w:t>
      </w:r>
      <w:r>
        <w:rPr>
          <w:rFonts w:ascii="Arial" w:cs="Arial" w:eastAsia="Arial" w:hAnsi="Arial"/>
          <w:sz w:val="16"/>
          <w:szCs w:val="16"/>
          <w:b w:val="1"/>
          <w:bCs w:val="1"/>
          <w:color w:val="auto"/>
        </w:rPr>
        <w:t xml:space="preserve"> </w:t>
      </w:r>
      <w:r>
        <w:rPr>
          <w:rFonts w:ascii="Arial" w:cs="Arial" w:eastAsia="Arial" w:hAnsi="Arial"/>
          <w:sz w:val="16"/>
          <w:szCs w:val="16"/>
          <w:color w:val="auto"/>
        </w:rPr>
        <w:t>focusing our initial development efforts for mavrilimumab on giant cell arteritis, or GCA, an inflammatory disease of the blood vessels with unmet medical need that can lead to blindness if left untreated. MedImmune Limited, or MedImmune, initially developed mavrilimumab for the treatment of rheumatoid arthritis, or RA. MedImmune's Investigational New Drug application, or IND, for the clinical development of mavrilimumab for the treatment of RA was initially put on clinical hold in 2010 before human data had been generated due to certain effects that were observed in non-clinical studies, which coincides with a theoretical risk of developing pulmonary alveolar proteinosis, or PAP, possibly in the setting of GM-CSF inhibition. Since then, in 2014, the FDA acknowledged that clinical studies in refractory RA may be appropriate based on MedImmune's clinical studies in Europe in which it dosed over 550 RA patients with mavrilimumab with no evidence of PAP. MedImmune has since withdrawn the IND for mavrilimumab for the treatment of RA. We intend to develop mavrilimumab for the treatment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spacing w:after="0"/>
        <w:rPr>
          <w:sz w:val="20"/>
          <w:szCs w:val="20"/>
          <w:color w:val="auto"/>
        </w:rPr>
      </w:pPr>
      <w:r>
        <w:rPr>
          <w:rFonts w:ascii="Arial" w:cs="Arial" w:eastAsia="Arial" w:hAnsi="Arial"/>
          <w:sz w:val="15"/>
          <w:szCs w:val="15"/>
          <w:color w:val="auto"/>
        </w:rPr>
        <w:t>of GCA under a new IND in the United States and new Clinical Trial Application, or CTA, in Europe, and plan to initiate a Phase 2 clinical trial in 2018.</w:t>
      </w:r>
    </w:p>
    <w:p>
      <w:pPr>
        <w:spacing w:after="0" w:line="181" w:lineRule="exact"/>
        <w:rPr>
          <w:sz w:val="20"/>
          <w:szCs w:val="20"/>
          <w:color w:val="auto"/>
        </w:rPr>
      </w:pPr>
    </w:p>
    <w:p>
      <w:pPr>
        <w:ind w:left="960" w:right="20" w:hanging="481"/>
        <w:spacing w:after="0" w:line="258" w:lineRule="auto"/>
        <w:tabs>
          <w:tab w:leader="none" w:pos="960" w:val="left"/>
        </w:tabs>
        <w:numPr>
          <w:ilvl w:val="0"/>
          <w:numId w:val="67"/>
        </w:numPr>
        <w:rPr>
          <w:rFonts w:ascii="Arial" w:cs="Arial" w:eastAsia="Arial" w:hAnsi="Arial"/>
          <w:sz w:val="15"/>
          <w:szCs w:val="15"/>
          <w:color w:val="auto"/>
        </w:rPr>
      </w:pPr>
      <w:r>
        <w:rPr>
          <w:rFonts w:ascii="Arial" w:cs="Arial" w:eastAsia="Arial" w:hAnsi="Arial"/>
          <w:sz w:val="15"/>
          <w:szCs w:val="15"/>
          <w:b w:val="1"/>
          <w:bCs w:val="1"/>
          <w:u w:val="single" w:color="auto"/>
          <w:color w:val="auto"/>
        </w:rPr>
        <w:t>KPL-716</w:t>
      </w:r>
      <w:r>
        <w:rPr>
          <w:rFonts w:ascii="Arial" w:cs="Arial" w:eastAsia="Arial" w:hAnsi="Arial"/>
          <w:sz w:val="15"/>
          <w:szCs w:val="15"/>
          <w:b w:val="1"/>
          <w:bCs w:val="1"/>
          <w:color w:val="auto"/>
        </w:rPr>
        <w:t xml:space="preserve"> </w:t>
      </w:r>
      <w:r>
        <w:rPr>
          <w:rFonts w:ascii="Arial" w:cs="Arial" w:eastAsia="Arial" w:hAnsi="Arial"/>
          <w:sz w:val="15"/>
          <w:szCs w:val="15"/>
          <w:color w:val="auto"/>
        </w:rPr>
        <w:t>is a monoclonal antibody that simultaneously inhibits the signaling of the cytokines interleukin-31, or IL-31, and oncostatin M, or OSM, by</w:t>
      </w:r>
      <w:r>
        <w:rPr>
          <w:rFonts w:ascii="Arial" w:cs="Arial" w:eastAsia="Arial" w:hAnsi="Arial"/>
          <w:sz w:val="15"/>
          <w:szCs w:val="15"/>
          <w:b w:val="1"/>
          <w:bCs w:val="1"/>
          <w:color w:val="auto"/>
        </w:rPr>
        <w:t xml:space="preserve"> </w:t>
      </w:r>
      <w:r>
        <w:rPr>
          <w:rFonts w:ascii="Arial" w:cs="Arial" w:eastAsia="Arial" w:hAnsi="Arial"/>
          <w:sz w:val="15"/>
          <w:szCs w:val="15"/>
          <w:color w:val="auto"/>
        </w:rPr>
        <w:t>targeting their common receptor subunit, oncostatin M receptor beta, or OSMRb. We plan to study KPL-716 in a variety of pruritic and fibrotic indications driven by these cytokines and we believe KPL-716 is the only monoclonal antibody in development that simultaneously targets both pathways. We are currently enrolling subjects in a Phase 1a/1b clinical trial in healthy volunteers and in subjects with atopic dermatitis as a proof-of-concept for pruritic conditions. We have completed dosing in the first portion of the Phase 1a/1b clinical trial utilizing a single ascending dose design. Each dose cohort in the first portion received a single dose of KPL-716 administered either intravenously or subcutaneously. We expect to report preliminary data from the single ascending dose cohorts of this portion of the trial in the second half of 2018. In the second portion of the Phase 1a/1b clinical trial, each subject in the cohort will receive repeated single doses of KPL-716 administered subcutaneously. We plan to commence dosing in this portion of the trial in 2018, subject to submission to, and review by, the FDA and Canadian regulatory authorities of our recently completed primate chronic toxicology study. If the data from the Phase 1a/1b clinical trial are favorable, we expect our two initial targeted indications for future development of KPL-716 to be prurigo nodularis and atopic dermatitis, both inflammatory, pruritic skin conditions with unmet medical need.</w:t>
      </w:r>
    </w:p>
    <w:p>
      <w:pPr>
        <w:spacing w:after="0" w:line="155" w:lineRule="exact"/>
        <w:rPr>
          <w:rFonts w:ascii="Arial" w:cs="Arial" w:eastAsia="Arial" w:hAnsi="Arial"/>
          <w:sz w:val="15"/>
          <w:szCs w:val="15"/>
          <w:color w:val="auto"/>
        </w:rPr>
      </w:pPr>
    </w:p>
    <w:p>
      <w:pPr>
        <w:ind w:left="960" w:right="80" w:hanging="481"/>
        <w:spacing w:after="0" w:line="251" w:lineRule="auto"/>
        <w:tabs>
          <w:tab w:leader="none" w:pos="960"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KPL-045</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inhibitor of the CD30/CD30L interaction, a T-cell co-stimulatory receptor involved in activated T-memory cell</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 We are planning IND-enabling studies in T-cell dependent, B-cell mediated diseases, and expect to file an IND with the FDA for this program in 2019.</w:t>
      </w:r>
    </w:p>
    <w:p>
      <w:pPr>
        <w:spacing w:after="0" w:line="146" w:lineRule="exact"/>
        <w:rPr>
          <w:rFonts w:ascii="Arial" w:cs="Arial" w:eastAsia="Arial" w:hAnsi="Arial"/>
          <w:sz w:val="16"/>
          <w:szCs w:val="16"/>
          <w:color w:val="auto"/>
        </w:rPr>
      </w:pPr>
    </w:p>
    <w:p>
      <w:pPr>
        <w:ind w:left="960" w:hanging="481"/>
        <w:spacing w:after="0" w:line="251" w:lineRule="auto"/>
        <w:tabs>
          <w:tab w:leader="none" w:pos="960"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KPL-404</w:t>
      </w:r>
      <w:r>
        <w:rPr>
          <w:rFonts w:ascii="Arial" w:cs="Arial" w:eastAsia="Arial" w:hAnsi="Arial"/>
          <w:sz w:val="16"/>
          <w:szCs w:val="16"/>
          <w:b w:val="1"/>
          <w:bCs w:val="1"/>
          <w:color w:val="auto"/>
        </w:rPr>
        <w:t xml:space="preserve"> </w:t>
      </w:r>
      <w:r>
        <w:rPr>
          <w:rFonts w:ascii="Arial" w:cs="Arial" w:eastAsia="Arial" w:hAnsi="Arial"/>
          <w:sz w:val="16"/>
          <w:szCs w:val="16"/>
          <w:color w:val="auto"/>
        </w:rPr>
        <w:t>is a monoclonal antibody inhibitor of the CD40/CD40L interaction, a central control node of T-cell-dependent, B-cell-mediated humoral</w:t>
      </w:r>
      <w:r>
        <w:rPr>
          <w:rFonts w:ascii="Arial" w:cs="Arial" w:eastAsia="Arial" w:hAnsi="Arial"/>
          <w:sz w:val="16"/>
          <w:szCs w:val="16"/>
          <w:b w:val="1"/>
          <w:bCs w:val="1"/>
          <w:color w:val="auto"/>
        </w:rPr>
        <w:t xml:space="preserve"> </w:t>
      </w:r>
      <w:r>
        <w:rPr>
          <w:rFonts w:ascii="Arial" w:cs="Arial" w:eastAsia="Arial" w:hAnsi="Arial"/>
          <w:sz w:val="16"/>
          <w:szCs w:val="16"/>
          <w:color w:val="auto"/>
        </w:rPr>
        <w:t>adaptive immunity. We are planning IND-enabling studies in T-cell dependent, B-cell mediated diseases, and expect to file an IND with the FDA for this program in 2019.</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current pipeline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118745</wp:posOffset>
            </wp:positionV>
            <wp:extent cx="5200650" cy="25279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00650" cy="252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60" w:firstLine="436"/>
        <w:spacing w:after="0" w:line="239" w:lineRule="auto"/>
        <w:rPr>
          <w:sz w:val="20"/>
          <w:szCs w:val="20"/>
          <w:color w:val="auto"/>
        </w:rPr>
      </w:pPr>
      <w:r>
        <w:rPr>
          <w:rFonts w:ascii="Arial" w:cs="Arial" w:eastAsia="Arial" w:hAnsi="Arial"/>
          <w:sz w:val="16"/>
          <w:szCs w:val="16"/>
          <w:color w:val="auto"/>
        </w:rPr>
        <w:t>In addition to the indications described above, we plan to evaluate rilonacept, mavrilimumab and KPL-716 in other indications. We plan to be opportunistic in our business development activities to identify and potentially acquire the rights to additional programs that expand our existing portfolio. We have also initiated our own internal research efforts to discover and develop molecules to address areas of unmet medical need.</w:t>
      </w:r>
    </w:p>
    <w:p>
      <w:pPr>
        <w:spacing w:after="0" w:line="186" w:lineRule="exact"/>
        <w:rPr>
          <w:sz w:val="20"/>
          <w:szCs w:val="20"/>
          <w:color w:val="auto"/>
        </w:rPr>
      </w:pPr>
    </w:p>
    <w:p>
      <w:pPr>
        <w:jc w:val="both"/>
        <w:ind w:right="260" w:firstLine="436"/>
        <w:spacing w:after="0" w:line="239" w:lineRule="auto"/>
        <w:rPr>
          <w:sz w:val="20"/>
          <w:szCs w:val="20"/>
          <w:color w:val="auto"/>
        </w:rPr>
      </w:pPr>
      <w:r>
        <w:rPr>
          <w:rFonts w:ascii="Arial" w:cs="Arial" w:eastAsia="Arial" w:hAnsi="Arial"/>
          <w:sz w:val="16"/>
          <w:szCs w:val="16"/>
          <w:color w:val="auto"/>
        </w:rPr>
        <w:t>We intend to directly commercialize our product candidates, if approved, in the United States and select international markets. In parallel with our product development timelines, we plan to build our own commercial and operational organizations around the world. We anticipate building targeted medical affairs and sales teams focused on specialist physicians who treat the patient populations addressed by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Team</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assembled an experienced management team with a successful track record, many of whom have previously worked together. Our team has expertise across the spectrum of global drug discovery, development, manufacturing and commercialization activities in diseases within both large and orphan indications. Our Chairman and Chief Executive Officer, Sanj K. Patel, has more than 25 years of scientific, clinical and commercial experience in the pharmaceutical and biotechnology industries. Our Chief Medical Officer, John F. Paolini, M.D., Ph.D., has more than 15 years of experience planning, operating and executing clinical development programs across a range of disease indications from orphan diseases to large cardiovascular diseases, and ten years as a practicing cardiologist. Other members of our senior management team have held key management positions at other companies that developed and commercialized therapies for underserved, rare and specialty-focused patient populations. These companies include Synageva, Genzyme, Novo Nordisk, Shire, Sanofi, Pfizer, Bayer, Merck, Novartis and Vertex, among others.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10"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Our vision is to build a fully-integrated global biopharmaceutical company by discovering, acquiring, developing and commercializing life-changing therapies for debilitating diseases. We are currently developing a pipeline of novel drug product candidates for the treatment of autoinflammatory and autoimmune diseases, and we aim to be an industry leader in these areas. We are pursuing multiple programs in parallel, with the goal of delivering safe and effective therapies to patients as efficiently as possible.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Critical components of our business strategy include the following:</w:t>
      </w:r>
    </w:p>
    <w:p>
      <w:pPr>
        <w:spacing w:after="0" w:line="170" w:lineRule="exact"/>
        <w:rPr>
          <w:sz w:val="20"/>
          <w:szCs w:val="20"/>
          <w:color w:val="auto"/>
        </w:rPr>
      </w:pPr>
    </w:p>
    <w:p>
      <w:pPr>
        <w:ind w:left="960" w:right="80" w:hanging="481"/>
        <w:spacing w:after="0" w:line="242"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Efficiently and rapidly advance our product candidates through the development process. </w:t>
      </w:r>
      <w:r>
        <w:rPr>
          <w:rFonts w:ascii="Arial" w:cs="Arial" w:eastAsia="Arial" w:hAnsi="Arial"/>
          <w:sz w:val="16"/>
          <w:szCs w:val="16"/>
          <w:color w:val="auto"/>
        </w:rPr>
        <w:t>We believe that our product candidates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to address significant unmet medical needs and intend to develop them as efficiently and rapidly as possible. In 2018, we expect to report preliminary Phase 2 data for rilonacept and, if the Phase 2 data are favorable, we plan to initiate a Phase 3 clinical trial for rilonacept in recurrent pericarditis. For KPL-716, we anticipate reporting preliminary data from the single dose cohorts in our Phase 1a/1b clinical trial in normal healthy volunteers and subjects with atopic dermatitis in the second half of 2018. We also expect to initiate a Phase 2 clinical trial of mavrilimumab in GCA in 2018.</w:t>
      </w:r>
    </w:p>
    <w:p>
      <w:pPr>
        <w:spacing w:after="0" w:line="165" w:lineRule="exact"/>
        <w:rPr>
          <w:rFonts w:ascii="Arial" w:cs="Arial" w:eastAsia="Arial" w:hAnsi="Arial"/>
          <w:sz w:val="16"/>
          <w:szCs w:val="16"/>
          <w:color w:val="auto"/>
        </w:rPr>
      </w:pPr>
    </w:p>
    <w:p>
      <w:pPr>
        <w:ind w:left="960" w:right="60" w:hanging="481"/>
        <w:spacing w:after="0" w:line="246"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Commercialize our product candidates to bring new or improved therapies to patients in need. </w:t>
      </w:r>
      <w:r>
        <w:rPr>
          <w:rFonts w:ascii="Arial" w:cs="Arial" w:eastAsia="Arial" w:hAnsi="Arial"/>
          <w:sz w:val="16"/>
          <w:szCs w:val="16"/>
          <w:color w:val="auto"/>
        </w:rPr>
        <w:t>We intend to market and commercialize our</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candidates, if approved, in the United States and select international markets by developing our own sales, marketing, medical affairs and reimbursement organizations. We anticipate creating a targeted sales organization that supports specialist physicians who treat these specific patient populations and plan to build out this organization as our product candidates approach potential</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spacing w:after="0" w:line="241" w:lineRule="auto"/>
        <w:rPr>
          <w:sz w:val="20"/>
          <w:szCs w:val="20"/>
          <w:color w:val="auto"/>
        </w:rPr>
      </w:pPr>
      <w:r>
        <w:rPr>
          <w:rFonts w:ascii="Arial" w:cs="Arial" w:eastAsia="Arial" w:hAnsi="Arial"/>
          <w:sz w:val="16"/>
          <w:szCs w:val="16"/>
          <w:color w:val="auto"/>
        </w:rPr>
        <w:t>regulatory approval. We believe this approach will allow us to effectively reach patients and prescribers that our product candidates target and leverage the commercial potential of our product candidates.</w:t>
      </w:r>
    </w:p>
    <w:p>
      <w:pPr>
        <w:spacing w:after="0" w:line="165" w:lineRule="exact"/>
        <w:rPr>
          <w:sz w:val="20"/>
          <w:szCs w:val="20"/>
          <w:color w:val="auto"/>
        </w:rPr>
      </w:pPr>
    </w:p>
    <w:p>
      <w:pPr>
        <w:ind w:left="960" w:right="40" w:hanging="481"/>
        <w:spacing w:after="0" w:line="245"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Maximize our existing portfolio opportunity by expanding use across multiple indications. </w:t>
      </w:r>
      <w:r>
        <w:rPr>
          <w:rFonts w:ascii="Arial" w:cs="Arial" w:eastAsia="Arial" w:hAnsi="Arial"/>
          <w:sz w:val="16"/>
          <w:szCs w:val="16"/>
          <w:color w:val="auto"/>
        </w:rPr>
        <w:t>A core component of our approach to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is identifying assets that each have the potential to treat multiple diseases. We aim to develop and commercialize our product candidates to produce meaningful impact for patients across all relevant indications. Our assets are designed to modulate signaling pathways that are implicated across a spectrum of autoimmune and autoinflammatory conditions. For example, our lead product candidate, rilonacept, is being studied in recurrent pericarditis, and we believe it may be effective in other IL-1a-mediated diseases characterized by painful serosal inflammation. We also believe that both mavrilimumab and KPL-716 have potential in additional indications.</w:t>
      </w:r>
    </w:p>
    <w:p>
      <w:pPr>
        <w:spacing w:after="0" w:line="163" w:lineRule="exact"/>
        <w:rPr>
          <w:rFonts w:ascii="Arial" w:cs="Arial" w:eastAsia="Arial" w:hAnsi="Arial"/>
          <w:sz w:val="16"/>
          <w:szCs w:val="16"/>
          <w:color w:val="auto"/>
        </w:rPr>
      </w:pPr>
    </w:p>
    <w:p>
      <w:pPr>
        <w:ind w:left="960" w:hanging="481"/>
        <w:spacing w:after="0" w:line="259" w:lineRule="auto"/>
        <w:tabs>
          <w:tab w:leader="none" w:pos="960" w:val="left"/>
        </w:tabs>
        <w:numPr>
          <w:ilvl w:val="0"/>
          <w:numId w:val="69"/>
        </w:numPr>
        <w:rPr>
          <w:rFonts w:ascii="Arial" w:cs="Arial" w:eastAsia="Arial" w:hAnsi="Arial"/>
          <w:sz w:val="15"/>
          <w:szCs w:val="15"/>
          <w:color w:val="auto"/>
        </w:rPr>
      </w:pPr>
      <w:r>
        <w:rPr>
          <w:rFonts w:ascii="Arial" w:cs="Arial" w:eastAsia="Arial" w:hAnsi="Arial"/>
          <w:sz w:val="15"/>
          <w:szCs w:val="15"/>
          <w:b w:val="1"/>
          <w:bCs w:val="1"/>
          <w:color w:val="auto"/>
        </w:rPr>
        <w:t xml:space="preserve">Leverage our value-driven approach to identify, acquire, discover and develop new therapies. </w:t>
      </w:r>
      <w:r>
        <w:rPr>
          <w:rFonts w:ascii="Arial" w:cs="Arial" w:eastAsia="Arial" w:hAnsi="Arial"/>
          <w:sz w:val="15"/>
          <w:szCs w:val="15"/>
          <w:color w:val="auto"/>
        </w:rPr>
        <w:t>We follow a disciplined and methodical approach</w:t>
      </w:r>
      <w:r>
        <w:rPr>
          <w:rFonts w:ascii="Arial" w:cs="Arial" w:eastAsia="Arial" w:hAnsi="Arial"/>
          <w:sz w:val="15"/>
          <w:szCs w:val="15"/>
          <w:b w:val="1"/>
          <w:bCs w:val="1"/>
          <w:color w:val="auto"/>
        </w:rPr>
        <w:t xml:space="preserve"> </w:t>
      </w:r>
      <w:r>
        <w:rPr>
          <w:rFonts w:ascii="Arial" w:cs="Arial" w:eastAsia="Arial" w:hAnsi="Arial"/>
          <w:sz w:val="15"/>
          <w:szCs w:val="15"/>
          <w:color w:val="auto"/>
        </w:rPr>
        <w:t>to our review of new opportunities. We focus on research-based and comprehensive indication mapping exercises to categorize and prioritize indications of interest. We evaluate a variety of factors for potential product candidates and discovery targets, including biologic rationale for addressing the disease, potential for regulatory approval, commercial viability, intellectual property position, prospects for favorable pricing and reimbursement and the impact of competition. We also look at assets that could potentially address multiple indications. In building our current pipeline, we evaluated a large number of opportunities and negotiated agreements with parties for the assets that met our criteria and have acquired the rights to develop and commercialize five separate biologics. Going forward, we intend to be opportunistic in our business development activities.</w:t>
      </w:r>
    </w:p>
    <w:p>
      <w:pPr>
        <w:spacing w:after="0" w:line="144" w:lineRule="exact"/>
        <w:rPr>
          <w:rFonts w:ascii="Arial" w:cs="Arial" w:eastAsia="Arial" w:hAnsi="Arial"/>
          <w:sz w:val="15"/>
          <w:szCs w:val="15"/>
          <w:color w:val="auto"/>
        </w:rPr>
      </w:pPr>
    </w:p>
    <w:p>
      <w:pPr>
        <w:ind w:left="960" w:right="260" w:hanging="481"/>
        <w:spacing w:after="0" w:line="243"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Build our core capability in autoimmune and autoinflammatory diseases to establish a leadership position in the field. </w:t>
      </w:r>
      <w:r>
        <w:rPr>
          <w:rFonts w:ascii="Arial" w:cs="Arial" w:eastAsia="Arial" w:hAnsi="Arial"/>
          <w:sz w:val="16"/>
          <w:szCs w:val="16"/>
          <w:color w:val="auto"/>
        </w:rPr>
        <w:t>Our current pipeline</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protein therapeutics across various stages of drug development, including a cytokine trap, rilonacept, and four monoclonal antibodies— mavrilimumab, KPL-716, KPL-045 and KPL-404. Both categories of therapeutics functionally inhibit signaling pathways that are implicated in autoinflammatory- or autoimmune-driven pathologies. We intend to leverage our internal discovery efforts and business development capabilities to complement our existing portfolio to build our core capability and establish a leadership position in the field.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Rilonacept (ARCALYST)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8" w:lineRule="exact"/>
        <w:rPr>
          <w:sz w:val="20"/>
          <w:szCs w:val="20"/>
          <w:color w:val="auto"/>
        </w:rPr>
      </w:pPr>
    </w:p>
    <w:p>
      <w:pPr>
        <w:ind w:right="60" w:firstLine="436"/>
        <w:spacing w:after="0" w:line="239" w:lineRule="auto"/>
        <w:rPr>
          <w:sz w:val="20"/>
          <w:szCs w:val="20"/>
          <w:color w:val="auto"/>
        </w:rPr>
      </w:pPr>
      <w:r>
        <w:rPr>
          <w:rFonts w:ascii="Arial" w:cs="Arial" w:eastAsia="Arial" w:hAnsi="Arial"/>
          <w:sz w:val="16"/>
          <w:szCs w:val="16"/>
          <w:color w:val="auto"/>
        </w:rPr>
        <w:t>Rilonacept was approved by the FDA for the treatment of cryopyrin-associated periodic syndrome, or CAPS, which includes cold auto-inflammatory syndrome and Muckle-Wells syndrome, and has been commercially available in the United States by Regeneron for this indication since 2008. We licensed rilonacept in 2017 from Regeneron. We believe that rilonacept has potential to treat certain diseases mediated by both IL-1a and IL-1b. Our lead indication for rilonacept is recurrent pericarditis, which is a recurring painful inflammation of the pericardium. We have initiated an open-label Phase 2 proof-of-concept clinical trial in patients with recurrent pericarditis who are not well controlled by, or who cannot be weaned off of, current standard of care. We expect to report preliminary data from this trial in 2018. If the results from this trial are favorable, we plan to initiate a Phase 3 clinical trial in the United States for rilonacept in 2018. We also plan to evaluate rilonacept in additional diseases mediated by IL-1a.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1" w:name="page122"/>
    <w:bookmarkEnd w:id="1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right="80" w:firstLine="433"/>
        <w:spacing w:after="0" w:line="253" w:lineRule="auto"/>
        <w:rPr>
          <w:sz w:val="20"/>
          <w:szCs w:val="20"/>
          <w:color w:val="auto"/>
        </w:rPr>
      </w:pPr>
      <w:r>
        <w:rPr>
          <w:rFonts w:ascii="Arial" w:cs="Arial" w:eastAsia="Arial" w:hAnsi="Arial"/>
          <w:sz w:val="16"/>
          <w:szCs w:val="16"/>
          <w:color w:val="auto"/>
        </w:rPr>
        <w:t>There is currently one other FDA-approved agent that blocks both IL-1a and IL-1b signaling, anakinra, and one that blocks only IL-1b, canakinumab. We believe both therapies have limitations, and neither is approved by the FDA for treatment of pericarditis. Anakinra requires once-daily injections, and canakinumab only blocks IL-1b, making it less effective or ineffective in diseases driven by IL-1a pathology. We believe that rilonacept with its more moderate, once-weekly dosing schedule and its ability to inhibit both IL-1a and IL-1b could provide an improved therapeutic option for a variety of IL-1a-mediated diseases.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Mechanism of Action</w:t>
      </w:r>
    </w:p>
    <w:p>
      <w:pPr>
        <w:spacing w:after="0" w:line="196" w:lineRule="exact"/>
        <w:rPr>
          <w:sz w:val="20"/>
          <w:szCs w:val="20"/>
          <w:color w:val="auto"/>
        </w:rPr>
      </w:pPr>
    </w:p>
    <w:p>
      <w:pPr>
        <w:ind w:right="40" w:firstLine="436"/>
        <w:spacing w:after="0" w:line="278" w:lineRule="auto"/>
        <w:rPr>
          <w:sz w:val="20"/>
          <w:szCs w:val="20"/>
          <w:color w:val="auto"/>
        </w:rPr>
      </w:pPr>
      <w:r>
        <w:rPr>
          <w:rFonts w:ascii="Arial" w:cs="Arial" w:eastAsia="Arial" w:hAnsi="Arial"/>
          <w:sz w:val="15"/>
          <w:szCs w:val="15"/>
          <w:color w:val="auto"/>
        </w:rPr>
        <w:t>Rilonacept is an inhibitor of IL-1a and IL-1b. IL-1a and IL-1b have been demonstrated to play a key role in inflammatory diseases. IL-1a and IL-1b provoke potent, pro-inflammatory events by engaging the IL-1a and IL-1b receptor. Following tissue insult, the release of IL-1a acts as the primary initiating signal to coordinate the mobilization of immune cells to the damaged area, while IL-1b is secreted mostly by macrophages and is a prototypical cytokine of the canonical inflammasome. IL-1a and IL-1b signaling results in a dramatic increase in the production of cytokines that orchestrate the proliferation and recruitment of phagocytes to the site of damage, resulting in inflammation. Moreover, IL-1a and IL-1b signaling also affect other immune-system cells, such as T-cells and B-cells.</w:t>
      </w:r>
    </w:p>
    <w:p>
      <w:pPr>
        <w:spacing w:after="0" w:line="159" w:lineRule="exact"/>
        <w:rPr>
          <w:sz w:val="20"/>
          <w:szCs w:val="20"/>
          <w:color w:val="auto"/>
        </w:rPr>
      </w:pPr>
    </w:p>
    <w:p>
      <w:pPr>
        <w:ind w:right="20" w:firstLine="436"/>
        <w:spacing w:after="0" w:line="256" w:lineRule="auto"/>
        <w:rPr>
          <w:sz w:val="20"/>
          <w:szCs w:val="20"/>
          <w:color w:val="auto"/>
        </w:rPr>
      </w:pPr>
      <w:r>
        <w:rPr>
          <w:rFonts w:ascii="Arial" w:cs="Arial" w:eastAsia="Arial" w:hAnsi="Arial"/>
          <w:sz w:val="16"/>
          <w:szCs w:val="16"/>
          <w:color w:val="auto"/>
        </w:rPr>
        <w:t>IL-1b's role in the inflammation process has been extensively studied, while in comparison, much is still unknown about the independent function of IL-1a in disease pathology. Despite driving similar immunological outcomes, IL-1a and IL-1b differ substantially in their expression and regulation, and non-redundant roles for IL-1a or IL-1b have been demonstrated in multiple inflammatory diseases. There are disease states in which IL-1b inhibition alone does not appear to be sufficient for disease remission in the absence of IL-1a inhibition. Published studies suggest certain autoinflammatory diseases may, in fact, be pathologically driven primarily by IL-1a.</w:t>
      </w:r>
    </w:p>
    <w:p>
      <w:pPr>
        <w:spacing w:after="0" w:line="177" w:lineRule="exact"/>
        <w:rPr>
          <w:sz w:val="20"/>
          <w:szCs w:val="20"/>
          <w:color w:val="auto"/>
        </w:rPr>
      </w:pPr>
    </w:p>
    <w:p>
      <w:pPr>
        <w:ind w:right="20" w:firstLine="427"/>
        <w:spacing w:after="0" w:line="252" w:lineRule="auto"/>
        <w:rPr>
          <w:sz w:val="20"/>
          <w:szCs w:val="20"/>
          <w:color w:val="auto"/>
        </w:rPr>
      </w:pPr>
      <w:r>
        <w:rPr>
          <w:rFonts w:ascii="Arial" w:cs="Arial" w:eastAsia="Arial" w:hAnsi="Arial"/>
          <w:sz w:val="16"/>
          <w:szCs w:val="16"/>
          <w:color w:val="auto"/>
        </w:rPr>
        <w:t>An investigator-initiated study of anakinra successfully demonstrated mechanistic proof-of-concept for inhibiting both IL-1a and IL-1b in the treatment of recurrent pericarditis. In a published case study, a patient with a refractory form of recurrent pericarditis, who was well-controlled on anakinra, was switched from anakinra to canakinumab, which inhibits only IL-1b, for tolerability reasons. The patient's disease returned despite further dose escalation of canakinumab. When the patient was switched back to anakinra, which inhibits IL-a and IL-b, the disease promptly went back into remission. These data, along with confirmatory market research, may indicate that IL-1a and IL-1b play unique roles in recurrent pericarditis and other autoinflammatory diseases in which the pathology may be driven primarily by IL-1a.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Background and Market Opportunity for Recurrent Pericarditis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Pericarditis is the most common disorder involving the pericardium, the two-layered sac that surrounds the heart. Pericarditis is an inflammation of this sac and is typically characterized by significant chest pain, shortness of breath, coughing and fatigue and is often misconstrued by patients as a heart attack. In addition, typical signs of pericarditis include pericardial friction rub, electrocardiogram changes or pericardial effusion, which is a build-up of fluid around the heart. Pericarditis is described as recurrent if, following an initial occurrence of pericarditis, it recurs after a symptom-free period of about four to six weeks. Pericarditis is considered chronic if symptoms of any one episode last longer than three months, typically causing significant pain and frustration. If pericarditis is left untreated, patients can develop thickening and scarring of the pericardium, potentially requiring invasive surgical stripping. Pericardial effusion, if large enough, can compress the heart externally, requiring emergent drainage.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firstLine="436"/>
        <w:spacing w:after="0" w:line="254" w:lineRule="auto"/>
        <w:rPr>
          <w:sz w:val="20"/>
          <w:szCs w:val="20"/>
          <w:color w:val="auto"/>
        </w:rPr>
      </w:pPr>
      <w:r>
        <w:rPr>
          <w:rFonts w:ascii="Arial" w:cs="Arial" w:eastAsia="Arial" w:hAnsi="Arial"/>
          <w:sz w:val="15"/>
          <w:szCs w:val="15"/>
          <w:color w:val="auto"/>
        </w:rPr>
        <w:t>We intend to focus our development of rilonacept for the treatment of recurrent pericarditis initially in the United States. Based on claims data from 2012 and literature sources, we estimate that there are approximately 90,000 newly incident patients with episodes of pericarditis in the United States per year. Approximately 20% to 30% of these patients experienced additional recurrent flares, and required additional treatment with non-steroidal anti-inflammatory drugs, or NSAIDs, the immunosuppressive drug colchicine or steroids, either alone or in combination. This results in an annual incidence of approximately 20,000 patients with recurrent pericarditis. Based on an average three year course of recurrent disease, we estimate there may be up to 60,000 patients with recurrent pericarditis in the United States and 5% of these recurrent patients are refractory to their currently available pharmacotherapy (approximately 3,000 patients in the United States). Additionally, we estimate that roughly an additional 9,000 recurrent patients are considered by their physicians not well-controlled on their current therapy, meaning that they are unable to wean off existing therapy, have multiple recurrences despite repeated pharmacotherapy or cannot tolerate their existing therapy.</w:t>
      </w:r>
    </w:p>
    <w:p>
      <w:pPr>
        <w:spacing w:after="0" w:line="180"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There may be other thoracic inflammatory syndromes where rilonacept may prove beneficial, such as pericarditis associated with postpericardiotomy syndrome, an inflammatory reaction of the pericardium in patients who have undergone surgery that involves opening the pericardium. Postpericardiotomy syndrome occurs in up to 30% of the 300,000 patients in the United States undergoing open heart surgery, and we believe rilonacept may be a therapeutic option for a subset of these patients.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Treatment Landscape for Recurrent Pericarditis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are not aware of any current therapies approved by the FDA for the treatment of recurrent pericarditis. A patient's initial acute episode of pericarditis is typically treated with over-the-counter or prescription NSAIDs or colchicine, both of which are used off-label. Recurrent episodes are treated in a similar manner or by adding systemic corticosteroids which are also used off-label. Both colchicine and corticosteroids often have deleterious effects when used at high doses or for long periods of time, including, for colchicine, gastrointestinal distress and neutropenia and, for corticosteroids, glaucoma, fluid retention, hypertension, mood changes, memory changes, other psychological effects, weight gain and diabetes. Fourth-line treatment for these patients may include other immunosuppressants such as methotrexate and azothiaprine, as well as anakinra.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Solution</w:t>
      </w:r>
    </w:p>
    <w:p>
      <w:pPr>
        <w:spacing w:after="0" w:line="196" w:lineRule="exact"/>
        <w:rPr>
          <w:sz w:val="20"/>
          <w:szCs w:val="20"/>
          <w:color w:val="auto"/>
        </w:rPr>
      </w:pPr>
    </w:p>
    <w:p>
      <w:pPr>
        <w:ind w:right="80" w:firstLine="436"/>
        <w:spacing w:after="0" w:line="253" w:lineRule="auto"/>
        <w:rPr>
          <w:sz w:val="20"/>
          <w:szCs w:val="20"/>
          <w:color w:val="auto"/>
        </w:rPr>
      </w:pPr>
      <w:r>
        <w:rPr>
          <w:rFonts w:ascii="Arial" w:cs="Arial" w:eastAsia="Arial" w:hAnsi="Arial"/>
          <w:sz w:val="16"/>
          <w:szCs w:val="16"/>
          <w:color w:val="auto"/>
        </w:rPr>
        <w:t>Rilonacept is a weekly, subcutaneously-injected, recombinant fusion protein that blocks IL-1a and IL-1b signaling. Beyond recurrent pericarditis, we believe there is significant potential for rilonacept to address additional indications, including other pericarditis populations. More broadly, we believe diseases characterized by painful serosal inflammation may be driven by IL-1a, and we intend to consider development of rilonacept in these indications and in others where we believe IL-1a or IL-1b play a key role in disease pathophysiology.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Development Plan for Recurrent Pericarditis</w:t>
      </w:r>
    </w:p>
    <w:p>
      <w:pPr>
        <w:spacing w:after="0" w:line="206" w:lineRule="exact"/>
        <w:rPr>
          <w:sz w:val="20"/>
          <w:szCs w:val="20"/>
          <w:color w:val="auto"/>
        </w:rPr>
      </w:pPr>
    </w:p>
    <w:p>
      <w:pPr>
        <w:ind w:right="220" w:firstLine="436"/>
        <w:spacing w:after="0" w:line="257" w:lineRule="auto"/>
        <w:rPr>
          <w:sz w:val="20"/>
          <w:szCs w:val="20"/>
          <w:color w:val="auto"/>
        </w:rPr>
      </w:pPr>
      <w:r>
        <w:rPr>
          <w:rFonts w:ascii="Arial" w:cs="Arial" w:eastAsia="Arial" w:hAnsi="Arial"/>
          <w:sz w:val="15"/>
          <w:szCs w:val="15"/>
          <w:color w:val="auto"/>
        </w:rPr>
        <w:t>We have initiated an open-label Phase 2 proof-of-concept clinical trial to explore clinical and biochemical endpoints of pericarditis symptomatology and to collect inter- and intra-subject variability data on both at-baseline and on-treatment parameters. The trial is divided into five parts, each enrolling up to 10 subjects who are currently on any combination of co-administered NSAIDs, colchicine or corticosteroids. The subjects are dosed using the approved rilonacept dose for CAPS, which is a loading dose of two 160 mg subcutaneous doses (320 mg total), followed by single, self-administered 160 mg subcutaneous doses every seven days for a total of six weeks. This is followed by an 18-week extension period. During the extension period, the investigator may choose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to wean concomitant NSAIDs, colchicine or corticosteroids according to standard-of-care paradigms.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five parts of the trial with different patient populations are:</w:t>
      </w:r>
    </w:p>
    <w:p>
      <w:pPr>
        <w:spacing w:after="0" w:line="190" w:lineRule="exact"/>
        <w:rPr>
          <w:sz w:val="20"/>
          <w:szCs w:val="20"/>
          <w:color w:val="auto"/>
        </w:rPr>
      </w:pPr>
    </w:p>
    <w:p>
      <w:pPr>
        <w:ind w:left="960" w:right="600" w:hanging="481"/>
        <w:spacing w:after="0" w:line="241" w:lineRule="auto"/>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 1: Symptomatic subjects with recurrent pericarditis receiving NSAIDS +/– colchicine +/– steroids with high CRP, a marker of inflammation, measurements;</w:t>
      </w:r>
    </w:p>
    <w:p>
      <w:pPr>
        <w:spacing w:after="0" w:line="185" w:lineRule="exact"/>
        <w:rPr>
          <w:rFonts w:ascii="Arial" w:cs="Arial" w:eastAsia="Arial" w:hAnsi="Arial"/>
          <w:sz w:val="16"/>
          <w:szCs w:val="16"/>
          <w:color w:val="auto"/>
        </w:rPr>
      </w:pPr>
    </w:p>
    <w:p>
      <w:pPr>
        <w:ind w:left="960" w:right="260" w:hanging="481"/>
        <w:spacing w:after="0" w:line="241" w:lineRule="auto"/>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 2: Symptomatic subjects with recurrent pericarditis receiving NSAIDS +/– colchicine +/– steroids without elevated CRP measurements but with evidence of pericardial inflammation by MRI;</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 3: Subjects with recurrent pericarditis who are dependent upon or unable to wean off of corticosteroids;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 4: Symptomatic subjects with postpericardiotomy syndrome receiving NSAIDS +/– colchicine +/– steroids with high CRP measurements; and</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Part 5: Subjects with postpericardiotomy syndrome who are dependent upon or unable to wean off of corticosteroids.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intend to use the information gathered in this trial to confirm the results seen to date with anakinra and to inform an end-of-Phase 2 meeting with the FDA. The primary endpoint for Parts 1, 2 and 4 of the trial is to collect inter- and intra-subject variability data on CRP measurements and the NRS in subjects with symptomatic recurrent idiopathic pericarditis both at baseline and on treatment with rilonacept in order to inform power calculations for future trials in pericarditis. The primary endpoint for Parts 3 and 5 is to evaluate feasibility of weaning patients from corticosteroids while receiving rilonacept. This trial has been designed with the potential to examine the response of patients with pericarditis caused by a variety of underlying etiologies.</w:t>
      </w:r>
    </w:p>
    <w:p>
      <w:pPr>
        <w:spacing w:after="0" w:line="189" w:lineRule="exact"/>
        <w:rPr>
          <w:sz w:val="20"/>
          <w:szCs w:val="20"/>
          <w:color w:val="auto"/>
        </w:rPr>
      </w:pPr>
    </w:p>
    <w:p>
      <w:pPr>
        <w:ind w:right="60" w:firstLine="427"/>
        <w:spacing w:after="0" w:line="237" w:lineRule="auto"/>
        <w:rPr>
          <w:sz w:val="20"/>
          <w:szCs w:val="20"/>
          <w:color w:val="auto"/>
        </w:rPr>
      </w:pPr>
      <w:r>
        <w:rPr>
          <w:rFonts w:ascii="Arial" w:cs="Arial" w:eastAsia="Arial" w:hAnsi="Arial"/>
          <w:sz w:val="16"/>
          <w:szCs w:val="16"/>
          <w:color w:val="auto"/>
        </w:rPr>
        <w:t>As of April 23, 2018, a total of four subjects have been enrolled in the clinical trial. Three of the four subjects have been enrolled in Part 1, and were experiencing symptomatic recurrent pericarditis at the time of enrollment. All three subjects showed a reduction in CRP measurements, as well as a reduction in NRS, in the first week of treatment, which was sustained as of April 23, 2018. The fourth subject, in a separate patient cohort, was on corticosteroids at the time of enrollment in Part 3 of the study but not experiencing active symptoms, and had a history of corticosteroid dependence. This subject was treated with rilonacept and as of April 23, 2018, had been free of pericarditis flares for three weeks. Among these subjects, the most commonly reported adverse reaction associated with rilonacept has been injection-site reactions. We have not enrolled any subjects in Parts 2, 4 or 5 as of April 23, 2018.</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History of Rilonacept</w:t>
      </w:r>
    </w:p>
    <w:p>
      <w:pPr>
        <w:spacing w:after="0" w:line="206" w:lineRule="exact"/>
        <w:rPr>
          <w:sz w:val="20"/>
          <w:szCs w:val="20"/>
          <w:color w:val="auto"/>
        </w:rPr>
      </w:pPr>
    </w:p>
    <w:p>
      <w:pPr>
        <w:ind w:right="320" w:firstLine="436"/>
        <w:spacing w:after="0" w:line="241" w:lineRule="auto"/>
        <w:rPr>
          <w:sz w:val="20"/>
          <w:szCs w:val="20"/>
          <w:color w:val="auto"/>
        </w:rPr>
      </w:pPr>
      <w:r>
        <w:rPr>
          <w:rFonts w:ascii="Arial" w:cs="Arial" w:eastAsia="Arial" w:hAnsi="Arial"/>
          <w:sz w:val="16"/>
          <w:szCs w:val="16"/>
          <w:color w:val="auto"/>
        </w:rPr>
        <w:t>Regeneron evaluated rilonacept in a total of 21 clinical trials, including two trials in over 100 patients for the treatment of CAPS, and six trials in over 1,800 patients for the treatment of gout flares.</w:t>
      </w:r>
    </w:p>
    <w:p>
      <w:pPr>
        <w:spacing w:after="0" w:line="185" w:lineRule="exact"/>
        <w:rPr>
          <w:sz w:val="20"/>
          <w:szCs w:val="20"/>
          <w:color w:val="auto"/>
        </w:rPr>
      </w:pPr>
    </w:p>
    <w:p>
      <w:pPr>
        <w:ind w:left="960" w:right="40" w:hanging="481"/>
        <w:spacing w:after="0" w:line="239" w:lineRule="auto"/>
        <w:tabs>
          <w:tab w:leader="none" w:pos="96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CAPS</w:t>
      </w:r>
      <w:r>
        <w:rPr>
          <w:rFonts w:ascii="Arial" w:cs="Arial" w:eastAsia="Arial" w:hAnsi="Arial"/>
          <w:sz w:val="16"/>
          <w:szCs w:val="16"/>
          <w:color w:val="auto"/>
        </w:rPr>
        <w:t>: Regeneron evaluated rilonacept for the treatment of CAPS in two trials. In these trials, 109 patients with CAPS, including eight pediatric patients, were treated with at least one dose of rilonacept. In the pivotal efficacy trial, which evaluated the long-term efficacy and safety of once-weekly dosing, 160 mg of rilonacept markedly decreased the clinical signs and symptoms of CAPS.</w:t>
      </w:r>
    </w:p>
    <w:p>
      <w:pPr>
        <w:spacing w:after="0" w:line="174" w:lineRule="exact"/>
        <w:rPr>
          <w:rFonts w:ascii="Arial" w:cs="Arial" w:eastAsia="Arial" w:hAnsi="Arial"/>
          <w:sz w:val="16"/>
          <w:szCs w:val="16"/>
          <w:color w:val="auto"/>
        </w:rPr>
      </w:pPr>
    </w:p>
    <w:p>
      <w:pPr>
        <w:ind w:left="960" w:hanging="481"/>
        <w:spacing w:after="0" w:line="241" w:lineRule="auto"/>
        <w:tabs>
          <w:tab w:leader="none" w:pos="96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Gout</w:t>
      </w:r>
      <w:r>
        <w:rPr>
          <w:rFonts w:ascii="Arial" w:cs="Arial" w:eastAsia="Arial" w:hAnsi="Arial"/>
          <w:sz w:val="16"/>
          <w:szCs w:val="16"/>
          <w:color w:val="auto"/>
        </w:rPr>
        <w:t>: Regeneron evaluated rilonacept for the treatment of gout flares in six trials. In the two pivotal efficacy trials in patients with gout, which evaluated the efficacy of once-weekly dosing for the prevention of gout flares during initiation of uric acid-lowering therapy,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320"/>
        <w:spacing w:after="0" w:line="238" w:lineRule="auto"/>
        <w:rPr>
          <w:sz w:val="20"/>
          <w:szCs w:val="20"/>
          <w:color w:val="auto"/>
        </w:rPr>
      </w:pPr>
      <w:r>
        <w:rPr>
          <w:rFonts w:ascii="Arial" w:cs="Arial" w:eastAsia="Arial" w:hAnsi="Arial"/>
          <w:sz w:val="16"/>
          <w:szCs w:val="16"/>
          <w:color w:val="auto"/>
        </w:rPr>
        <w:t>rilonacept at doses of 80 mg and 160 mg significantly decreased the number of gout flares. Regeneron abandoned active development for the treatment of gout flares after receiving a complete response letter from the FDA requesting additional clinical data, as well as additional CMC information related to a proposed new dosage form Regeneron was evaluating for gout, which was different than the dosage form approved in the CAPS indication and now being used for pericarditis.</w:t>
      </w:r>
    </w:p>
    <w:p>
      <w:pPr>
        <w:spacing w:after="0" w:line="187" w:lineRule="exact"/>
        <w:rPr>
          <w:sz w:val="20"/>
          <w:szCs w:val="20"/>
          <w:color w:val="auto"/>
        </w:rPr>
      </w:pPr>
    </w:p>
    <w:p>
      <w:pPr>
        <w:ind w:left="960" w:right="760" w:hanging="481"/>
        <w:spacing w:after="0" w:line="241" w:lineRule="auto"/>
        <w:tabs>
          <w:tab w:leader="none" w:pos="9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Other Indications</w:t>
      </w:r>
      <w:r>
        <w:rPr>
          <w:rFonts w:ascii="Arial" w:cs="Arial" w:eastAsia="Arial" w:hAnsi="Arial"/>
          <w:sz w:val="16"/>
          <w:szCs w:val="16"/>
          <w:color w:val="auto"/>
        </w:rPr>
        <w:t>: Regeneron conducted a total of 13 clinical trials of rilonacept for the treatment of rheumatoid arthritis, or RA, polymyalgia rheumatica, osteoarthritis, coronary artery disease, systemic juvenile idiopathic arthritis and end-stage renal disease.</w:t>
      </w:r>
    </w:p>
    <w:p>
      <w:pPr>
        <w:spacing w:after="0" w:line="185"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21 clinical studies conducted by Regeneron with rilonacept to date, the most common adverse events reported were injection site reactions and upper respiratory tract infections. Across these studies, there were a total of five serious adverse events, or SAEs, that were assessed by investigators as drug related. Among patients treated with rilonacept there were three SAEs, colitis, gastrointestinal haemorrhage, and drug eruption. One patient treated with placebo experienced cellulitis and another placebo-treated patient died. The largest clinical programs conducted by Regeneron with rilonacept were its Phase 2 and Phase 3 programs for gout flare prevention, which treated a total of 1,886 patients. The most common adverse events reported for the 160 mg dose, the dosage used for the treatment of CAPS, were injection site reactions (15.5% for rilonacept versus 2.6% for placebo) and upper respiratory tract infections (10.3% for rilonacept versus 10.1% for placebo).</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Mavrilimumab</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8" w:lineRule="exact"/>
        <w:rPr>
          <w:sz w:val="20"/>
          <w:szCs w:val="20"/>
          <w:color w:val="auto"/>
        </w:rPr>
      </w:pPr>
    </w:p>
    <w:p>
      <w:pPr>
        <w:ind w:right="260" w:firstLine="436"/>
        <w:spacing w:after="0" w:line="239" w:lineRule="auto"/>
        <w:rPr>
          <w:sz w:val="20"/>
          <w:szCs w:val="20"/>
          <w:color w:val="auto"/>
        </w:rPr>
      </w:pPr>
      <w:r>
        <w:rPr>
          <w:rFonts w:ascii="Arial" w:cs="Arial" w:eastAsia="Arial" w:hAnsi="Arial"/>
          <w:sz w:val="16"/>
          <w:szCs w:val="16"/>
          <w:color w:val="auto"/>
        </w:rPr>
        <w:t>Mavrilimumab is a fully-human monoclonal antibody that antagonizes GM-CSF signaling by binding to the alpha subunit of the GM-CSF receptor. Our lead indication for mavrilimumab is GCA, an inflammatory disease of blood vessels, for which we plan to initiate a Phase 2 trial in 2018. We also plan to evaluate mavrilimumab in additional diseases for patients with high unmet medical need, where we believe there is a strong mechanistic rationale.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Before we licensed mavrilimumab in 2017, MedImmune, Limited, or MedImmune, was developing mavrilimumab for the treatment of RA.</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Mechanism of Action</w:t>
      </w:r>
    </w:p>
    <w:p>
      <w:pPr>
        <w:spacing w:after="0" w:line="208"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Mavrilimumab is designed to inhibit the signaling of GM-CSF, a growth factor that stimulates the production of certain types of white blood cells. Studies have demonstrated that with GM-CSF overexpression, pathological changes almost always follow. Reported data suggest GM-CSF is a key player in autoinflammation and autoimmunity, as follows:</w:t>
      </w:r>
    </w:p>
    <w:p>
      <w:pPr>
        <w:spacing w:after="0" w:line="198" w:lineRule="exact"/>
        <w:rPr>
          <w:sz w:val="20"/>
          <w:szCs w:val="20"/>
          <w:color w:val="auto"/>
        </w:rPr>
      </w:pPr>
    </w:p>
    <w:p>
      <w:pPr>
        <w:ind w:left="960" w:right="680" w:hanging="481"/>
        <w:spacing w:after="0" w:line="241" w:lineRule="auto"/>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GM-CSF enhanced trafficking of myeloid cells through activated endothelium of blood vessels and contributed to monocyte and macrophage accumulation in blood vessels during inflammation;</w:t>
      </w:r>
    </w:p>
    <w:p>
      <w:pPr>
        <w:spacing w:after="0" w:line="173" w:lineRule="exact"/>
        <w:rPr>
          <w:rFonts w:ascii="Arial" w:cs="Arial" w:eastAsia="Arial" w:hAnsi="Arial"/>
          <w:sz w:val="16"/>
          <w:szCs w:val="16"/>
          <w:color w:val="auto"/>
        </w:rPr>
      </w:pPr>
    </w:p>
    <w:p>
      <w:pPr>
        <w:ind w:left="960" w:right="320" w:hanging="481"/>
        <w:spacing w:after="0" w:line="241" w:lineRule="auto"/>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GM-CSF promoted activation, differentiation, survival and proliferation of monocytes and macrophages, as well as resident tissue macrophages in inflamed tissues;</w:t>
      </w:r>
    </w:p>
    <w:p>
      <w:pPr>
        <w:spacing w:after="0" w:line="173"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GM-CSF production led to activation of the vasculature and bone marrow and also promoted the differentiation of effector T cells at inflamed sites and draining lymph nodes; and</w:t>
      </w:r>
    </w:p>
    <w:p>
      <w:pPr>
        <w:spacing w:after="0" w:line="185" w:lineRule="exact"/>
        <w:rPr>
          <w:rFonts w:ascii="Arial" w:cs="Arial" w:eastAsia="Arial" w:hAnsi="Arial"/>
          <w:sz w:val="16"/>
          <w:szCs w:val="16"/>
          <w:color w:val="auto"/>
        </w:rPr>
      </w:pPr>
    </w:p>
    <w:p>
      <w:pPr>
        <w:ind w:left="960" w:right="420" w:hanging="481"/>
        <w:spacing w:after="0" w:line="241" w:lineRule="auto"/>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GM-CSF regulated the phenotype of antigen-presenting cells in inflamed tissues by promoting the differentiation of infiltrating monocytes into M1 macrophages and monocyte-derived dendritic cells, or MoDCs.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27"/>
        <w:spacing w:after="0" w:line="258" w:lineRule="auto"/>
        <w:rPr>
          <w:sz w:val="20"/>
          <w:szCs w:val="20"/>
          <w:color w:val="auto"/>
        </w:rPr>
      </w:pPr>
      <w:r>
        <w:rPr>
          <w:rFonts w:ascii="Arial" w:cs="Arial" w:eastAsia="Arial" w:hAnsi="Arial"/>
          <w:sz w:val="15"/>
          <w:szCs w:val="15"/>
          <w:color w:val="auto"/>
        </w:rPr>
        <w:t>Additionally, GM-CSF has been shown to be a confirmed mediator in RA based on the results from the Phase 2b clinical trial in RA conducted by MedImmune. In this trial, mavrilimumab achieved the co-primary endpoints of change from baseline in disease activity score, or DAS, at week 12 and a response of 20% or greater improvement in the American College of Rheumatology criteria, at week 24. Patients with mavrilimumab showed a statistically significant reduction in DAS scores at all dosages compared to placebo, and significantly more mavrilimumab-treated patients achieved ACR20 at all dosages compared to placebo.</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Background and Market Opportunity for Giant Cell Arteritis</w:t>
      </w:r>
    </w:p>
    <w:p>
      <w:pPr>
        <w:spacing w:after="0" w:line="208"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GCA is an inflammatory disease of the blood vessels that strikes older adults and causes headaches, jaw and other muscle claudication, and possible ischemic visual loss. Many of the symptoms and signs of GCA result from involvement of the cranial branches of arteries that originate from the aortic arch, but the disease is systemic, and vascular involvement can be widespread. GCA is characterized by infiltration of monocytes, macrophages and the formation of giant cells (i.e., multinucleated fusions of macrophages). GCA generally occurs in adults over 50 years old with a 3:1 imbalance of women to men. We estimate there to be approximately 75,000 to 150,000 prevalent patients with GCA in the United States with similar prevalence rates for other major markets and believe that the incidence of GCA will increase over time as the population ages.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Treatment Landscape for Giant Cell Arteritis</w:t>
      </w:r>
    </w:p>
    <w:p>
      <w:pPr>
        <w:spacing w:after="0" w:line="208" w:lineRule="exact"/>
        <w:rPr>
          <w:sz w:val="20"/>
          <w:szCs w:val="20"/>
          <w:color w:val="auto"/>
        </w:rPr>
      </w:pPr>
    </w:p>
    <w:p>
      <w:pPr>
        <w:ind w:right="180" w:firstLine="436"/>
        <w:spacing w:after="0" w:line="238" w:lineRule="auto"/>
        <w:rPr>
          <w:sz w:val="20"/>
          <w:szCs w:val="20"/>
          <w:color w:val="auto"/>
        </w:rPr>
      </w:pPr>
      <w:r>
        <w:rPr>
          <w:rFonts w:ascii="Arial" w:cs="Arial" w:eastAsia="Arial" w:hAnsi="Arial"/>
          <w:sz w:val="16"/>
          <w:szCs w:val="16"/>
          <w:color w:val="auto"/>
        </w:rPr>
        <w:t>Glucocorticoids, a type of corticosteroid, are the mainstay for the treatment of GCA because they normalize inflammatory markers and resolve patient symptoms. Many patients receive long courses of this therapy to prevent disease flare-up, which are associated with significant and serious side effects, including glaucoma, fluid retention, hypertension, mood changes, memory changes, other psychological effects, weight gain and diabetes. Up to 80% of patients suffer from glucocorticoid toxicity as a result of GCA treatment.</w:t>
      </w:r>
    </w:p>
    <w:p>
      <w:pPr>
        <w:spacing w:after="0" w:line="187"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Despite being effective for some patients, many are unable to wean off of corticosteroids because they continue to experience disease flares as the dose is reduced. In one study cohort published in the literature that followed 106 patients with GCA for 4.5 to 10.1 years, 68 patients (64%) experienced at least one relapse during or after weaning, and 38 patients (36%) experienced two or more. Experimental evidence in mice suggests that corticosteroid treatment does not adequately suppress tissue-infiltrating macrophage function, a key cell type generated and maintained by GM-CSF signaling, and may explain why many patients require long-term chronic treatment and are unable to wean off corticosteroids. We believe by blocking GM-CSF signaling, mavrilimumab may provide additional benefit to these patients by reducing long-term sequelae that results from chronic vessel inflammation.</w:t>
      </w:r>
    </w:p>
    <w:p>
      <w:pPr>
        <w:spacing w:after="0" w:line="188"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In addition, tocilizumab, an inhibitor of interleukin-6, or IL-6, is approved in the United States in GCA for use on top of a concomitant corticosteroid taper. However, nearly half of the patients studied in the Phase 3 clinical trial for tocilizumab experienced disease flares during the 52 weeks treatment period that included a 26-week corticosteroid taper. We believe this indicates a persistent unmet medical need.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Solution</w:t>
      </w:r>
    </w:p>
    <w:p>
      <w:pPr>
        <w:spacing w:after="0" w:line="208" w:lineRule="exact"/>
        <w:rPr>
          <w:sz w:val="20"/>
          <w:szCs w:val="20"/>
          <w:color w:val="auto"/>
        </w:rPr>
      </w:pPr>
    </w:p>
    <w:p>
      <w:pPr>
        <w:jc w:val="both"/>
        <w:ind w:right="320" w:firstLine="436"/>
        <w:spacing w:after="0" w:line="239" w:lineRule="auto"/>
        <w:rPr>
          <w:sz w:val="20"/>
          <w:szCs w:val="20"/>
          <w:color w:val="auto"/>
        </w:rPr>
      </w:pPr>
      <w:r>
        <w:rPr>
          <w:rFonts w:ascii="Arial" w:cs="Arial" w:eastAsia="Arial" w:hAnsi="Arial"/>
          <w:sz w:val="16"/>
          <w:szCs w:val="16"/>
          <w:color w:val="auto"/>
        </w:rPr>
        <w:t>We chose GCA as our first indication for mavrilimumab due to the mechanistic rationale of inhibiting GM-CSF. GM-CSF is a key growth factor for many of these key inflammatory cell types and is found in high concentrations at the site of damage in the vessel wall. We believe these data provide a solid rationale for antagonizing this signaling with mavrilimumab.</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6" w:name="page127"/>
    <w:bookmarkEnd w:id="1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Phase 2 Clinical Trial for GCA</w:t>
      </w:r>
    </w:p>
    <w:p>
      <w:pPr>
        <w:spacing w:after="0" w:line="20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plan to initiate a Phase 2 clinical trial of mavrilimumab for the treatment of GCA in 2018 in Europe after we submit an investigational medicinal product dossier, or IMPD, and a clinical trial application, or CTA, to and receive clearance from the competent authorities in Europe. We also intend to file an IND for studying mavrilimumab to treat GCA in the United States, which will first need to be cleared by the FDA. Our current plans include enrolling 30 to 60 newly diagnosed and refractory GCA patients who will be randomized to mavrilimumab versus placebo on top of a corticosteroid taper. The primary endpoint will quantify maintenance of complete remission without clinical signs or symptoms of GCA in subjects treated with mavrilimumab versus placebo.</w:t>
      </w:r>
    </w:p>
    <w:p>
      <w:pPr>
        <w:spacing w:after="0" w:line="189" w:lineRule="exact"/>
        <w:rPr>
          <w:sz w:val="20"/>
          <w:szCs w:val="20"/>
          <w:color w:val="auto"/>
        </w:rPr>
      </w:pPr>
    </w:p>
    <w:p>
      <w:pPr>
        <w:ind w:right="20" w:firstLine="427"/>
        <w:spacing w:after="0" w:line="239" w:lineRule="auto"/>
        <w:rPr>
          <w:sz w:val="20"/>
          <w:szCs w:val="20"/>
          <w:color w:val="auto"/>
        </w:rPr>
      </w:pPr>
      <w:r>
        <w:rPr>
          <w:rFonts w:ascii="Arial" w:cs="Arial" w:eastAsia="Arial" w:hAnsi="Arial"/>
          <w:sz w:val="16"/>
          <w:szCs w:val="16"/>
          <w:color w:val="auto"/>
        </w:rPr>
        <w:t>After initiating the planned Phase 2 trial in GCA, we anticipate initiating research and development activities of mavrilimumab's potential across other various disease states where cells of myeloid phenotype have been implicated by the literature, such as other vasculitides and cardiomyopathies, diseases characterized by barrier dysfunction, other arthropathies or oncologic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History in Rheumatoid Arthritis</w:t>
      </w:r>
    </w:p>
    <w:p>
      <w:pPr>
        <w:spacing w:after="0" w:line="206" w:lineRule="exact"/>
        <w:rPr>
          <w:sz w:val="20"/>
          <w:szCs w:val="20"/>
          <w:color w:val="auto"/>
        </w:rPr>
      </w:pPr>
    </w:p>
    <w:p>
      <w:pPr>
        <w:jc w:val="both"/>
        <w:ind w:right="240" w:firstLine="436"/>
        <w:spacing w:after="0" w:line="239" w:lineRule="auto"/>
        <w:rPr>
          <w:sz w:val="20"/>
          <w:szCs w:val="20"/>
          <w:color w:val="auto"/>
        </w:rPr>
      </w:pPr>
      <w:r>
        <w:rPr>
          <w:rFonts w:ascii="Arial" w:cs="Arial" w:eastAsia="Arial" w:hAnsi="Arial"/>
          <w:sz w:val="16"/>
          <w:szCs w:val="16"/>
          <w:color w:val="auto"/>
        </w:rPr>
        <w:t>MedImmune had received authorization to conduct clinical trials for rheumatoid arthritis, or RA, in Europe and executed an extensive Phase 1 and Phase 2 clinical program where the company studied mavrilimumab in over 550 patients with RA through Phase 2b. All of these clinical trials achieved their prospectively defined primary endpoints of safety or efficacy.</w:t>
      </w:r>
    </w:p>
    <w:p>
      <w:pPr>
        <w:spacing w:after="0" w:line="186" w:lineRule="exact"/>
        <w:rPr>
          <w:sz w:val="20"/>
          <w:szCs w:val="20"/>
          <w:color w:val="auto"/>
        </w:rPr>
      </w:pPr>
    </w:p>
    <w:p>
      <w:pPr>
        <w:ind w:right="20" w:firstLine="436"/>
        <w:spacing w:after="0" w:line="236" w:lineRule="auto"/>
        <w:rPr>
          <w:sz w:val="20"/>
          <w:szCs w:val="20"/>
          <w:color w:val="auto"/>
        </w:rPr>
      </w:pPr>
      <w:r>
        <w:rPr>
          <w:rFonts w:ascii="Arial" w:cs="Arial" w:eastAsia="Arial" w:hAnsi="Arial"/>
          <w:sz w:val="16"/>
          <w:szCs w:val="16"/>
          <w:color w:val="auto"/>
        </w:rPr>
        <w:t>In the United States, MedImmune did not finish its IND process with the FDA after the IND was initially put on clinical hold in 2010 before any human data had been generated. Certain effects had been observed in the lungs of non-human primates, which coincides with the theoretical risk of pulmonary alveolar proteinosis, or PAP, possibly developing in the setting of GM-CSF inhibition. Subsequently, MedImmune discussed its Phase 1 and initial Phase 2b clinical findings with the FDA, and the FDA acknowledged in November 2014 that a clinical trial of mavrilimumab in the United States may be appropriate in patient populations with high morbidity and limited treatment options, including refractory RA. MedImmune did not engage in further dialogue with the FDA and has since withdrawn the IND for mavrilimumab for the treatment of RA, and we plan to file a new IND for our planned Phase 2 clinical trial in GCA. MedImmune opted to out-license the program due to reasons related to its overall portfolio strategy and focus on its three main therapeutic areas, which will allow us as the licensee to continue the dialogue directly with the FDA in the context of our proposed clinical development program. MedImmune's European clinical trials in RA, which included an extensive pulmonary safety adjudication program, revealed no signals of altered pulmonary function (including PAP) attributable to mavrilimumab following long-term administration. We believe that these long-term data, which have not yet been presented to the FDA, support that PAP is a theoretical risk and confirm our belief that mavrilimumab is appropriate to study in patients with diseases like GCA with high morbidity and limited treatment options. Also, several other molecules that inhibit the GM-CSF pathway (or inhibitors of its signaling pathway such as janus kinase 2), have commenced clinical studies in other indications in the United States since 2010 which may provide additional support for our discussions with FDA.</w:t>
      </w:r>
    </w:p>
    <w:p>
      <w:pPr>
        <w:spacing w:after="0" w:line="193"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believe that the trials conducted by MedImmune provide substantial support for the potential of mavrilimumab in autoimmune diseases. In these trials, mavrilimumab was observed to be well-tolerated. The most common adverse event was infection, with all dose groups (30 mg, 100 mg, 150 mg) in a Phase 2b clinical trial reporting similar rates of infection compared to the placebo group. We believe that these safety results provide an accurate early representation of the safety profile of mavrilimumab, which we believe to be at least competitive with and potentially better than existing systemically administered agents for autoimmune diseases.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Mavrilimumab's results from Phase 2b clinical trials in RA have provided important information about its safety and efficacy profile and helped solidify our choice for focusing our development efforts in GCA as a lead indication. In addition to the reductions to the primary endpoint demonstrated in the Phase 2b trials, other markers of inflammation, such as CRP, erythrocyte sedimentation rate, or ESR, and IL-6, were similarly reduced, as shown in the graphs below. CRP, ESR and IL-6 are key markers of disease activity for GCA. We believe that these results may also provide evidence for mavrilimumab's utility across a broad range of indications with a similar biomarker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118110</wp:posOffset>
            </wp:positionV>
            <wp:extent cx="5239385" cy="2052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39385" cy="205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KPL-716 Overview</w:t>
      </w:r>
    </w:p>
    <w:p>
      <w:pPr>
        <w:spacing w:after="0" w:line="198" w:lineRule="exact"/>
        <w:rPr>
          <w:sz w:val="20"/>
          <w:szCs w:val="20"/>
          <w:color w:val="auto"/>
        </w:rPr>
      </w:pPr>
    </w:p>
    <w:p>
      <w:pPr>
        <w:ind w:firstLine="436"/>
        <w:spacing w:after="0" w:line="242" w:lineRule="auto"/>
        <w:rPr>
          <w:sz w:val="20"/>
          <w:szCs w:val="20"/>
          <w:color w:val="auto"/>
        </w:rPr>
      </w:pPr>
      <w:r>
        <w:rPr>
          <w:rFonts w:ascii="Arial" w:cs="Arial" w:eastAsia="Arial" w:hAnsi="Arial"/>
          <w:sz w:val="16"/>
          <w:szCs w:val="16"/>
          <w:color w:val="auto"/>
        </w:rPr>
        <w:t>KPL-716 is a fully-human monoclonal antibody that targets OSMRb, which mediates signaling of IL-31 and OSM, two key cytokines implicated in inflammation, pruritus and fibrosis. We believe KPL-716 to be the only monoclonal antibody in development that targets both pathways simultaneously. We are initially developing KPL-716 for the treatment of prurigo nodularis and atopic dermatitis, both diseases where OSMRb signaling has been implicated. A significant portion of individuals in the United States experience at least one atopic pruritic disease during their lifetime, and it is well understood that most patients with one type of atopic condition tend to present with other allergic conditions. While we believe KPL-716 may be effective across many pruritic and fibrotic diseases, we have prioritized our development efforts based on unmet medical need and potential market opportunity. We are currently conducting a Phase 1a/1b clinical trial of KPL-716 in healthy volunteers and in subjects with atopic dermatitis as a surrogate for a range of pruritic diseases. If the results of this Phase 1a/1b clinical trial are favorable, we plan to initiate further trials in prurigo nodularis and atopic dermatitis. We expect to report preliminary data from the single dose cohorts in our Phase 1a/1b clinical trial in the second half of 2018.</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acquired the assets relating to KPL-716 from Biogen MA, Inc., or Biogen, in 2016.</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Mechanism of Action</w:t>
      </w:r>
    </w:p>
    <w:p>
      <w:pPr>
        <w:spacing w:after="0" w:line="196" w:lineRule="exact"/>
        <w:rPr>
          <w:sz w:val="20"/>
          <w:szCs w:val="20"/>
          <w:color w:val="auto"/>
        </w:rPr>
      </w:pPr>
    </w:p>
    <w:p>
      <w:pPr>
        <w:ind w:firstLine="433"/>
        <w:spacing w:after="0" w:line="269" w:lineRule="auto"/>
        <w:rPr>
          <w:sz w:val="20"/>
          <w:szCs w:val="20"/>
          <w:color w:val="auto"/>
        </w:rPr>
      </w:pPr>
      <w:r>
        <w:rPr>
          <w:rFonts w:ascii="Arial" w:cs="Arial" w:eastAsia="Arial" w:hAnsi="Arial"/>
          <w:sz w:val="15"/>
          <w:szCs w:val="15"/>
          <w:color w:val="auto"/>
        </w:rPr>
        <w:t>The OSMRb subunit is an IL-6 type receptor which combines with one of two other subunits to form two distinct cytokine receptors used for the signaling of two different cytokines: IL-31, and OSM. IL-31 produced in the setting of an inflammatory response binds to the IL-31 receptor on keratinocytes, epidermal cells, leading to a sensation of pruritus and further inflammatory responses in the skin. In addition to interacting with IL-31 receptors on keratinocytes, IL-31 also stimulates pruritus directly through IL-31 receptors expressed on unmyelinated C-fibers in the skin responsible for the sensation and transmission of pruritic signaling.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61" w:lineRule="auto"/>
        <w:rPr>
          <w:sz w:val="20"/>
          <w:szCs w:val="20"/>
          <w:color w:val="auto"/>
        </w:rPr>
      </w:pPr>
      <w:r>
        <w:rPr>
          <w:rFonts w:ascii="Arial" w:cs="Arial" w:eastAsia="Arial" w:hAnsi="Arial"/>
          <w:sz w:val="15"/>
          <w:szCs w:val="15"/>
          <w:color w:val="auto"/>
        </w:rPr>
        <w:t>OSM is produced primarily under inflammatory conditions and stimulates dermal fibroblast proliferation and migration as well as synthesis of collagen and glycosaminoglycan in the skin, leading to fibrosis. In addition to these functions, OSM signaling through the type II OSM receptor upregulates interleukin-4, or IL-4, interleukin-13 receptor, or IL-13Ra1, and interleukin-4 receptor, or IL-4Ra, in human skin equivalent cultures, upregulates IL-4Ra in primary human keratinocytes and also impairs expression of fillagrin, loricrin and involucrin (classical "differentiation" markers of the epidermal differentiation complex cluster) in human skin equivalent cultures. These data implicate OSM signaling as important in many autoimmune diseases characterized by barrier dysfunction, fibrosis and inflammation.</w:t>
      </w:r>
    </w:p>
    <w:p>
      <w:pPr>
        <w:spacing w:after="0" w:line="172" w:lineRule="exact"/>
        <w:rPr>
          <w:sz w:val="20"/>
          <w:szCs w:val="20"/>
          <w:color w:val="auto"/>
        </w:rPr>
      </w:pPr>
    </w:p>
    <w:p>
      <w:pPr>
        <w:ind w:right="260" w:firstLine="436"/>
        <w:spacing w:after="0" w:line="241" w:lineRule="auto"/>
        <w:rPr>
          <w:sz w:val="20"/>
          <w:szCs w:val="20"/>
          <w:color w:val="auto"/>
        </w:rPr>
      </w:pPr>
      <w:r>
        <w:rPr>
          <w:rFonts w:ascii="Arial" w:cs="Arial" w:eastAsia="Arial" w:hAnsi="Arial"/>
          <w:sz w:val="16"/>
          <w:szCs w:val="16"/>
          <w:color w:val="auto"/>
        </w:rPr>
        <w:t>KPL-716 inhibits both IL-31 and OSM activities at their respective receptors, potentially disrupting the pruritus, inflammation and fibrosis mediated by these cytokine pathways.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Background and Market Opportunity for Prurigo Nodularis and Atopic Dermatitis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Prurigo Nodularis</w:t>
      </w:r>
    </w:p>
    <w:p>
      <w:pPr>
        <w:spacing w:after="0" w:line="206" w:lineRule="exact"/>
        <w:rPr>
          <w:sz w:val="20"/>
          <w:szCs w:val="20"/>
          <w:color w:val="auto"/>
        </w:rPr>
      </w:pPr>
    </w:p>
    <w:p>
      <w:pPr>
        <w:ind w:right="40" w:firstLine="436"/>
        <w:spacing w:after="0" w:line="258" w:lineRule="auto"/>
        <w:rPr>
          <w:sz w:val="20"/>
          <w:szCs w:val="20"/>
          <w:color w:val="auto"/>
        </w:rPr>
      </w:pPr>
      <w:r>
        <w:rPr>
          <w:rFonts w:ascii="Arial" w:cs="Arial" w:eastAsia="Arial" w:hAnsi="Arial"/>
          <w:sz w:val="15"/>
          <w:szCs w:val="15"/>
          <w:color w:val="auto"/>
        </w:rPr>
        <w:t>Prurigo nodularis is a chronic inflammatory skin condition that affects primarily older adults and is characterized by multiple firm and extremely pruritic nodules typically located on the arms and legs. The etiology of prurigo nodularis is largely unknown, however, human biopsy studies have shown that IL-31, its receptor IL-31Ra, OSM and OSMRb are highly expressed in prurigo nodularis lesions. The pruritus is severe and distressing and can be sudden, sporadic or continuous, worsening with heat, sweating or irritation from clothing. The itching sensation in prurigo nodularis is extreme and often leads to scratching to the point of bleeding, infection or pain. Our market research to-date with physicians and patients highlights the severe and debilitating nature of this disease and the significant levels of unmet need. Multiple physicians have reported suicidal tendencies among their prurigo nodularis patients due to an overwhelming inability to control the unrelenting itch. The exact prevalence of prurigo nodularis is unknown, however, we estimate there to be approximately 300,000 prevalent cases in the United States.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Atopic Dermatitis</w:t>
      </w:r>
    </w:p>
    <w:p>
      <w:pPr>
        <w:spacing w:after="0" w:line="206" w:lineRule="exact"/>
        <w:rPr>
          <w:sz w:val="20"/>
          <w:szCs w:val="20"/>
          <w:color w:val="auto"/>
        </w:rPr>
      </w:pPr>
    </w:p>
    <w:p>
      <w:pPr>
        <w:ind w:right="220" w:firstLine="427"/>
        <w:spacing w:after="0" w:line="242" w:lineRule="auto"/>
        <w:rPr>
          <w:sz w:val="20"/>
          <w:szCs w:val="20"/>
          <w:color w:val="auto"/>
        </w:rPr>
      </w:pPr>
      <w:r>
        <w:rPr>
          <w:rFonts w:ascii="Arial" w:cs="Arial" w:eastAsia="Arial" w:hAnsi="Arial"/>
          <w:sz w:val="16"/>
          <w:szCs w:val="16"/>
          <w:color w:val="auto"/>
        </w:rPr>
        <w:t>Atopic dermatitis is a chronic inflammatory skin disease that affects approximately 18 million adults in the United States. Human biopsy studies have shown that IL-31, its receptor IL-31Ra, OSM and OSMRb are highly expressed in atopic dermatitis lesions. Based upon public data analyses and discussions with physicians and key opinion leaders in the field, we estimate that approximately 300,000 atopic dermatitis patients in the United States are diagnosed with a moderate-to-severe form of this disease that significantly impairs their professional and social life on a daily basis.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Treatment Landscape for Prurigo Nodularis and Atopic Dermatitis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Prurigo Nodularis</w:t>
      </w:r>
    </w:p>
    <w:p>
      <w:pPr>
        <w:spacing w:after="0" w:line="206" w:lineRule="exact"/>
        <w:rPr>
          <w:sz w:val="20"/>
          <w:szCs w:val="20"/>
          <w:color w:val="auto"/>
        </w:rPr>
      </w:pPr>
    </w:p>
    <w:p>
      <w:pPr>
        <w:ind w:right="60" w:firstLine="436"/>
        <w:spacing w:after="0" w:line="238" w:lineRule="auto"/>
        <w:rPr>
          <w:sz w:val="20"/>
          <w:szCs w:val="20"/>
          <w:color w:val="auto"/>
        </w:rPr>
      </w:pPr>
      <w:r>
        <w:rPr>
          <w:rFonts w:ascii="Arial" w:cs="Arial" w:eastAsia="Arial" w:hAnsi="Arial"/>
          <w:sz w:val="16"/>
          <w:szCs w:val="16"/>
          <w:color w:val="auto"/>
        </w:rPr>
        <w:t>We are not aware of any current FDA-approved therapies for treating prurigo nodularis, and the treatment approach ranges from topical corticosteroids and occlusive steroid containing bandages for more mild patients to systemic corticosteroid, ultraviolet phototherapy and systemic therapies such as thalidomide, methotrexate and cyclosporine for those patients who fail initial treatments. Patients have reported using opioid pain medications to attempt to control the disease in its most severe form.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Atopic Dermatitis</w:t>
      </w:r>
    </w:p>
    <w:p>
      <w:pPr>
        <w:spacing w:after="0" w:line="206"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Current therapies for atopic dermatitis are generally focused on the topical use of non-biologic small molecules, however, dupilumab (subcutaneously injected antibody directed to inhibiting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9" w:name="page130"/>
    <w:bookmarkEnd w:id="129"/>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signaling through IL-4Ra) has recently been approved by the FDA for the treatment of atopic dermatitis.</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Our Solution</w:t>
      </w:r>
    </w:p>
    <w:p>
      <w:pPr>
        <w:spacing w:after="0" w:line="208" w:lineRule="exact"/>
        <w:rPr>
          <w:sz w:val="20"/>
          <w:szCs w:val="20"/>
          <w:color w:val="auto"/>
        </w:rPr>
      </w:pPr>
    </w:p>
    <w:p>
      <w:pPr>
        <w:ind w:left="4" w:right="140" w:firstLine="436"/>
        <w:spacing w:after="0" w:line="261" w:lineRule="auto"/>
        <w:rPr>
          <w:sz w:val="20"/>
          <w:szCs w:val="20"/>
          <w:color w:val="auto"/>
        </w:rPr>
      </w:pPr>
      <w:r>
        <w:rPr>
          <w:rFonts w:ascii="Arial" w:cs="Arial" w:eastAsia="Arial" w:hAnsi="Arial"/>
          <w:sz w:val="15"/>
          <w:szCs w:val="15"/>
          <w:color w:val="auto"/>
        </w:rPr>
        <w:t>KPL-716 is a fully-human monoclonal antibody that targets two key pathways for the development of pruritus, inflammation and fibrosis through inhibition of OSMRb. Chronic pruritic diseases are often characterized by a complex interplay among pruritus, inflammation and fibrosis. The pathogenesis of chronic pruritic diseases involves interlocking positive feedback loops in which pruritus causes scratch, and scratch causes reactive inflammation through mechanical disruption of the skin architecture. The decline in skin barrier function and resulting bacterial colonization or infection ultimately increase extracellular matrix formation and collagen deposition, leading to fibrosis. Fibrosis then begets more pruritus through disruption and dysregulation of sensory nerve fiber expression.</w:t>
      </w:r>
    </w:p>
    <w:p>
      <w:pPr>
        <w:spacing w:after="0" w:line="172" w:lineRule="exact"/>
        <w:rPr>
          <w:sz w:val="20"/>
          <w:szCs w:val="20"/>
          <w:color w:val="auto"/>
        </w:rPr>
      </w:pPr>
    </w:p>
    <w:p>
      <w:pPr>
        <w:ind w:left="4" w:right="140" w:firstLine="436"/>
        <w:spacing w:after="0" w:line="237" w:lineRule="auto"/>
        <w:rPr>
          <w:sz w:val="20"/>
          <w:szCs w:val="20"/>
          <w:color w:val="auto"/>
        </w:rPr>
      </w:pPr>
      <w:r>
        <w:rPr>
          <w:rFonts w:ascii="Arial" w:cs="Arial" w:eastAsia="Arial" w:hAnsi="Arial"/>
          <w:sz w:val="16"/>
          <w:szCs w:val="16"/>
          <w:color w:val="auto"/>
        </w:rPr>
        <w:t>Current therapies target only one or two aspects of this complex pathophysiology and are inevitably limited in their effectiveness. Targeting only one pathway may address a single aspect of the symptomatology, e.g., pruritus, but not the full spectrum of the pathophysiologic components of the disease. This point is particularly relevant since OSM is upregulated in many chronic inflammatory skin diseases and synergistically interacts with pruritic and inflammatory pathways. Of particular relevance is the central role of OSM in inflammation and barrier function and its autocrine effects on type II OSM receptor in IL-31-dependent epidermal proliferation and remodeling as well as inflammation.</w:t>
      </w:r>
    </w:p>
    <w:p>
      <w:pPr>
        <w:spacing w:after="0" w:line="177" w:lineRule="exact"/>
        <w:rPr>
          <w:sz w:val="20"/>
          <w:szCs w:val="20"/>
          <w:color w:val="auto"/>
        </w:rPr>
      </w:pPr>
    </w:p>
    <w:p>
      <w:pPr>
        <w:ind w:left="4" w:right="80" w:firstLine="433"/>
        <w:spacing w:after="0" w:line="254" w:lineRule="auto"/>
        <w:rPr>
          <w:sz w:val="20"/>
          <w:szCs w:val="20"/>
          <w:color w:val="auto"/>
        </w:rPr>
      </w:pPr>
      <w:r>
        <w:rPr>
          <w:rFonts w:ascii="Arial" w:cs="Arial" w:eastAsia="Arial" w:hAnsi="Arial"/>
          <w:sz w:val="16"/>
          <w:szCs w:val="16"/>
          <w:color w:val="auto"/>
        </w:rPr>
        <w:t>There is a relatively large body of literature linking inflammatory pruritic and inflammatory diseases to both IL-31 and OSM via signaling though OSMRb. KPL-716 has been specifically designed to target both pathways simultaneously and thus KPL-716 may disrupt this pathologic cycle in patients afflicted by prurigo nodularis and atopic dermatitis.</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Pre-clinical Development</w:t>
      </w:r>
    </w:p>
    <w:p>
      <w:pPr>
        <w:spacing w:after="0" w:line="206" w:lineRule="exact"/>
        <w:rPr>
          <w:sz w:val="20"/>
          <w:szCs w:val="20"/>
          <w:color w:val="auto"/>
        </w:rPr>
      </w:pPr>
    </w:p>
    <w:p>
      <w:pPr>
        <w:ind w:left="444"/>
        <w:spacing w:after="0"/>
        <w:rPr>
          <w:sz w:val="20"/>
          <w:szCs w:val="20"/>
          <w:color w:val="auto"/>
        </w:rPr>
      </w:pPr>
      <w:r>
        <w:rPr>
          <w:rFonts w:ascii="Arial" w:cs="Arial" w:eastAsia="Arial" w:hAnsi="Arial"/>
          <w:sz w:val="15"/>
          <w:szCs w:val="15"/>
          <w:color w:val="auto"/>
        </w:rPr>
        <w:t>In our pre-clinical development program we have observed favorable pharmacokinetics and toxicology characteristics to support clinical development of KPL-</w:t>
      </w:r>
    </w:p>
    <w:p>
      <w:pPr>
        <w:spacing w:after="0" w:line="8" w:lineRule="exact"/>
        <w:rPr>
          <w:sz w:val="20"/>
          <w:szCs w:val="20"/>
          <w:color w:val="auto"/>
        </w:rPr>
      </w:pPr>
    </w:p>
    <w:p>
      <w:pPr>
        <w:ind w:left="4" w:right="140" w:hanging="4"/>
        <w:spacing w:after="0" w:line="237" w:lineRule="auto"/>
        <w:tabs>
          <w:tab w:leader="none" w:pos="3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KPL-716 has shown signs of efficacy in two non-human primate models. In the first, KPL-716 abrogated the pharmacodynamic marker of pruritus in an IL-31 challenge model. A single three milligram per kilogram dose of KPL-716 substantially reduced scratch counts despite multiple repeated injections of IL-31 over several weeks at concentrations we believe to be supraphysiologic in a disease context. In the second non-human primate model, KPL-716 again abrogated the painful response to an injection to an inflammatory agent called carrageenan through the time period measured after a single infusion of KPL-716, implicating OSM in the inflammatory response. We have conducted pre-clinical toxicology studies for KPL-716 with a no adverse event level of 500 milligrams per kilogram with intravenous dosing.</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Phase 1a/1b Clinical Trial</w:t>
      </w:r>
    </w:p>
    <w:p>
      <w:pPr>
        <w:spacing w:after="0" w:line="206" w:lineRule="exact"/>
        <w:rPr>
          <w:sz w:val="20"/>
          <w:szCs w:val="20"/>
          <w:color w:val="auto"/>
        </w:rPr>
      </w:pPr>
    </w:p>
    <w:p>
      <w:pPr>
        <w:ind w:left="4" w:firstLine="436"/>
        <w:spacing w:after="0" w:line="237" w:lineRule="auto"/>
        <w:rPr>
          <w:sz w:val="20"/>
          <w:szCs w:val="20"/>
          <w:color w:val="auto"/>
        </w:rPr>
      </w:pPr>
      <w:r>
        <w:rPr>
          <w:rFonts w:ascii="Arial" w:cs="Arial" w:eastAsia="Arial" w:hAnsi="Arial"/>
          <w:sz w:val="16"/>
          <w:szCs w:val="16"/>
          <w:color w:val="auto"/>
        </w:rPr>
        <w:t>In early 2017, we filed an IND application and began clinical development with KPL-716 in a Phase 1a/1b clinical trial in healthy volunteers and in subjects with moderate-to-severe atopic dermatitis experiencing moderate-to-severe pruritus, respectively. The trial uses a double-blind, randomized, placebo-controlled, sequential-group design to evaluate the safety, tolerability, pharmacokinetics and immunogenicity of KPL-716 in male and female subjects. In addition, in the single-dose Phase 1b portion of the trial, the cohorts of subjects with moderate-to-severe atopic dermatitis received dose levels of KPL-716 that could show an early signal of efficacy in reducing pruritus as an exploratory endpoint using a validated Numerical Rating Score which measures pruritus intensity. We have completed dosing in the first portion of the Phase 1a/1b clinical trial,</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130" w:name="page131"/>
    <w:bookmarkEnd w:id="1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which is a single ascending dose design. Each dosing cohort received a single dose of KPL-716 administered intravenously or subcutaneously. In the second portion of the Phase 1b clinical trial, each subject will receive repeated single doses of KPL-716 administered subcutaneously. We expect to report preliminary data from the single ascending dose cohorts of this portion of this trial in the second half of 2018. In the second portion of the Phase 1a/1b clinical trial, each subject in the cohort will receive repeated single doses of KPL-716 administered subcutaneously. We plan to commence dosing in this portion of the trial in 2018, subject to submission to, and review by, the FDA and Canadian regulatory authorities of our recently completed primate chronic toxicology study.</w:t>
      </w:r>
    </w:p>
    <w:p>
      <w:pPr>
        <w:spacing w:after="0" w:line="189" w:lineRule="exact"/>
        <w:rPr>
          <w:sz w:val="20"/>
          <w:szCs w:val="20"/>
          <w:color w:val="auto"/>
        </w:rPr>
      </w:pPr>
    </w:p>
    <w:p>
      <w:pPr>
        <w:ind w:right="100" w:firstLine="436"/>
        <w:spacing w:after="0" w:line="238" w:lineRule="auto"/>
        <w:rPr>
          <w:sz w:val="20"/>
          <w:szCs w:val="20"/>
          <w:color w:val="auto"/>
        </w:rPr>
      </w:pPr>
      <w:r>
        <w:rPr>
          <w:rFonts w:ascii="Arial" w:cs="Arial" w:eastAsia="Arial" w:hAnsi="Arial"/>
          <w:sz w:val="16"/>
          <w:szCs w:val="16"/>
          <w:color w:val="auto"/>
        </w:rPr>
        <w:t>We are also conducting an observational study in prurigo nodularis patients called LOTUS-PN. Our LOTUS-PN study will explore the extent to which clinical endpoints correlate with mechanistic biomarkers. In consideration of the importance of humanistic parameters, the LOTUS-PN study will also examine the impact of prurigo nodularis and various treatment options on quality of life. Ultimately, the LOTUS-PN study will seek to provide a better understanding of the clinical presentation and course of prurigo nodularis: its pathogenesis, treatment regimens, outcomes and inter- and intra-patient variability.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Pre-clinical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KPL-045</w:t>
      </w:r>
    </w:p>
    <w:p>
      <w:pPr>
        <w:spacing w:after="0" w:line="208" w:lineRule="exact"/>
        <w:rPr>
          <w:sz w:val="20"/>
          <w:szCs w:val="20"/>
          <w:color w:val="auto"/>
        </w:rPr>
      </w:pPr>
    </w:p>
    <w:p>
      <w:pPr>
        <w:ind w:right="180" w:firstLine="436"/>
        <w:spacing w:after="0" w:line="238" w:lineRule="auto"/>
        <w:rPr>
          <w:sz w:val="20"/>
          <w:szCs w:val="20"/>
          <w:color w:val="auto"/>
        </w:rPr>
      </w:pPr>
      <w:r>
        <w:rPr>
          <w:rFonts w:ascii="Arial" w:cs="Arial" w:eastAsia="Arial" w:hAnsi="Arial"/>
          <w:sz w:val="16"/>
          <w:szCs w:val="16"/>
          <w:color w:val="auto"/>
        </w:rPr>
        <w:t>KPL-045 is a fully-human monoclonal antibody that is designed to inhibit the CD30-CD30 ligand interaction, a co-stimulatory signal helpful in activating and sustaining memory T-cells. The majority of the therapeutics in development modulating the CD30-CD30 ligand interaction are depleting or conjugated to a toxin for the use in hematological malignancies. To our knowledge, KPL-045 is the only non-depleting antibody targeting primarily autoimmune disease in active clinical development. In August 2017, we licensed this antibody from Novo Nordisk.</w:t>
      </w:r>
    </w:p>
    <w:p>
      <w:pPr>
        <w:spacing w:after="0" w:line="187" w:lineRule="exact"/>
        <w:rPr>
          <w:sz w:val="20"/>
          <w:szCs w:val="20"/>
          <w:color w:val="auto"/>
        </w:rPr>
      </w:pPr>
    </w:p>
    <w:p>
      <w:pPr>
        <w:ind w:right="440" w:firstLine="436"/>
        <w:spacing w:after="0" w:line="239" w:lineRule="auto"/>
        <w:rPr>
          <w:sz w:val="20"/>
          <w:szCs w:val="20"/>
          <w:color w:val="auto"/>
        </w:rPr>
      </w:pPr>
      <w:r>
        <w:rPr>
          <w:rFonts w:ascii="Arial" w:cs="Arial" w:eastAsia="Arial" w:hAnsi="Arial"/>
          <w:sz w:val="16"/>
          <w:szCs w:val="16"/>
          <w:color w:val="auto"/>
        </w:rPr>
        <w:t>In pre-clinical development, of KPL-045 has been observed to have a favorable pharmacokinetic profile to support further development. KPL-045 has demonstrated single-digit nanomolar potency against both human and cynomolgus non-human primate CD30L. We are planning IND-enabling studies in T-cell dependent, B-cell mediated diseases, and expect to file an IND with the FDA for this program in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KPL-404</w:t>
      </w:r>
    </w:p>
    <w:p>
      <w:pPr>
        <w:spacing w:after="0" w:line="208" w:lineRule="exact"/>
        <w:rPr>
          <w:sz w:val="20"/>
          <w:szCs w:val="20"/>
          <w:color w:val="auto"/>
        </w:rPr>
      </w:pPr>
    </w:p>
    <w:p>
      <w:pPr>
        <w:ind w:right="120" w:firstLine="436"/>
        <w:spacing w:after="0" w:line="238" w:lineRule="auto"/>
        <w:rPr>
          <w:sz w:val="20"/>
          <w:szCs w:val="20"/>
          <w:color w:val="auto"/>
        </w:rPr>
      </w:pPr>
      <w:r>
        <w:rPr>
          <w:rFonts w:ascii="Arial" w:cs="Arial" w:eastAsia="Arial" w:hAnsi="Arial"/>
          <w:sz w:val="16"/>
          <w:szCs w:val="16"/>
          <w:color w:val="auto"/>
        </w:rPr>
        <w:t>KPL-404 is a humanized monoclonal antibody that is designed to inhibit the CD40-CD40 ligand interaction, a key T-cell co-stimulatory signal critical for B-cell maturation and immunoglobulin class switching. We have a license to conduct research and development on KPL-404 from Primatope Therapeutics, Inc., or Primatope, the company that owns or controls the intellectual property related to KPL-404. We also have an exclusive option to acquire all outstanding capital stock of Primatope, which, subject to extension, is exercisable until January 2019.</w:t>
      </w:r>
    </w:p>
    <w:p>
      <w:pPr>
        <w:spacing w:after="0" w:line="187" w:lineRule="exact"/>
        <w:rPr>
          <w:sz w:val="20"/>
          <w:szCs w:val="20"/>
          <w:color w:val="auto"/>
        </w:rPr>
      </w:pPr>
    </w:p>
    <w:p>
      <w:pPr>
        <w:ind w:right="100" w:firstLine="436"/>
        <w:spacing w:after="0" w:line="239" w:lineRule="auto"/>
        <w:rPr>
          <w:sz w:val="20"/>
          <w:szCs w:val="20"/>
          <w:color w:val="auto"/>
        </w:rPr>
      </w:pPr>
      <w:r>
        <w:rPr>
          <w:rFonts w:ascii="Arial" w:cs="Arial" w:eastAsia="Arial" w:hAnsi="Arial"/>
          <w:sz w:val="16"/>
          <w:szCs w:val="16"/>
          <w:color w:val="auto"/>
        </w:rPr>
        <w:t>In pre-clinical development, KPL-404 has been observed to have a favorable pharmacokinetic and toxicology profile to support further development. KPL-404 has been effective in multiple non-human primate models of organ transplant rejection, as well as in multiple T-cell dependent antibody response models. We are planning IND-enabling studies in T-cell dependent, B-cell mediated diseases, and expect to file an IND with the FDA for this program in 2019.</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Discovery Activities</w:t>
      </w:r>
    </w:p>
    <w:p>
      <w:pPr>
        <w:spacing w:after="0" w:line="210" w:lineRule="exact"/>
        <w:rPr>
          <w:sz w:val="20"/>
          <w:szCs w:val="20"/>
          <w:color w:val="auto"/>
        </w:rPr>
      </w:pPr>
    </w:p>
    <w:p>
      <w:pPr>
        <w:ind w:right="100" w:firstLine="436"/>
        <w:spacing w:after="0" w:line="241" w:lineRule="auto"/>
        <w:rPr>
          <w:sz w:val="20"/>
          <w:szCs w:val="20"/>
          <w:color w:val="auto"/>
        </w:rPr>
      </w:pPr>
      <w:r>
        <w:rPr>
          <w:rFonts w:ascii="Arial" w:cs="Arial" w:eastAsia="Arial" w:hAnsi="Arial"/>
          <w:sz w:val="16"/>
          <w:szCs w:val="16"/>
          <w:color w:val="auto"/>
        </w:rPr>
        <w:t>We have initiated internal discovery activities directed toward wholly owned molecules for the treatment of autoinflammatory and autoimmune disease targets where we believe there to be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1" w:name="page132"/>
    <w:bookmarkEnd w:id="1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strong mechanistic rationale and clear differentiation from existing approved agents or those in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License and Acquisition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 with Regeneron</w:t>
      </w:r>
    </w:p>
    <w:p>
      <w:pPr>
        <w:spacing w:after="0" w:line="20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In September 2017, we entered into a license agreement with Regeneron, or the Regeneron Agreement. Pursuant to the Regeneron Agreement, Regeneron granted us an exclusive license under certain intellectual property rights controlled by Regeneron to develop and commercialize rilonacept worldwide, aside from Israel, Egypt, Turkey and select countries in the Middle East and northern Africa, which we refer to collectively as the Excluded Territory. In the United States and Japan, our license is initially for all indications other than those involving local administration to the eye or ear, oncology, deficiency of the interleukin-1 receptor antagonist, or DIRA, and CAPS. If we are successful in receiving marketing approval for rilonacept in the United States for a new indication, the scope of the license granted to us will automatically expand to include DIRA and CAPS in the United States and Japan, and we will assume the sales and distribution of rilonacept in these additional indications. Outside the U.S. and Japan, our license is for all indications other than local application to the eye or ear, oncology, CAPS, DIRA and certain periodic fever syndromes set forth in the Regeneron Agreement, collectively the Excluded Indications. Under the Regeneron Agreement, we are obligated to use commercially reasonable efforts to develop and commercialize rilonacept outside of the Excluded Indications in our territory. Upon receiving positive data in a Phase 3 clinical trial, Regeneron will transfer the BLA for rilonacept to us.</w:t>
      </w:r>
    </w:p>
    <w:p>
      <w:pPr>
        <w:spacing w:after="0" w:line="193" w:lineRule="exact"/>
        <w:rPr>
          <w:sz w:val="20"/>
          <w:szCs w:val="20"/>
          <w:color w:val="auto"/>
        </w:rPr>
      </w:pPr>
    </w:p>
    <w:p>
      <w:pPr>
        <w:jc w:val="both"/>
        <w:ind w:right="60" w:firstLine="436"/>
        <w:spacing w:after="0" w:line="239" w:lineRule="auto"/>
        <w:rPr>
          <w:sz w:val="20"/>
          <w:szCs w:val="20"/>
          <w:color w:val="auto"/>
        </w:rPr>
      </w:pPr>
      <w:r>
        <w:rPr>
          <w:rFonts w:ascii="Arial" w:cs="Arial" w:eastAsia="Arial" w:hAnsi="Arial"/>
          <w:sz w:val="16"/>
          <w:szCs w:val="16"/>
          <w:color w:val="auto"/>
        </w:rPr>
        <w:t>We made an upfront payment of $5.0 million to Regeneron and are obligated to make regulatory milestone payments of up to $27.5 million in the aggregate. Thereafter, we have agreed to evenly split profits on our sales of rilonacept with Regeneron after deducting certain commercialization expenses subject to specified limits.</w:t>
      </w:r>
    </w:p>
    <w:p>
      <w:pPr>
        <w:spacing w:after="0" w:line="186" w:lineRule="exact"/>
        <w:rPr>
          <w:sz w:val="20"/>
          <w:szCs w:val="20"/>
          <w:color w:val="auto"/>
        </w:rPr>
      </w:pPr>
    </w:p>
    <w:p>
      <w:pPr>
        <w:jc w:val="both"/>
        <w:ind w:right="20" w:firstLine="436"/>
        <w:spacing w:after="0" w:line="239" w:lineRule="auto"/>
        <w:rPr>
          <w:sz w:val="20"/>
          <w:szCs w:val="20"/>
          <w:color w:val="auto"/>
        </w:rPr>
      </w:pPr>
      <w:r>
        <w:rPr>
          <w:rFonts w:ascii="Arial" w:cs="Arial" w:eastAsia="Arial" w:hAnsi="Arial"/>
          <w:sz w:val="16"/>
          <w:szCs w:val="16"/>
          <w:color w:val="auto"/>
        </w:rPr>
        <w:t>Regeneron has a right of first negotiation over our engagement of third parties to support our promotional activities in excess of a specified level and over the assignment or sale of our rights to any product we develop under the Regeneron Agreement to a third-party. Furthermore under certain circumstances, we will need Regeneron's prior consent to assign our rights under the Regeneron Agreement.</w:t>
      </w:r>
    </w:p>
    <w:p>
      <w:pPr>
        <w:spacing w:after="0" w:line="186"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Regeneron Agreement will expire on the date on which we, our affiliates or sublicensees are no longer developing or commercializing any product containing rilonacept. We may terminate the agreement for convenience at any time after the date that is 18 months after the effective date of the agreement with 180 days' written notice or one year's written notice if we terminate the agreement following U.S. marketing approval of a rilonacept product developed by us. We may also terminate with three months' written notice if we reasonably determine that rilonacept is unsafe in the indications we are pursuing. Regeneron may terminate the agreement if there is a consecutive twelve (12) month period during which we do not conduct any material development or commercialization activities or we do not grant a sublicense to a third-party to do so, or if we challenge Regeneron's patent rights in any country in our territory. Either party may terminate the agreement in the event of a material breach by the other party that remains uncured for 90 days (or 30 days for payment-related breaches), or by either party due to the insolvency or bankruptcy of the other party.</w:t>
      </w:r>
    </w:p>
    <w:p>
      <w:pPr>
        <w:spacing w:after="0" w:line="187" w:lineRule="exact"/>
        <w:rPr>
          <w:sz w:val="20"/>
          <w:szCs w:val="20"/>
          <w:color w:val="auto"/>
        </w:rPr>
      </w:pPr>
    </w:p>
    <w:p>
      <w:pPr>
        <w:ind w:right="60" w:firstLine="436"/>
        <w:spacing w:after="0" w:line="262" w:lineRule="auto"/>
        <w:rPr>
          <w:sz w:val="20"/>
          <w:szCs w:val="20"/>
          <w:color w:val="auto"/>
        </w:rPr>
      </w:pPr>
      <w:r>
        <w:rPr>
          <w:rFonts w:ascii="Arial" w:cs="Arial" w:eastAsia="Arial" w:hAnsi="Arial"/>
          <w:sz w:val="15"/>
          <w:szCs w:val="15"/>
          <w:color w:val="auto"/>
        </w:rPr>
        <w:t>We have also entered into a clinical supply agreement with Regeneron, or the Supply Agreement. Pursuant to the Supply Agreement, Regeneron has the exclusive right to manufacture and supply all of our requirements of rilonacept for clinical development. If Regeneron determines to discontinue the supply of rilonacept to us, it must use its reasonable efforts to transfer all relevant documentation, materials and technology necessary for the manufacture of rilonacept to us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32" w:name="page133"/>
    <w:bookmarkEnd w:id="1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or our designee. The Supply Agreement terminates upon the termination of the Regeneron Agreement or the transfer of technology related to the bulk manufacture of rilonacept.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 with MedImmune</w:t>
      </w:r>
    </w:p>
    <w:p>
      <w:pPr>
        <w:spacing w:after="0" w:line="20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December 2017, we entered into a license agreement with MedImmune, or the MedImmune Agreement. Pursuant to the MedImmune Agreement, MedImmune granted us an exclusive, worldwide license under certain intellectual property rights controlled by MedImmune to make, use, develop and commercialize mavrilimumab and any other product containing an antibody to the GM-CSF receptor alpha that is covered by certain MedImmune patent rights for all indications. We also acquired non-exclusive licenses to other MedImmune technology for use in exploiting licensed products. We may sublicense these rights subject to consent of MedImmune and any applicable licensors of rights under which we are licensed. We also acquired reference rights to relevant manufacturing and regulatory documents, and existing inventory of mavrilimumab drug substance. We must use commercially reasonable efforts to develop and commercialize the licensed products.</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We made an upfront payment of $8.0 million to MedImmune and are obligated to make future clinical, regulatory and initial sales milestone payments of up to $72.5 million in the aggregate for the first two indications, including a milestone payment of $10.0 million upon the earlier to occur of a specified regulatory milestone and December 31, 2018, and clinical and regulatory milestone payments of up to $15.0 million in the aggregate for each subsequent indication. We are also obligated to make milestone payments to MedImmune of up to $85.0 million upon the achievement of annual net sales thresholds up to, but excluding, $1.0 billion in annual net sales as well as additional milestone payments aggregating up to $1.1 billion upon the achievement of additional annual net sales thresholds starting at $1.0 billion and higher. Commencing on the first commercial sale of licensed products, we are obligated to pay tiered royalties on escalating tiers of annual net sales of licensed products starting in the low double-digit percentages and ending at twenty percent. We must pay such royalties on a product-by-product and country-by-country basis until the latest to occur of the expiration of licensed patents, the expiration of regulatory exclusivity or the tenth anniversary of first commercial sale of such product in such country.</w:t>
      </w:r>
    </w:p>
    <w:p>
      <w:pPr>
        <w:spacing w:after="0" w:line="186"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In countries where licensed patents have issued, the statutory expiration date is 2027, not including any patent term extensions or adjustments. While the current expected patent expiration dates are known in countries where licensed patents have issued, these expiration dates are subject to significant uncertainty. For example, the patents may be challenged, and accordingly, the relevant expiration dates could be shortened. In addition, as we continue to file and prosecute patent applications related to mavrilimumab, the granting of pending applications or future patent applications could extend the relevant statutory expiration dates beyond 2027. The expiration date of regulatory exclusivity is determined on a country-by country-basis if the applicable product is approved in such country and if any applicable regulatory exclusivity applies and is granted. The actual expiration date of any such regulatory exclusivity, however, is subject to significant uncertainty. For instance, the applicable regulatory exclusivity period is often triggered by the date a product candidate obtains regulatory approval, and we cannot predict with any certainty whether and if so, when, the applicable product would receive regulatory approval in any given jurisdiction. Furthermore, the type, scope and duration of such exclusivities will vary on a country-by-country basis depending on the jurisdictions in which a product candidate is approved and the particular regulatory exclusivity for which the product is eligible as of the time of approval. For example, in the United States, a reference biological product is granted 12 years of data exclusivity from the time of first licensure of the product, which means that the FDA cannot make effective the approval of a biosimilar product that references the biologic product until 12 years from the date on which the reference product was first licensed. In the European Union, new products authorized for marketing may qualify for eight years of data exclusivity and an additional two years of market exclusivity upon marketing authorization. The two-year period may be extended to three years if during the first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3" w:name="page134"/>
    <w:bookmarkEnd w:id="1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eight years a new therapeutic indication with significant clinical benefit over existing therapies is approved. Furthermore, if a product candidate that has received orphan designation is subsequently approved for the disease or condition for which it has such designation, the product may be entitled to orphan drug exclusivity, which generally grants seven years of market exclusivity in the United States and up to 10 years of market exclusivity in the European Union, and such period may run contemporaneously with the other exclusivities that may apply. In the European Union, an orphan product can also obtain an additional two years of market exclusivity for pediatric studies. In the United States, an additional six-month period of pediatric exclusivity may be available as an extension to any existing non-patent regulatory exclusivity period if the sponsor has conducted and submitted pediatric studies in response to a written request from the FDA. Additionally, our eligibility for regulatory exclusivity may depend in part on the indications for which we seek regulatory approval of our product candidates, which may depend on the data we receive from our clinical studies, and accordingly, may change over time, and the laws and regulations governing regulatory exclusivity may change in various jurisdictions as the political focus on drug exclusivity increases. For risk related to regulatory exclusivity matters, see "Risk Factors—Risks Related to Product Development and Regulatory Approval."</w:t>
      </w:r>
    </w:p>
    <w:p>
      <w:pPr>
        <w:spacing w:after="0" w:line="193" w:lineRule="exact"/>
        <w:rPr>
          <w:sz w:val="20"/>
          <w:szCs w:val="20"/>
          <w:color w:val="auto"/>
        </w:rPr>
      </w:pPr>
    </w:p>
    <w:p>
      <w:pPr>
        <w:ind w:right="80" w:firstLine="433"/>
        <w:spacing w:after="0" w:line="239" w:lineRule="auto"/>
        <w:rPr>
          <w:sz w:val="20"/>
          <w:szCs w:val="20"/>
          <w:color w:val="auto"/>
        </w:rPr>
      </w:pPr>
      <w:r>
        <w:rPr>
          <w:rFonts w:ascii="Arial" w:cs="Arial" w:eastAsia="Arial" w:hAnsi="Arial"/>
          <w:sz w:val="16"/>
          <w:szCs w:val="16"/>
          <w:color w:val="auto"/>
        </w:rPr>
        <w:t>The MedImmune Agreement will remain in effect until the expiration of the royalty term in all countries for all licensed products. The MedImmune Agreement may be terminated earlier at any time by us with at least 90 days' prior notice, by either party in the event of material breach by the other party that remains uncured for 90 days, by either party for insolvency or bankruptcy of the other party, or immediately by MedImmune if we challenge the licensed patents.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Biogen Asset Purchase Agreement</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September 2016, we completed the acquisition of certain assets of Biogen pursuant to an asset purchase agreement, or the Biogen Agreement. Pursuant to the Biogen Agreement, we acquired all of Biogen's right, title and interest in and to certain assets used in or relating to KPL-716 and other antibodies covered by certain patent rights, together the Acquired Assets, including patents and other intellectual property rights, clinical data, certain contracts, know-how and inventory. In addition, Biogen granted us a non-exclusive, sublicensable, worldwide license to certain background patent rights related the KPL-716 program. Under the Biogen Agreement, we are obligated to use commercially reasonable efforts to develop and commercialize the Acquired Assets.</w:t>
      </w:r>
    </w:p>
    <w:p>
      <w:pPr>
        <w:spacing w:after="0" w:line="189"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Under the Biogen Agreement, we made an upfront payment of $11.5 million and a technology transfer payment of $0.5 million to Biogen. In addition, we made a milestone payment of $4.0 million during the year ended December 31, 2017 associated with the achievement of a specified clinical milestone event. We are also obligated to make future milestone payments for each antibody product that includes the Acquired Assets, or an Antibody Product, of up to $325.0 million in the aggregate upon the achievement of specified milestones. These milestone payments relate to multiple indications for an Antibody Product, and are comprised of up to $175.0 million in the aggregate upon achievement of specified clinical and regulatory milestone events and $150.0 million in the aggregate upon the achievement of specified annual net sales thresholds. Commencing on the first commercial sale of an Antibody Product, we are obligated to pay tiered royalties on escalating tiers of annual net sales of licensed products starting in the high single-digit percentages and ending below the teens. We must pay such royalties on a product-by-product and country-by-country basis until the latest to occur of the expiration of patents that cover an Antibody Product, the expiration of regulatory exclusivity or the tenth anniversary of first commercial sale of such product in such country. We have also agreed to pay certain obligations under third-party contracts retained by Biogen that relate to KPL-716.</w:t>
      </w:r>
    </w:p>
    <w:p>
      <w:pPr>
        <w:spacing w:after="0" w:line="193" w:lineRule="exact"/>
        <w:rPr>
          <w:sz w:val="20"/>
          <w:szCs w:val="20"/>
          <w:color w:val="auto"/>
        </w:rPr>
      </w:pPr>
    </w:p>
    <w:p>
      <w:pPr>
        <w:ind w:right="660" w:firstLine="436"/>
        <w:spacing w:after="0" w:line="241" w:lineRule="auto"/>
        <w:rPr>
          <w:sz w:val="20"/>
          <w:szCs w:val="20"/>
          <w:color w:val="auto"/>
        </w:rPr>
      </w:pPr>
      <w:r>
        <w:rPr>
          <w:rFonts w:ascii="Arial" w:cs="Arial" w:eastAsia="Arial" w:hAnsi="Arial"/>
          <w:sz w:val="16"/>
          <w:szCs w:val="16"/>
          <w:color w:val="auto"/>
        </w:rPr>
        <w:t>In countries where patents covering Antibody Products have issued, the statutory expiration date is 2034, not including any patent term extensions or adjustments. While the current expected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4" w:name="page135"/>
    <w:bookmarkEnd w:id="1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patent expiration dates are known in countries where licensed patents have issued, these expiration dates are subject to significant uncertainty. For example, the patents may be challenged, and accordingly, the relevant expiration dates could be shortened. In addition, as we continue to file and prosecute patent applications related to Antibody Products, the granting of pending applications or future patent applications could extend the relevant statutory expiration dates beyond 2034. The expiration date of regulatory exclusivity is determined on a country-by country-basis if the applicable product is approved in such country and if any applicable regulatory exclusivity applies and is granted. The actual expiration date of any such regulatory exclusivity, however, is subject to significant uncertainty. For instance, the applicable regulatory exclusivity period is often triggered by the date a product candidate obtains regulatory approval, and we cannot predict with any certainty whether and if so, when, the applicable product would receive regulatory approval in any given jurisdiction. Furthermore, the type, scope and duration of such exclusivities will vary on a country-by-country basis depending on the jurisdictions in which a product candidate is approved and the particular regulatory exclusivity for which the product is eligible as of the time of approval. For example, in the United States, a reference biological product is granted 12 years of data exclusivity from the time of first licensure of the product, which means that the FDA cannot make effective the approval of a biosimilar product that references the biologic product until 12 years from the date on which the reference product was first licensed. In the European Union, new products authorized for marketing may qualify for eight years of data exclusivity and an additional two years of market exclusivity upon marketing authorization. The two-year period may be extended to three years if during the first eight years a new therapeutic indication with significant clinical benefit over existing therapies is approved. Furthermore, if a product candidate that has received orphan designation is subsequently approved for the disease or condition for which it has such designation, the product may be entitled to orphan drug exclusivity, which generally grants seven years of market exclusivity in the United States and up to 10 years of market exclusivity in the European Union, and such period may run contemporaneously with the other exclusivities that may apply. In the European Union, an orphan product can also obtain an additional two years of market exclusivity for pediatric studies. In the United States, an additional six-month period of pediatric exclusivity may be available as an extension to any existing non-patent regulatory exclusivity period if the sponsor has conducted and submitted pediatric studies in response to a written request from the FDA. Additionally, our eligibility for regulatory exclusivity may depend in part on the indications for which we seek regulatory approval of our product candidates, which may depend on the data we receive from our clinical studies, and accordingly, may change over time, and the laws and regulations governing regulatory exclusivity may change in various jurisdictions as the political focus on drug exclusivity increases. For risk related to regulatory exclusivity matters, see "Risk Factors—Risks Related to Product Development and Regulatory Approval."</w:t>
      </w:r>
    </w:p>
    <w:p>
      <w:pPr>
        <w:spacing w:after="0" w:line="193"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Under the Biogen Agreement, Biogen has a time-limited right of first negotiation to purchase the assets we acquired from Biogen or obtain a license to exploit Antibody Products, in each case, in the event we decide to sell the acquired assets, including through the sale of our company, or out-license the rights to the Antibody Products.</w:t>
      </w:r>
    </w:p>
    <w:p>
      <w:pPr>
        <w:spacing w:after="0" w:line="186" w:lineRule="exact"/>
        <w:rPr>
          <w:sz w:val="20"/>
          <w:szCs w:val="20"/>
          <w:color w:val="auto"/>
        </w:rPr>
      </w:pPr>
    </w:p>
    <w:p>
      <w:pPr>
        <w:ind w:right="120" w:firstLine="433"/>
        <w:spacing w:after="0" w:line="257" w:lineRule="auto"/>
        <w:rPr>
          <w:sz w:val="20"/>
          <w:szCs w:val="20"/>
          <w:color w:val="auto"/>
        </w:rPr>
      </w:pPr>
      <w:r>
        <w:rPr>
          <w:rFonts w:ascii="Arial" w:cs="Arial" w:eastAsia="Arial" w:hAnsi="Arial"/>
          <w:sz w:val="15"/>
          <w:szCs w:val="15"/>
          <w:color w:val="auto"/>
        </w:rPr>
        <w:t>The Biogen Agreement will remain in effect until expiration of all payment obligations in all countries related to the last antibody product subject to the Biogen Agreement. The Biogen Agreement may be terminated by us with 90 days' prior notice, by either party in the event of a material breach by the other party that remains uncured for 90 days (or 30 days for payment-related breaches) or by both parties upon mutual consent. In the event of a termination, the Acquired Assets, including certain licenses and rights related thereto, will revert to Biogen, and, upon written request by Biogen, we are required to grant to Biogen an exclusive, worldwide, sub-licensable license to certain of our intellectual property related to the Acquired Assets, including know-how and patent rights.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5" w:name="page136"/>
    <w:bookmarkEnd w:id="1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10" w:lineRule="exact"/>
        <w:rPr>
          <w:sz w:val="20"/>
          <w:szCs w:val="20"/>
          <w:color w:val="auto"/>
        </w:rPr>
      </w:pPr>
    </w:p>
    <w:p>
      <w:pPr>
        <w:ind w:right="220" w:firstLine="436"/>
        <w:spacing w:after="0" w:line="239" w:lineRule="auto"/>
        <w:rPr>
          <w:sz w:val="20"/>
          <w:szCs w:val="20"/>
          <w:color w:val="auto"/>
        </w:rPr>
      </w:pPr>
      <w:r>
        <w:rPr>
          <w:rFonts w:ascii="Arial" w:cs="Arial" w:eastAsia="Arial" w:hAnsi="Arial"/>
          <w:sz w:val="16"/>
          <w:szCs w:val="16"/>
          <w:color w:val="auto"/>
        </w:rPr>
        <w:t>We rely on third parties to manufacture all of our product candidates. We have entered into a clinical supply agreement with Regeneron to manufacture and supply rilonacept for our clinical trials. Regeneron has also agreed to provide commercial drug material until at least the later of four years after U.S. marketing approval or seven years after the effective date of the agreement.</w:t>
      </w:r>
    </w:p>
    <w:p>
      <w:pPr>
        <w:spacing w:after="0" w:line="186" w:lineRule="exact"/>
        <w:rPr>
          <w:sz w:val="20"/>
          <w:szCs w:val="20"/>
          <w:color w:val="auto"/>
        </w:rPr>
      </w:pPr>
    </w:p>
    <w:p>
      <w:pPr>
        <w:ind w:firstLine="436"/>
        <w:spacing w:after="0" w:line="255" w:lineRule="auto"/>
        <w:rPr>
          <w:sz w:val="20"/>
          <w:szCs w:val="20"/>
          <w:color w:val="auto"/>
        </w:rPr>
      </w:pPr>
      <w:r>
        <w:rPr>
          <w:rFonts w:ascii="Arial" w:cs="Arial" w:eastAsia="Arial" w:hAnsi="Arial"/>
          <w:sz w:val="15"/>
          <w:szCs w:val="15"/>
          <w:color w:val="auto"/>
        </w:rPr>
        <w:t>We believe that we have sufficient quantities of drug substance to supply our planned Phase 2 clinical trial of mavrilimumab for the treatment of GCA. We also acquired a certain amount of finished mavrilimumab drug product that we plan to use in this clinical trial, and we intend to enter into a fill/finish supply agreement with a contract manufacturing organization, or CMO, to produce additional finished mavrilimumab drug product from our current inventory of drug substance. We plan to identify and enter into an agreement with a CMO to produce mavrilimumab drug substance beyond our existing inventory for any further clinical trials and eventual commercialization of mavrilimumab, if approved. There are certain components, for example, media and feed, used to produce our current mavrilimumab inventory that we will not use in our future manufacturing process. We and any CMO that we enter into agreement with to manufacture mavrilimumab will need to find alternative components to replace the media and feed that had been used by MedImmune to date in the manufacture of mavrilimumab.</w:t>
      </w:r>
    </w:p>
    <w:p>
      <w:pPr>
        <w:spacing w:after="0" w:line="177" w:lineRule="exact"/>
        <w:rPr>
          <w:sz w:val="20"/>
          <w:szCs w:val="20"/>
          <w:color w:val="auto"/>
        </w:rPr>
      </w:pPr>
    </w:p>
    <w:p>
      <w:pPr>
        <w:jc w:val="both"/>
        <w:ind w:right="220" w:firstLine="436"/>
        <w:spacing w:after="0" w:line="239" w:lineRule="auto"/>
        <w:rPr>
          <w:sz w:val="20"/>
          <w:szCs w:val="20"/>
          <w:color w:val="auto"/>
        </w:rPr>
      </w:pPr>
      <w:r>
        <w:rPr>
          <w:rFonts w:ascii="Arial" w:cs="Arial" w:eastAsia="Arial" w:hAnsi="Arial"/>
          <w:sz w:val="16"/>
          <w:szCs w:val="16"/>
          <w:color w:val="auto"/>
        </w:rPr>
        <w:t>We acquired a certain amount of KPL-716 drug substance from Biogen from which we produced KPL-716 drug product using a CMO. In addition, we have engaged CMOs to manufacture KPL-716 drug substance and product for further clinical development activities. We intend to continue using CMOs to develop our manufacturing process and scale-up for any future clinical trials and eventual commercialization of KPL-716, if approved.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using CMOs to produce our pre-clinical product candidates, KPL-045 and KPL-404, for our planned IND-enabling studies.</w:t>
      </w:r>
    </w:p>
    <w:p>
      <w:pPr>
        <w:spacing w:after="0" w:line="190"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We require all of our CMOs to conduct manufacturing activities in compliance with current good manufacturing practice, or cGMP, requirements. We have assembled a team of experienced employees and consultants to provide the necessary technical, quality and regulatory oversight of our CMOs. We currently rely solely on these third-party manufacturers for scale-up and process development work and to produce sufficient quantities of product candidate for use in pre-clinical studies and clinical trials. Although we have plans to establish our own manufacturing capabilities to support certain pre-clinical and early clinical-stage production of product candidates, we intend to continue to rely on third-party manufacturers for clinical and commercial supply of our product candidates. We anticipate that these CMOs will have the capacity to support both clinical supply and commercial-scale production, but we do not have any formal agreements at this time with any of these CMOs to cover commercial production. We also may elect to pursue additional CMOs for manufacturing supplies of drug substance and finished drug product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Operations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team is experienced in commercial leadership and we intend to expand our capabilities in parallel with the development path of our product candidates. If the FDA approves rilonacept for recurrent pericarditis, we intend to market and commercialize rilonacept in the United States by developing our own sales, marketing and medical affairs organizations targeting a subset of cardiologists and rheumatologists currently treating pericarditis. For our other product candidates, we intend to establish commercialization strategies for each as we approach potential marketing approval and, due to the specialization among physicians treating the indications we are targeting, we expect to be able leverage our then-existing sales, marketing and medical affairs organizations.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6" w:name="page137"/>
    <w:bookmarkEnd w:id="1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0" w:lineRule="exact"/>
        <w:rPr>
          <w:sz w:val="20"/>
          <w:szCs w:val="20"/>
          <w:color w:val="auto"/>
        </w:rPr>
      </w:pPr>
    </w:p>
    <w:p>
      <w:pPr>
        <w:ind w:right="140" w:firstLine="433"/>
        <w:spacing w:after="0" w:line="238"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and governmental agencies and public and private research institutions. Any product candidates that we successfully develop and commercialize, including rilonacept, mavrilimumab and KPL-716, may compete with existing products and new products that may become available in the future.</w:t>
      </w:r>
    </w:p>
    <w:p>
      <w:pPr>
        <w:spacing w:after="0" w:line="187"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key competitive factors affecting the success of rilonacept, mavrilimumab and KPL-716, and any other product candidates that we develop, if approved, are likely to be their efficacy, safety, convenience, price, the level of generic competition and the availability of reimbursement from government and other third-party payors. Our commercial opportunity for any of our product candidates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products.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aware of the following products currently marketed or in clinical development for the treatment of the diseases that we are initially targeting: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Rilonacept</w:t>
      </w:r>
    </w:p>
    <w:p>
      <w:pPr>
        <w:spacing w:after="0" w:line="206" w:lineRule="exact"/>
        <w:rPr>
          <w:sz w:val="20"/>
          <w:szCs w:val="20"/>
          <w:color w:val="auto"/>
        </w:rPr>
      </w:pPr>
    </w:p>
    <w:p>
      <w:pPr>
        <w:ind w:firstLine="436"/>
        <w:spacing w:after="0" w:line="246" w:lineRule="auto"/>
        <w:rPr>
          <w:sz w:val="20"/>
          <w:szCs w:val="20"/>
          <w:color w:val="auto"/>
        </w:rPr>
      </w:pPr>
      <w:r>
        <w:rPr>
          <w:rFonts w:ascii="Arial" w:cs="Arial" w:eastAsia="Arial" w:hAnsi="Arial"/>
          <w:sz w:val="16"/>
          <w:szCs w:val="16"/>
          <w:color w:val="auto"/>
        </w:rPr>
        <w:t>We are not aware of any therapies currently approved by the FDA for the treatment of recurrent pericarditis, our lead indication for rilonacept. Anakina (KINERET), produced by Sobi, Inc., is an FDA-approved agent that inhibits IL-1a and IL-1b signaling and is approved for RA and CAPS. Canakinumab (ILARIS), produced by Novartis Pharmaceuticals Corporation, is a monoclonal antibody which inhibits IL-1b signaling and is approved for use in CAPS, tumor necrosis factor receptor associated period syndrome, hyperimmunoglobulin D syndrome, familiar Mediterranean fever and active systemic juvenile idiopathic arthritis. There are also other therapies modulating IL-1a and/or IL-1b which are in various stages of clinical development for diseases other than recurrent pericarditis from AbbVie, Inc., or AbbVie, XBiotech Inc. and Handok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Mavrilimumab</w:t>
      </w:r>
    </w:p>
    <w:p>
      <w:pPr>
        <w:spacing w:after="0" w:line="206" w:lineRule="exact"/>
        <w:rPr>
          <w:sz w:val="20"/>
          <w:szCs w:val="20"/>
          <w:color w:val="auto"/>
        </w:rPr>
      </w:pPr>
    </w:p>
    <w:p>
      <w:pPr>
        <w:ind w:right="20" w:firstLine="433"/>
        <w:spacing w:after="0" w:line="238" w:lineRule="auto"/>
        <w:rPr>
          <w:sz w:val="20"/>
          <w:szCs w:val="20"/>
          <w:color w:val="auto"/>
        </w:rPr>
      </w:pPr>
      <w:r>
        <w:rPr>
          <w:rFonts w:ascii="Arial" w:cs="Arial" w:eastAsia="Arial" w:hAnsi="Arial"/>
          <w:sz w:val="16"/>
          <w:szCs w:val="16"/>
          <w:color w:val="auto"/>
        </w:rPr>
        <w:t>Tocilizumab (ACTEMRA), produced by Hoffmann — La Roche AG, or Roche, and Chugai Pharmaceutical Co., Ltd., is an IL-6 inhibitor that is approved by the FDA for the treatment of GCA on top of a concomitant corticosteroid taper. There are also four other programs in clinical development that modulate GM-CSF signaling from GlaxoSmithKline plc, or GSK, Izana Bioscience Ltd., Morphotek, Inc. and Humanigen, Inc. In addition, Eli Lilly and AbbVie are conducting clinical trials for oral janus kinase inhibitors, and Sanofi S.A. and Regeneron intend to initiate a Phase 3 clinical trial with their anti-IL-6 program in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37" w:name="page138"/>
    <w:bookmarkEnd w:id="1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KPL-716</w:t>
      </w:r>
    </w:p>
    <w:p>
      <w:pPr>
        <w:spacing w:after="0" w:line="206"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We are not aware of any therapies currently approved by the FDA for the treatment of prurigo nodularis. Menlo Therapeutics Inc., Vanda Pharmaceuticals Inc., Trevi Therapeutics, Inc. and Galderma SA, or Galderma, have programs in various stages of clinical development for the treatment of prurigo nodularis.</w:t>
      </w:r>
    </w:p>
    <w:p>
      <w:pPr>
        <w:spacing w:after="0" w:line="185" w:lineRule="exact"/>
        <w:rPr>
          <w:sz w:val="20"/>
          <w:szCs w:val="20"/>
          <w:color w:val="auto"/>
        </w:rPr>
      </w:pPr>
    </w:p>
    <w:p>
      <w:pPr>
        <w:ind w:right="380" w:firstLine="433"/>
        <w:spacing w:after="0" w:line="239" w:lineRule="auto"/>
        <w:rPr>
          <w:sz w:val="20"/>
          <w:szCs w:val="20"/>
          <w:color w:val="auto"/>
        </w:rPr>
      </w:pPr>
      <w:r>
        <w:rPr>
          <w:rFonts w:ascii="Arial" w:cs="Arial" w:eastAsia="Arial" w:hAnsi="Arial"/>
          <w:sz w:val="16"/>
          <w:szCs w:val="16"/>
          <w:color w:val="auto"/>
        </w:rPr>
        <w:t>The FDA recently approved Regeneron's dupilumab, an antibody that inhibits signaling through the interleukin 4 receptor, to treat atopic dermatitis. Other companies currently developing systemic therapies for atopic dermatitis include Roche, Dermira, Inc., Galderma, Asana BioSciences, LLC, Eli Lilly and Co., Pfizer Inc., AbbVie, Glenmark Pharmaceuticals Ltd., GSK, LEO Pharma Inc., Incyte Corporation, Dermavant Sciences, Inc. and AnaptsysBio, Inc.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1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Our success depends in part on our ability to obtain and maintain proprietary protection for our drug candidates, manufacturing and process discoveries, and other know-how, to operate without infringing the proprietary rights of others, and to prevent others from infringing our proprietary rights. We plan to protect our proprietary position using a variety of methods, which include pursuing U.S. and foreign patent applications related to our proprietary technology, inventions and improvements, including compositions of matter and methods-of-use, that are important to the development and implementation of our business. For example, we or our licensors have or are pursuing patents covering the composition of matter for each of our product candidates and we generally pursue patent protection covering methods-of-use for each clinical program. We also rely on trade secrets, know-how, continuing technological innovation and potential in-licensing opportunities to develop and maintain our proprietary position.</w:t>
      </w:r>
    </w:p>
    <w:p>
      <w:pPr>
        <w:spacing w:after="0" w:line="188"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We have a field-specific exclusive license under the Regeneron Agreement to granted patents and pending applications in the United States and numerous foreign jurisdictions relating to rilonacept. As of March 31, 2018, the patent rights in-licensed under the Regeneron Agreement relating to our program include one granted patent in the United States and 53 patents granted in foreign jurisdictions, including Canada, Australia, Brazil and selected countries in Europe and Asia. In addition, the patent rights in-licensed under the Regeneron Agreement relating to our program include patent applications that are pending in the United States. A U.S. patent covering rilonacept as a composition of matter has a statutory expiration date in 2019, not including patent term adjustment, and relevant foreign counterparts are expected to expire between 2019 and 2023, in each case, not including any patent term extensions. If we are successful in obtaining regulatory approval of rilonacept for the treatment of recurrent pericarditis, we expect to rely on orphan exclusivity, which generally grants seven years of marketing exclusivity in the United States and 10 years of marketing exclusivity in Europe. See "—License Agreement with Regeneron" above for additional information on our rights under the Regeneron Agreement.</w:t>
      </w:r>
    </w:p>
    <w:p>
      <w:pPr>
        <w:spacing w:after="0" w:line="186"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have an exclusive license under the MedImmune Agreement to granted patents and pending patent applications in the United States and numerous foreign jurisdictions relating to mavrilimumab. These patents and patent applications cover mavrilimumab as a composition of matter and its use. As of March 31, 2018, the patent rights in-licensed under the MedImmune Agreement relating to our program include three granted patents in the United States and 105 patents granted in foreign jurisdictions, including Canada, Australia and selected countries in Europe and Asia. In addition, the patent rights in-licensed under the MedImmune Agreement relating to our program include patent applications that are pending in the United States and selected countries in Asia and Latin America. The composition of matter patents for mavrilimumab generally have statutory expiration dates in 2027, although the term of some U.S. patents may be longer due to patent term adjustment to compensate for delays during the patent prosecution process. Patent term extension could extend the expiration date of one patent in the United States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8" w:name="page139"/>
    <w:bookmarkEnd w:id="1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520"/>
        <w:spacing w:after="0" w:line="241" w:lineRule="auto"/>
        <w:rPr>
          <w:sz w:val="20"/>
          <w:szCs w:val="20"/>
          <w:color w:val="auto"/>
        </w:rPr>
      </w:pPr>
      <w:r>
        <w:rPr>
          <w:rFonts w:ascii="Arial" w:cs="Arial" w:eastAsia="Arial" w:hAnsi="Arial"/>
          <w:sz w:val="16"/>
          <w:szCs w:val="16"/>
          <w:color w:val="auto"/>
        </w:rPr>
        <w:t>and patents in certain other jurisdictions, each in accordance with applicable law. There can be no assurances that patents will issue from any pending patent applications. See "—License Agreement with MedImmune" above for additional information on our rights under the MedImmune Agreement.</w:t>
      </w:r>
    </w:p>
    <w:p>
      <w:pPr>
        <w:spacing w:after="0" w:line="185"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own, via our acquisition of certain assets from Biogen, granted patents and pending patent applications in the United States and numerous foreign jurisdictions relating to KPL-716. These patents and patent applications cover KPL-716 as a composition of matter and its use. As of March 31, 2018, the patent rights acquired from Biogen include three patents granted in the United States and four foreign patents granted in Australia, Japan, Mexico and Singapore. In addition, the patent rights acquired from Biogen include patent applications pending in the United States, Europe, Canada, and selected countries in Asia. The issued composition of matter patents for KPL-716 have statutory expiration dates in 2034. Patent term extension could extend the expiration date of one patent in the United States and patents in certain other jurisdictions, each in accordance with applicable law. There can be no assurance that patents will issue from any of our pending patent applications. See "—Biogen Asset Purchase Agreement" above for additional information on our rights under the Biogen Agreement.</w:t>
      </w:r>
    </w:p>
    <w:p>
      <w:pPr>
        <w:spacing w:after="0" w:line="188" w:lineRule="exact"/>
        <w:rPr>
          <w:sz w:val="20"/>
          <w:szCs w:val="20"/>
          <w:color w:val="auto"/>
        </w:rPr>
      </w:pPr>
    </w:p>
    <w:p>
      <w:pPr>
        <w:ind w:right="40" w:firstLine="433"/>
        <w:spacing w:after="0" w:line="237"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expiring patent. In certain countries, the term of a patent that covers a drug product may also be eligible for patent term extension when regulatory approval is granted, provided the legal requirements are met.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1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rilonacept, mavrilimumab and our other product candidates. Generally, before a new drug can be marketed, considerable data demonstrating its quality, safety and efficacy must be obtained, organized into a format specific for each regulatory authority, submitted for review and approved by the regulatory authority.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Government Regulation of Biological Products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United States, the FDA regulates biologics under the Federal Food, Drug, and Cosmetic Act, or FDCA, and the Public Health Service Act, or PHSA, and their implementing regulations. Products are also subject to other federal, state and local statutes and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biologic license applications, or BLAs, withdrawal of an approval, imposition of a clinical hold, issuance of warning letters, product recalls, product seizures, total or partial suspension of production or distribution,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9" w:name="page140"/>
    <w:bookmarkEnd w:id="1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injunctions, fines, refusals of government contracts, restitution, disgorgement of profits or civil or criminal penalties.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process required by the FDA before a biologic may be marketed in the United States generally involves the following:</w:t>
      </w:r>
    </w:p>
    <w:p>
      <w:pPr>
        <w:spacing w:after="0" w:line="190" w:lineRule="exact"/>
        <w:rPr>
          <w:sz w:val="20"/>
          <w:szCs w:val="20"/>
          <w:color w:val="auto"/>
        </w:rPr>
      </w:pPr>
    </w:p>
    <w:p>
      <w:pPr>
        <w:ind w:left="960" w:right="680" w:hanging="481"/>
        <w:spacing w:after="0" w:line="241"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Completion of extensive pre-clinical studies and tests in accordance with applicable regulations, including Good Laboratory Practice, or GLP, regulations and applicable requirements for the humane use of laboratory animals or other applicable regulations;</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Submission to FDA of an IND which must become effective before human clinical trials may begin;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or ethics committee at each clinical trial site before each trial may be initiated;</w:t>
      </w:r>
    </w:p>
    <w:p>
      <w:pPr>
        <w:spacing w:after="0" w:line="177" w:lineRule="exact"/>
        <w:rPr>
          <w:rFonts w:ascii="Arial" w:cs="Arial" w:eastAsia="Arial" w:hAnsi="Arial"/>
          <w:sz w:val="16"/>
          <w:szCs w:val="16"/>
          <w:color w:val="auto"/>
        </w:rPr>
      </w:pPr>
    </w:p>
    <w:p>
      <w:pPr>
        <w:ind w:left="960" w:right="20" w:hanging="481"/>
        <w:spacing w:after="0" w:line="241"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IND regulations, good clinical practices, or GCPs, and other clinical-trial related regulations to evaluate the safety and efficacy of the investigational product for each proposed indication;</w:t>
      </w:r>
    </w:p>
    <w:p>
      <w:pPr>
        <w:spacing w:after="0" w:line="185" w:lineRule="exact"/>
        <w:rPr>
          <w:rFonts w:ascii="Arial" w:cs="Arial" w:eastAsia="Arial" w:hAnsi="Arial"/>
          <w:sz w:val="16"/>
          <w:szCs w:val="16"/>
          <w:color w:val="auto"/>
        </w:rPr>
      </w:pPr>
    </w:p>
    <w:p>
      <w:pPr>
        <w:ind w:left="960" w:right="40" w:hanging="481"/>
        <w:spacing w:after="0" w:line="241"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Submission to FDA of a BLA for marketing approval that includes substantive evidence of safety, purity, and potency from results of pre-clinical testing and clinical trials;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determination by FDA within 60 days of its receipt of a BLA to accept the filing for review;</w:t>
      </w:r>
    </w:p>
    <w:p>
      <w:pPr>
        <w:spacing w:after="0" w:line="177" w:lineRule="exact"/>
        <w:rPr>
          <w:rFonts w:ascii="Arial" w:cs="Arial" w:eastAsia="Arial" w:hAnsi="Arial"/>
          <w:sz w:val="16"/>
          <w:szCs w:val="16"/>
          <w:color w:val="auto"/>
        </w:rPr>
      </w:pPr>
    </w:p>
    <w:p>
      <w:pPr>
        <w:ind w:left="960" w:hanging="481"/>
        <w:spacing w:after="0" w:line="239"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Satisfactory completion of one or more FDA pre-approval inspections of the manufacturing facility or facilities where the biologic will be produced to assess compliance with cGMPs to assure that the facilities, methods and controls used in product manufacture are adequate to preserve the biologic's identity, strength, quality and purity;</w:t>
      </w:r>
    </w:p>
    <w:p>
      <w:pPr>
        <w:spacing w:after="0" w:line="186" w:lineRule="exact"/>
        <w:rPr>
          <w:rFonts w:ascii="Arial" w:cs="Arial" w:eastAsia="Arial" w:hAnsi="Arial"/>
          <w:sz w:val="16"/>
          <w:szCs w:val="16"/>
          <w:color w:val="auto"/>
        </w:rPr>
      </w:pPr>
    </w:p>
    <w:p>
      <w:pPr>
        <w:ind w:left="960" w:hanging="481"/>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Potential FDA audit of the pre-clinical and/or clinical trial sites that generated the data in support of the BLA;</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Payment of user fees for FDA review of the BLA; and</w:t>
      </w:r>
    </w:p>
    <w:p>
      <w:pPr>
        <w:spacing w:after="0" w:line="177" w:lineRule="exact"/>
        <w:rPr>
          <w:rFonts w:ascii="Arial" w:cs="Arial" w:eastAsia="Arial" w:hAnsi="Arial"/>
          <w:sz w:val="16"/>
          <w:szCs w:val="16"/>
          <w:color w:val="auto"/>
        </w:rPr>
      </w:pPr>
    </w:p>
    <w:p>
      <w:pPr>
        <w:ind w:left="960" w:right="280" w:hanging="481"/>
        <w:spacing w:after="0" w:line="241"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FDA review and approval of the BLA, including satisfactory completion of an FDA advisory committee review, if applicable, prior to any commercial marketing or sale of the product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Pre-clinical Studies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Before testing any biological product candidate, including our product candidates, in humans, the product candidate must undergo rigorous pre-clinical testing. The pre-clinical development stage generally involves laboratory evaluations of the chemistry, formulation and stability of the product candidate, as well as trials to evaluate toxicity in animals, which support subsequent clinical testing. The conduct of the pre-clinical tests must comply with federal regulations and requirements, including GLP regulations.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40" w:name="page141"/>
    <w:bookmarkEnd w:id="1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Trials</w:t>
      </w:r>
    </w:p>
    <w:p>
      <w:pPr>
        <w:spacing w:after="0" w:line="208"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 xml:space="preserve">The clinical stage of development involves the administration of the investigational product to healthy volunteers or patients under the supervision of qualified investigators, generally physicians not employed by, or under control of, the trial sponsor,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Information about most clinical trials must be submitted within specific timeframes for publication on the </w:t>
      </w:r>
      <w:r>
        <w:rPr>
          <w:rFonts w:ascii="Arial" w:cs="Arial" w:eastAsia="Arial" w:hAnsi="Arial"/>
          <w:sz w:val="16"/>
          <w:szCs w:val="16"/>
          <w:i w:val="1"/>
          <w:iCs w:val="1"/>
          <w:color w:val="auto"/>
        </w:rPr>
        <w:t xml:space="preserve">www.clinicaltrials.gov </w:t>
      </w:r>
      <w:r>
        <w:rPr>
          <w:rFonts w:ascii="Arial" w:cs="Arial" w:eastAsia="Arial" w:hAnsi="Arial"/>
          <w:sz w:val="16"/>
          <w:szCs w:val="16"/>
          <w:color w:val="auto"/>
        </w:rPr>
        <w:t>website. Information related to the product, patient population, phase of investigation, study sites and investigators and other aspects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trial is made public as part of the registration of the clinical trial. Sponsors are also obligated to discuss the results of their clinical trials after completion. Disclosure of the results of these trials can be delayed in some cases for up to two years after the date of completion of the trial. Competitors may use this publicly available information to gain knowledge regarding the progress of development programs.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Human clinical trials are typically conducted in three sequential phases, which may overlap or be combined:</w:t>
      </w:r>
    </w:p>
    <w:p>
      <w:pPr>
        <w:spacing w:after="0" w:line="190" w:lineRule="exact"/>
        <w:rPr>
          <w:sz w:val="20"/>
          <w:szCs w:val="20"/>
          <w:color w:val="auto"/>
        </w:rPr>
      </w:pPr>
    </w:p>
    <w:p>
      <w:pPr>
        <w:jc w:val="both"/>
        <w:ind w:left="960" w:hanging="481"/>
        <w:spacing w:after="0" w:line="239" w:lineRule="auto"/>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186" w:lineRule="exact"/>
        <w:rPr>
          <w:rFonts w:ascii="Arial" w:cs="Arial" w:eastAsia="Arial" w:hAnsi="Arial"/>
          <w:sz w:val="16"/>
          <w:szCs w:val="16"/>
          <w:color w:val="auto"/>
        </w:rPr>
      </w:pPr>
    </w:p>
    <w:p>
      <w:pPr>
        <w:ind w:left="960" w:right="260" w:hanging="481"/>
        <w:spacing w:after="0" w:line="239" w:lineRule="auto"/>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174" w:lineRule="exact"/>
        <w:rPr>
          <w:rFonts w:ascii="Arial" w:cs="Arial" w:eastAsia="Arial" w:hAnsi="Arial"/>
          <w:sz w:val="16"/>
          <w:szCs w:val="16"/>
          <w:color w:val="auto"/>
        </w:rPr>
      </w:pPr>
    </w:p>
    <w:p>
      <w:pPr>
        <w:ind w:left="960" w:right="20" w:hanging="481"/>
        <w:spacing w:after="0" w:line="238" w:lineRule="auto"/>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Phase 3 clinical trials generally involve a larger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87"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Post-approval trials, sometimes referred to as Phase 4 clinical trials, may be conducted after initial marketing approval. These trials are used to gain additional experience from the treatment of patients in the intended therapeutic indication, particularly for long-term safety follow up. In certain instances, the FDA may mandate the performance of Phase 4 clinical trials as a condition of approval of a BLA.</w:t>
      </w:r>
    </w:p>
    <w:p>
      <w:pPr>
        <w:spacing w:after="0" w:line="186" w:lineRule="exact"/>
        <w:rPr>
          <w:sz w:val="20"/>
          <w:szCs w:val="20"/>
          <w:color w:val="auto"/>
        </w:rPr>
      </w:pPr>
    </w:p>
    <w:p>
      <w:pPr>
        <w:ind w:right="120" w:firstLine="436"/>
        <w:spacing w:after="0" w:line="241"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The FDA or the sponsor may suspend or terminate a clinical trial at any time or the FDA may impose other sanctions on various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220"/>
        <w:spacing w:after="0" w:line="239" w:lineRule="auto"/>
        <w:rPr>
          <w:sz w:val="20"/>
          <w:szCs w:val="20"/>
          <w:color w:val="auto"/>
        </w:rPr>
      </w:pPr>
      <w:r>
        <w:rPr>
          <w:rFonts w:ascii="Arial" w:cs="Arial" w:eastAsia="Arial" w:hAnsi="Arial"/>
          <w:sz w:val="16"/>
          <w:szCs w:val="16"/>
          <w:color w:val="auto"/>
        </w:rPr>
        <w:t>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86"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Concurrently with clinical trials, companies usually complete additional pre-clinical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BLA Review and Approval</w:t>
      </w:r>
    </w:p>
    <w:p>
      <w:pPr>
        <w:spacing w:after="0" w:line="208" w:lineRule="exact"/>
        <w:rPr>
          <w:sz w:val="20"/>
          <w:szCs w:val="20"/>
          <w:color w:val="auto"/>
        </w:rPr>
      </w:pPr>
    </w:p>
    <w:p>
      <w:pPr>
        <w:ind w:right="20" w:firstLine="427"/>
        <w:spacing w:after="0" w:line="237"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The BLA must contain proof of safety, purity, potency and efficacy and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must be obtained before a biologic may be marketed in the United States.</w:t>
      </w:r>
    </w:p>
    <w:p>
      <w:pPr>
        <w:spacing w:after="0" w:line="188" w:lineRule="exact"/>
        <w:rPr>
          <w:sz w:val="20"/>
          <w:szCs w:val="20"/>
          <w:color w:val="auto"/>
        </w:rPr>
      </w:pPr>
    </w:p>
    <w:p>
      <w:pPr>
        <w:ind w:right="220" w:firstLine="436"/>
        <w:spacing w:after="0" w:line="237" w:lineRule="auto"/>
        <w:rPr>
          <w:sz w:val="20"/>
          <w:szCs w:val="20"/>
          <w:color w:val="auto"/>
        </w:rPr>
      </w:pPr>
      <w:r>
        <w:rPr>
          <w:rFonts w:ascii="Arial" w:cs="Arial" w:eastAsia="Arial" w:hAnsi="Arial"/>
          <w:sz w:val="16"/>
          <w:szCs w:val="16"/>
          <w:color w:val="auto"/>
        </w:rPr>
        <w:t>In most cases, the submission of a BLA is subject to a substantial application user fee.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w:t>
      </w:r>
    </w:p>
    <w:p>
      <w:pPr>
        <w:spacing w:after="0" w:line="189" w:lineRule="exact"/>
        <w:rPr>
          <w:sz w:val="20"/>
          <w:szCs w:val="20"/>
          <w:color w:val="auto"/>
        </w:rPr>
      </w:pPr>
    </w:p>
    <w:p>
      <w:pPr>
        <w:ind w:right="140" w:firstLine="436"/>
        <w:spacing w:after="0" w:line="258" w:lineRule="auto"/>
        <w:rPr>
          <w:sz w:val="20"/>
          <w:szCs w:val="20"/>
          <w:color w:val="auto"/>
        </w:rPr>
      </w:pPr>
      <w:r>
        <w:rPr>
          <w:rFonts w:ascii="Arial" w:cs="Arial" w:eastAsia="Arial" w:hAnsi="Arial"/>
          <w:sz w:val="15"/>
          <w:szCs w:val="15"/>
          <w:color w:val="auto"/>
        </w:rPr>
        <w:t>Before approving a BLA, the FDA will typically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adequate to assure consistent production of the product within required specifications. The FDA also may inspect the sponsor and one or more clinical trial sites to assure compliance with GCP requirements and the integrity of the clinical data submitted to the FDA.</w:t>
      </w:r>
    </w:p>
    <w:p>
      <w:pPr>
        <w:spacing w:after="0" w:line="175" w:lineRule="exact"/>
        <w:rPr>
          <w:sz w:val="20"/>
          <w:szCs w:val="20"/>
          <w:color w:val="auto"/>
        </w:rPr>
      </w:pPr>
    </w:p>
    <w:p>
      <w:pPr>
        <w:ind w:firstLine="427"/>
        <w:spacing w:after="0" w:line="239" w:lineRule="auto"/>
        <w:rPr>
          <w:sz w:val="20"/>
          <w:szCs w:val="20"/>
          <w:color w:val="auto"/>
        </w:rPr>
      </w:pPr>
      <w:r>
        <w:rPr>
          <w:rFonts w:ascii="Arial" w:cs="Arial" w:eastAsia="Arial" w:hAnsi="Arial"/>
          <w:sz w:val="16"/>
          <w:szCs w:val="16"/>
          <w:color w:val="auto"/>
        </w:rPr>
        <w:t>Additionally, the FDA may refer applications for novel biologic candidates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2" w:name="page143"/>
    <w:bookmarkEnd w:id="1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decisions on approval. The FDA likely will re-analyze the clinical trial data, which could result in extensive discussions between the FDA and the applicant during the review process. The FDA also may require submission of a REMS plan if it determines that a REMS is necessary to ensure that the benefits of the drug outweigh its risks and to assure the safe use of the biological product.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BLA must submit a proposed REMS. The FDA will not approve a BLA without a REMS, if required.</w:t>
      </w:r>
    </w:p>
    <w:p>
      <w:pPr>
        <w:spacing w:after="0" w:line="18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Under the Pediatric Research Equity Act, or PREA, a BLA or supplement to a BLA must contain data that are adequate to assess the safety and efficacy of the product candidate for the claimed indications in all relevant pediatric populations and to support dosing and administration for each pediatric 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product that includes a new active ingredient, new indication, new dosage form, new dosing regimen or new route of administration submit an initial Pediatric Study Plan, or PSP,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193" w:lineRule="exact"/>
        <w:rPr>
          <w:sz w:val="20"/>
          <w:szCs w:val="20"/>
          <w:color w:val="auto"/>
        </w:rPr>
      </w:pPr>
    </w:p>
    <w:p>
      <w:pPr>
        <w:ind w:right="20" w:firstLine="427"/>
        <w:spacing w:after="0" w:line="237" w:lineRule="auto"/>
        <w:rPr>
          <w:sz w:val="20"/>
          <w:szCs w:val="20"/>
          <w:color w:val="auto"/>
        </w:rPr>
      </w:pPr>
      <w:r>
        <w:rPr>
          <w:rFonts w:ascii="Arial" w:cs="Arial" w:eastAsia="Arial" w:hAnsi="Arial"/>
          <w:sz w:val="16"/>
          <w:szCs w:val="16"/>
          <w:color w:val="auto"/>
        </w:rPr>
        <w:t>After the FDA evaluates a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identified by the FDA. The Complete Response Letter may require additional clinical or other data, additional pivotal Phase 3 clinical trial(s) and/or other significant and time-consuming requirements related to clinical trials, pre-clinical studies or manufacturing. If a Complete Response Letter is issued, the applicant may either resubmit the BLA, addressing all of the deficiencies identified in the letter, or withdraw the application. Even if such data and information are submitted, the FDA may decide that the re-submitted BLA does not satisfy the criteria for approval.</w:t>
      </w:r>
    </w:p>
    <w:p>
      <w:pPr>
        <w:spacing w:after="0" w:line="188" w:lineRule="exact"/>
        <w:rPr>
          <w:sz w:val="20"/>
          <w:szCs w:val="20"/>
          <w:color w:val="auto"/>
        </w:rPr>
      </w:pPr>
    </w:p>
    <w:p>
      <w:pPr>
        <w:ind w:right="120" w:firstLine="436"/>
        <w:spacing w:after="0" w:line="256" w:lineRule="auto"/>
        <w:rPr>
          <w:sz w:val="20"/>
          <w:szCs w:val="20"/>
          <w:color w:val="auto"/>
        </w:rPr>
      </w:pPr>
      <w:r>
        <w:rPr>
          <w:rFonts w:ascii="Arial" w:cs="Arial" w:eastAsia="Arial" w:hAnsi="Arial"/>
          <w:sz w:val="15"/>
          <w:szCs w:val="15"/>
          <w:color w:val="auto"/>
        </w:rPr>
        <w:t>If a product receives regulatory approval, the approval is limited to the conditions of use (e.g., patient population, indication) described in the application.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3" w:name="page144"/>
    <w:bookmarkEnd w:id="1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indications, manufacturing changes and additional labeling claims, are subject to further testing requirements and FDA review and approval.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Orphan Drug Designation</w:t>
      </w:r>
    </w:p>
    <w:p>
      <w:pPr>
        <w:spacing w:after="0" w:line="20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Under the Orphan Drug Act, the FDA may grant orphan designation to a drug or biologic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 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by providing a major contribution to patient care or in instances of drug supply issues. Competitors, however, may receive approval of either a different product for the same indication or the same product for a different indication that could be used "off-label" by physicians in the orphan indication, even though the competitor's product is not approved in the orphan indication. Orphan drug exclusivity also could block the approval of one of our products for seven years if a competitor obtains approval before we do of the same product, as defined by the FDA, for the same indication we are seeking, or if our product candidate is determined to be contained within the scope of the competitor's product for the same indication or disease. If one of our products designated as an orphan drug receives marketing approval for an indication broader than that which is designated, it may not be entitled to orphan drug exclusivity. Orphan drug status in the European Union has similar, but not identical, requirements and benefits.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Expedited Review and Approval</w:t>
      </w:r>
    </w:p>
    <w:p>
      <w:pPr>
        <w:spacing w:after="0" w:line="208" w:lineRule="exact"/>
        <w:rPr>
          <w:sz w:val="20"/>
          <w:szCs w:val="20"/>
          <w:color w:val="auto"/>
        </w:rPr>
      </w:pPr>
    </w:p>
    <w:p>
      <w:pPr>
        <w:ind w:right="400" w:firstLine="433"/>
        <w:spacing w:after="0" w:line="238" w:lineRule="auto"/>
        <w:rPr>
          <w:sz w:val="20"/>
          <w:szCs w:val="20"/>
          <w:color w:val="auto"/>
        </w:rPr>
      </w:pPr>
      <w:r>
        <w:rPr>
          <w:rFonts w:ascii="Arial" w:cs="Arial" w:eastAsia="Arial" w:hAnsi="Arial"/>
          <w:sz w:val="16"/>
          <w:szCs w:val="16"/>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187"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BLA for a fast track product on a rolling basis before the complete application is submitted, if the sponsor and the FDA agree on a schedule for the submission of the application sections, and the sponsor pays any required user fees upon submission of the first section of the BLA.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4" w:name="page145"/>
    <w:bookmarkEnd w:id="1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addition, under the provisions of the or FDASIA, passed in July 2012,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with respect to breakthrough therapies, such as holding timely meetings with and providing advice to the product sponsor, intended to expedite the development and review of an application for approval of a breakthrough therapy.</w:t>
      </w:r>
    </w:p>
    <w:p>
      <w:pPr>
        <w:spacing w:after="0" w:line="188"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trials to verify and describe the predicted effect on IMM or other clinical endpoint, and the product may be subject to expedited withdrawal procedures.</w:t>
      </w:r>
    </w:p>
    <w:p>
      <w:pPr>
        <w:spacing w:after="0" w:line="175" w:lineRule="exact"/>
        <w:rPr>
          <w:sz w:val="20"/>
          <w:szCs w:val="20"/>
          <w:color w:val="auto"/>
        </w:rPr>
      </w:pPr>
    </w:p>
    <w:p>
      <w:pPr>
        <w:ind w:right="200" w:firstLine="436"/>
        <w:spacing w:after="0" w:line="238" w:lineRule="auto"/>
        <w:rPr>
          <w:sz w:val="20"/>
          <w:szCs w:val="20"/>
          <w:color w:val="auto"/>
        </w:rPr>
      </w:pPr>
      <w:r>
        <w:rPr>
          <w:rFonts w:ascii="Arial" w:cs="Arial" w:eastAsia="Arial" w:hAnsi="Arial"/>
          <w:sz w:val="16"/>
          <w:szCs w:val="16"/>
          <w:color w:val="auto"/>
        </w:rPr>
        <w:t>Once a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ten months for a standard review. Most products that are eligible for fast track or breakthrough therapy designation are also likely to be considered appropriate to receive a priority review.</w:t>
      </w:r>
    </w:p>
    <w:p>
      <w:pPr>
        <w:spacing w:after="0" w:line="187" w:lineRule="exact"/>
        <w:rPr>
          <w:sz w:val="20"/>
          <w:szCs w:val="20"/>
          <w:color w:val="auto"/>
        </w:rPr>
      </w:pPr>
    </w:p>
    <w:p>
      <w:pPr>
        <w:jc w:val="both"/>
        <w:ind w:right="320" w:firstLine="436"/>
        <w:spacing w:after="0" w:line="262" w:lineRule="auto"/>
        <w:rPr>
          <w:sz w:val="20"/>
          <w:szCs w:val="20"/>
          <w:color w:val="auto"/>
        </w:rPr>
      </w:pPr>
      <w:r>
        <w:rPr>
          <w:rFonts w:ascii="Arial" w:cs="Arial" w:eastAsia="Arial" w:hAnsi="Arial"/>
          <w:sz w:val="15"/>
          <w:szCs w:val="15"/>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breakthrough therapy designation, accelerated approval and priority review do not change the standards for approval and may not ultimately expedite the development or approval process.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Post-approval Requirements</w:t>
      </w:r>
    </w:p>
    <w:p>
      <w:pPr>
        <w:spacing w:after="0" w:line="208" w:lineRule="exact"/>
        <w:rPr>
          <w:sz w:val="20"/>
          <w:szCs w:val="20"/>
          <w:color w:val="auto"/>
        </w:rPr>
      </w:pPr>
    </w:p>
    <w:p>
      <w:pPr>
        <w:ind w:right="60" w:firstLine="436"/>
        <w:spacing w:after="0" w:line="254" w:lineRule="auto"/>
        <w:rPr>
          <w:sz w:val="20"/>
          <w:szCs w:val="20"/>
          <w:color w:val="auto"/>
        </w:rPr>
      </w:pPr>
      <w:r>
        <w:rPr>
          <w:rFonts w:ascii="Arial" w:cs="Arial" w:eastAsia="Arial" w:hAnsi="Arial"/>
          <w:sz w:val="15"/>
          <w:szCs w:val="15"/>
          <w:color w:val="auto"/>
        </w:rPr>
        <w:t>Following approval of a new product, the manufacturer and the approved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BLA or BLA supplement, which may require the applicant to develop additional data or conduct additional pre-clinical studies and clinical trials. The FDA may also place other conditions on approvals including the requirement for a REMS to assure the safe use of the product. A REMS could include medication guides, physician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5" w:name="page146"/>
    <w:bookmarkEnd w:id="1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FDA regulations require that products be manufactured in specific approved facilities and in accordance with cGMPs.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conditions that violate these rules, including failure to conform to cGMPs, could result in enforcement actions, and the discovery of problems with a product after approval may result in restrictions on a product, manufacturer or holder of an approved BLA, including voluntary recall.</w:t>
      </w:r>
    </w:p>
    <w:p>
      <w:pPr>
        <w:spacing w:after="0" w:line="186" w:lineRule="exact"/>
        <w:rPr>
          <w:sz w:val="20"/>
          <w:szCs w:val="20"/>
          <w:color w:val="auto"/>
        </w:rPr>
      </w:pPr>
    </w:p>
    <w:p>
      <w:pPr>
        <w:ind w:right="220" w:firstLine="436"/>
        <w:spacing w:after="0" w:line="237" w:lineRule="auto"/>
        <w:rPr>
          <w:sz w:val="20"/>
          <w:szCs w:val="20"/>
          <w:color w:val="auto"/>
        </w:rPr>
      </w:pPr>
      <w:r>
        <w:rPr>
          <w:rFonts w:ascii="Arial" w:cs="Arial" w:eastAsia="Arial" w:hAnsi="Arial"/>
          <w:sz w:val="16"/>
          <w:szCs w:val="16"/>
          <w:color w:val="auto"/>
        </w:rPr>
        <w:t>Once an approval or clearance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189" w:lineRule="exact"/>
        <w:rPr>
          <w:sz w:val="20"/>
          <w:szCs w:val="20"/>
          <w:color w:val="auto"/>
        </w:rPr>
      </w:pPr>
    </w:p>
    <w:p>
      <w:pPr>
        <w:ind w:left="960" w:hanging="481"/>
        <w:spacing w:after="0"/>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fines, warning letters or other enforcement-related letters or clinical holds on post-approval clinical trials;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refusal of the FDA to approve pending BLAs or supplements to approved BLAs, or suspension or revocation of product approvals;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 and</w:t>
      </w:r>
    </w:p>
    <w:p>
      <w:pPr>
        <w:spacing w:after="0" w:line="177" w:lineRule="exact"/>
        <w:rPr>
          <w:rFonts w:ascii="Arial" w:cs="Arial" w:eastAsia="Arial" w:hAnsi="Arial"/>
          <w:sz w:val="16"/>
          <w:szCs w:val="16"/>
          <w:color w:val="auto"/>
        </w:rPr>
      </w:pPr>
    </w:p>
    <w:p>
      <w:pPr>
        <w:ind w:left="960" w:right="80" w:hanging="481"/>
        <w:spacing w:after="0" w:line="241" w:lineRule="auto"/>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consent decrees, corporate integrity agreements, debarment, or exclusion from federal healthcare programs; or mandated modification of promotional materials and labeling and the issuance of corrective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Biosimilars and Exclusivity</w:t>
      </w:r>
    </w:p>
    <w:p>
      <w:pPr>
        <w:spacing w:after="0" w:line="208" w:lineRule="exact"/>
        <w:rPr>
          <w:sz w:val="20"/>
          <w:szCs w:val="20"/>
          <w:color w:val="auto"/>
        </w:rPr>
      </w:pPr>
    </w:p>
    <w:p>
      <w:pPr>
        <w:ind w:right="200" w:firstLine="427"/>
        <w:spacing w:after="0" w:line="238" w:lineRule="auto"/>
        <w:rPr>
          <w:sz w:val="20"/>
          <w:szCs w:val="20"/>
          <w:color w:val="auto"/>
        </w:rPr>
      </w:pPr>
      <w:r>
        <w:rPr>
          <w:rFonts w:ascii="Arial" w:cs="Arial" w:eastAsia="Arial" w:hAnsi="Arial"/>
          <w:sz w:val="16"/>
          <w:szCs w:val="16"/>
          <w:color w:val="auto"/>
        </w:rPr>
        <w:t>An abbreviated approval pathway for biological products that are biosimilar to or interchangeable with an FDA-licensed reference biological product was created by the Biologics Price Competition and Innovation Act of 2009, or BPCIA, as part of the Patient Protection and Affordable Care Act, as amended by the Health Care and Education Reconciliation Act, or the Affordable Care Act. This amendment to the PHSA, in part, attempts to minimize duplicative testing. To date, the FDA has approved a number of biosimilars, and numerous biosimilars have been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6" w:name="page147"/>
    <w:bookmarkEnd w:id="1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approved in Europe. The FDA has issued several guidance documents outlining its approach to reviewing and approving biosimilars.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must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Complexities associated with the larger, and often more complex, structure of biological products as compared to small molecule drugs, as well as the processes by which such products are manufactured, pose significant hurdles to implementation that are still being worked out by the FDA.</w:t>
      </w:r>
    </w:p>
    <w:p>
      <w:pPr>
        <w:spacing w:after="0" w:line="187" w:lineRule="exact"/>
        <w:rPr>
          <w:sz w:val="20"/>
          <w:szCs w:val="20"/>
          <w:color w:val="auto"/>
        </w:rPr>
      </w:pPr>
    </w:p>
    <w:p>
      <w:pPr>
        <w:ind w:firstLine="427"/>
        <w:spacing w:after="0" w:line="236" w:lineRule="auto"/>
        <w:rPr>
          <w:sz w:val="20"/>
          <w:szCs w:val="20"/>
          <w:color w:val="auto"/>
        </w:rPr>
      </w:pPr>
      <w:r>
        <w:rPr>
          <w:rFonts w:ascii="Arial" w:cs="Arial" w:eastAsia="Arial" w:hAnsi="Arial"/>
          <w:sz w:val="16"/>
          <w:szCs w:val="16"/>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93" w:lineRule="exact"/>
        <w:rPr>
          <w:sz w:val="20"/>
          <w:szCs w:val="20"/>
          <w:color w:val="auto"/>
        </w:rPr>
      </w:pPr>
    </w:p>
    <w:p>
      <w:pPr>
        <w:jc w:val="both"/>
        <w:ind w:right="20" w:firstLine="433"/>
        <w:spacing w:after="0" w:line="239" w:lineRule="auto"/>
        <w:rPr>
          <w:sz w:val="20"/>
          <w:szCs w:val="20"/>
          <w:color w:val="auto"/>
        </w:rPr>
      </w:pPr>
      <w:r>
        <w:rPr>
          <w:rFonts w:ascii="Arial" w:cs="Arial" w:eastAsia="Arial" w:hAnsi="Arial"/>
          <w:sz w:val="16"/>
          <w:szCs w:val="16"/>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Patent Term Restoration</w:t>
      </w:r>
    </w:p>
    <w:p>
      <w:pPr>
        <w:spacing w:after="0" w:line="20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must be based on the first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7" w:name="page148"/>
    <w:bookmarkEnd w:id="1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approval for the product, and the extension cannot extend the total patent term beyond fourteen years from approval. If we are unable to obtain patent term extension or the term of any such extension is less than we request, the period during which we can enforce our patent rights for that product will be shortened and our competitors may obtain approval to market competing products sooner.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 Drug Development, Review and Approval</w:t>
      </w:r>
    </w:p>
    <w:p>
      <w:pPr>
        <w:spacing w:after="0" w:line="208" w:lineRule="exact"/>
        <w:rPr>
          <w:sz w:val="20"/>
          <w:szCs w:val="20"/>
          <w:color w:val="auto"/>
        </w:rPr>
      </w:pPr>
    </w:p>
    <w:p>
      <w:pPr>
        <w:ind w:right="120" w:firstLine="436"/>
        <w:spacing w:after="0" w:line="241" w:lineRule="auto"/>
        <w:rPr>
          <w:sz w:val="20"/>
          <w:szCs w:val="20"/>
          <w:color w:val="auto"/>
        </w:rPr>
      </w:pPr>
      <w:r>
        <w:rPr>
          <w:rFonts w:ascii="Arial" w:cs="Arial" w:eastAsia="Arial" w:hAnsi="Arial"/>
          <w:sz w:val="16"/>
          <w:szCs w:val="16"/>
          <w:color w:val="auto"/>
        </w:rPr>
        <w:t>In the European Union, our product candidates also may be subject to extensive regulatory requirements. As in the United States, medicinal products can be marketed only if a marketing authorization from the competent regulatory agencies has been obtained.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w:t>
      </w:r>
    </w:p>
    <w:p>
      <w:pPr>
        <w:spacing w:after="0" w:line="19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IMPD (the Common Technical Document) with supporting information prescribed by Directive 2001/20/EC, Directive 2005/28/EC, where relevant the implementing national provisions of the individual EU Member States and further detailed in applicable guidance documents. All suspected unexpected serious adverse reactions to the investigated drug that occur during the clinical trial have to be reported to the competent national authority and the Ethics Committee of the Member State where they occurred.</w:t>
      </w:r>
    </w:p>
    <w:p>
      <w:pPr>
        <w:spacing w:after="0" w:line="187"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In April 2014, the new Clinical Trials Regulation, (EU) No 536/2014 (Clinical Trials Regulation) was adopted. The Regulation is anticipated to come into application in 2019.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88" w:lineRule="exact"/>
        <w:rPr>
          <w:sz w:val="20"/>
          <w:szCs w:val="20"/>
          <w:color w:val="auto"/>
        </w:rPr>
      </w:pPr>
    </w:p>
    <w:p>
      <w:pPr>
        <w:ind w:right="160" w:firstLine="433"/>
        <w:spacing w:after="0" w:line="237" w:lineRule="auto"/>
        <w:rPr>
          <w:sz w:val="20"/>
          <w:szCs w:val="20"/>
          <w:color w:val="auto"/>
        </w:rPr>
      </w:pPr>
      <w:r>
        <w:rPr>
          <w:rFonts w:ascii="Arial" w:cs="Arial" w:eastAsia="Arial" w:hAnsi="Arial"/>
          <w:sz w:val="16"/>
          <w:szCs w:val="16"/>
          <w:color w:val="auto"/>
        </w:rPr>
        <w:t>The new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8" w:name="page149"/>
    <w:bookmarkEnd w:id="1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firstLine="433"/>
        <w:spacing w:after="0" w:line="241" w:lineRule="auto"/>
        <w:rPr>
          <w:sz w:val="20"/>
          <w:szCs w:val="20"/>
          <w:color w:val="auto"/>
        </w:rPr>
      </w:pPr>
      <w:r>
        <w:rPr>
          <w:rFonts w:ascii="Arial" w:cs="Arial" w:eastAsia="Arial" w:hAnsi="Arial"/>
          <w:sz w:val="16"/>
          <w:szCs w:val="16"/>
          <w:color w:val="auto"/>
        </w:rPr>
        <w:t>To obtain a marketing authorization of a drug in the European Union, we may submit marketing authorization applications, or MAA, either under the so-called centralized or national authorization procedures.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Centralized Procedure</w:t>
      </w:r>
    </w:p>
    <w:p>
      <w:pPr>
        <w:spacing w:after="0" w:line="206" w:lineRule="exact"/>
        <w:rPr>
          <w:sz w:val="20"/>
          <w:szCs w:val="20"/>
          <w:color w:val="auto"/>
        </w:rPr>
      </w:pPr>
    </w:p>
    <w:p>
      <w:pPr>
        <w:ind w:firstLine="433"/>
        <w:spacing w:after="0" w:line="254" w:lineRule="auto"/>
        <w:rPr>
          <w:sz w:val="20"/>
          <w:szCs w:val="20"/>
          <w:color w:val="auto"/>
        </w:rPr>
      </w:pPr>
      <w:r>
        <w:rPr>
          <w:rFonts w:ascii="Arial" w:cs="Arial" w:eastAsia="Arial" w:hAnsi="Arial"/>
          <w:sz w:val="15"/>
          <w:szCs w:val="15"/>
          <w:color w:val="auto"/>
        </w:rPr>
        <w:t>The centralized procedure provides for the grant of a single marketing authorization following a favorable opinion by the European Medicines Agency, or EMA, that is valid in all EU member states, as well as Iceland, Liechtenstein and Norway. The centralized procedure is compulsory for medicines produced by specified biotechnological processes, products designated as orphan medicinal products, advanced-therapy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or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National Authorization Procedures</w:t>
      </w:r>
    </w:p>
    <w:p>
      <w:pPr>
        <w:spacing w:after="0" w:line="206" w:lineRule="exact"/>
        <w:rPr>
          <w:sz w:val="20"/>
          <w:szCs w:val="20"/>
          <w:color w:val="auto"/>
        </w:rPr>
      </w:pPr>
    </w:p>
    <w:p>
      <w:pPr>
        <w:ind w:right="240" w:firstLine="433"/>
        <w:spacing w:after="0" w:line="241" w:lineRule="auto"/>
        <w:rPr>
          <w:sz w:val="20"/>
          <w:szCs w:val="20"/>
          <w:color w:val="auto"/>
        </w:rPr>
      </w:pPr>
      <w:r>
        <w:rPr>
          <w:rFonts w:ascii="Arial" w:cs="Arial" w:eastAsia="Arial" w:hAnsi="Arial"/>
          <w:sz w:val="16"/>
          <w:szCs w:val="16"/>
          <w:color w:val="auto"/>
        </w:rPr>
        <w:t>There are also two other possible routes to authorize medicinal products in several EU countries, which are available for investigational medicinal products that fall outside the scope of the centralized procedure:</w:t>
      </w:r>
    </w:p>
    <w:p>
      <w:pPr>
        <w:spacing w:after="0" w:line="185" w:lineRule="exact"/>
        <w:rPr>
          <w:sz w:val="20"/>
          <w:szCs w:val="20"/>
          <w:color w:val="auto"/>
        </w:rPr>
      </w:pPr>
    </w:p>
    <w:p>
      <w:pPr>
        <w:jc w:val="both"/>
        <w:ind w:left="960" w:right="140" w:hanging="481"/>
        <w:spacing w:after="0" w:line="273" w:lineRule="auto"/>
        <w:tabs>
          <w:tab w:leader="none" w:pos="9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162" w:lineRule="exact"/>
        <w:rPr>
          <w:rFonts w:ascii="Arial" w:cs="Arial" w:eastAsia="Arial" w:hAnsi="Arial"/>
          <w:sz w:val="15"/>
          <w:szCs w:val="15"/>
          <w:color w:val="auto"/>
        </w:rPr>
      </w:pPr>
    </w:p>
    <w:p>
      <w:pPr>
        <w:ind w:left="960" w:right="20" w:hanging="481"/>
        <w:spacing w:after="0" w:line="239" w:lineRule="auto"/>
        <w:tabs>
          <w:tab w:leader="none" w:pos="9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86"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 Regulatory Exclusivity</w:t>
      </w:r>
    </w:p>
    <w:p>
      <w:pPr>
        <w:spacing w:after="0" w:line="20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In the European Union, new products authorized for marketing (i.e.,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49" w:name="page150"/>
    <w:bookmarkEnd w:id="149"/>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4" w:right="320"/>
        <w:spacing w:after="0" w:line="238" w:lineRule="auto"/>
        <w:rPr>
          <w:sz w:val="20"/>
          <w:szCs w:val="20"/>
          <w:color w:val="auto"/>
        </w:rPr>
      </w:pPr>
      <w:r>
        <w:rPr>
          <w:rFonts w:ascii="Arial" w:cs="Arial" w:eastAsia="Arial" w:hAnsi="Arial"/>
          <w:sz w:val="16"/>
          <w:szCs w:val="16"/>
          <w:color w:val="auto"/>
        </w:rPr>
        <w:t>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European Union Orphan Designation and Exclusivity</w:t>
      </w:r>
    </w:p>
    <w:p>
      <w:pPr>
        <w:spacing w:after="0" w:line="208" w:lineRule="exact"/>
        <w:rPr>
          <w:sz w:val="20"/>
          <w:szCs w:val="20"/>
          <w:color w:val="auto"/>
        </w:rPr>
      </w:pPr>
    </w:p>
    <w:p>
      <w:pPr>
        <w:ind w:left="4" w:right="220" w:firstLine="433"/>
        <w:spacing w:after="0" w:line="251" w:lineRule="auto"/>
        <w:rPr>
          <w:sz w:val="20"/>
          <w:szCs w:val="20"/>
          <w:color w:val="auto"/>
        </w:rPr>
      </w:pPr>
      <w:r>
        <w:rPr>
          <w:rFonts w:ascii="Arial" w:cs="Arial" w:eastAsia="Arial" w:hAnsi="Arial"/>
          <w:sz w:val="15"/>
          <w:szCs w:val="15"/>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w:t>
      </w:r>
    </w:p>
    <w:p>
      <w:pPr>
        <w:spacing w:after="0" w:line="2" w:lineRule="exact"/>
        <w:rPr>
          <w:sz w:val="20"/>
          <w:szCs w:val="20"/>
          <w:color w:val="auto"/>
        </w:rPr>
      </w:pPr>
    </w:p>
    <w:p>
      <w:pPr>
        <w:ind w:left="4" w:hanging="4"/>
        <w:spacing w:after="0" w:line="255" w:lineRule="auto"/>
        <w:tabs>
          <w:tab w:leader="none" w:pos="239"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77" w:lineRule="exact"/>
        <w:rPr>
          <w:sz w:val="20"/>
          <w:szCs w:val="20"/>
          <w:color w:val="auto"/>
        </w:rPr>
      </w:pPr>
    </w:p>
    <w:p>
      <w:pPr>
        <w:jc w:val="both"/>
        <w:ind w:left="4" w:right="120" w:firstLine="433"/>
        <w:spacing w:after="0" w:line="239" w:lineRule="auto"/>
        <w:rPr>
          <w:sz w:val="20"/>
          <w:szCs w:val="20"/>
          <w:color w:val="auto"/>
        </w:rPr>
      </w:pPr>
      <w:r>
        <w:rPr>
          <w:rFonts w:ascii="Arial" w:cs="Arial" w:eastAsia="Arial" w:hAnsi="Arial"/>
          <w:sz w:val="16"/>
          <w:szCs w:val="16"/>
          <w:color w:val="auto"/>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186" w:lineRule="exact"/>
        <w:rPr>
          <w:sz w:val="20"/>
          <w:szCs w:val="20"/>
          <w:color w:val="auto"/>
        </w:rPr>
      </w:pPr>
    </w:p>
    <w:p>
      <w:pPr>
        <w:ind w:left="964" w:hanging="481"/>
        <w:spacing w:after="0"/>
        <w:tabs>
          <w:tab w:leader="none" w:pos="9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second applicant can establish that its product, although similar, is safer, more effective or otherwise clinically superior;</w:t>
      </w:r>
    </w:p>
    <w:p>
      <w:pPr>
        <w:spacing w:after="0" w:line="189" w:lineRule="exact"/>
        <w:rPr>
          <w:rFonts w:ascii="Arial" w:cs="Arial" w:eastAsia="Arial" w:hAnsi="Arial"/>
          <w:sz w:val="16"/>
          <w:szCs w:val="16"/>
          <w:color w:val="auto"/>
        </w:rPr>
      </w:pPr>
    </w:p>
    <w:p>
      <w:pPr>
        <w:ind w:left="964" w:hanging="481"/>
        <w:spacing w:after="0"/>
        <w:tabs>
          <w:tab w:leader="none" w:pos="9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applicant consents to a second orphan medicinal product application; or</w:t>
      </w:r>
    </w:p>
    <w:p>
      <w:pPr>
        <w:spacing w:after="0" w:line="177" w:lineRule="exact"/>
        <w:rPr>
          <w:rFonts w:ascii="Arial" w:cs="Arial" w:eastAsia="Arial" w:hAnsi="Arial"/>
          <w:sz w:val="16"/>
          <w:szCs w:val="16"/>
          <w:color w:val="auto"/>
        </w:rPr>
      </w:pPr>
    </w:p>
    <w:p>
      <w:pPr>
        <w:ind w:left="964" w:hanging="481"/>
        <w:spacing w:after="0"/>
        <w:tabs>
          <w:tab w:leader="none" w:pos="9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applicant cannot supply enough orphan medicinal product.</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Rest of the World Regulation</w:t>
      </w:r>
    </w:p>
    <w:p>
      <w:pPr>
        <w:spacing w:after="0" w:line="208" w:lineRule="exact"/>
        <w:rPr>
          <w:sz w:val="20"/>
          <w:szCs w:val="20"/>
          <w:color w:val="auto"/>
        </w:rPr>
      </w:pPr>
    </w:p>
    <w:p>
      <w:pPr>
        <w:ind w:left="4" w:right="200" w:firstLine="436"/>
        <w:spacing w:after="0" w:line="238" w:lineRule="auto"/>
        <w:rPr>
          <w:sz w:val="20"/>
          <w:szCs w:val="20"/>
          <w:color w:val="auto"/>
        </w:rPr>
      </w:pPr>
      <w:r>
        <w:rPr>
          <w:rFonts w:ascii="Arial" w:cs="Arial" w:eastAsia="Arial" w:hAnsi="Arial"/>
          <w:sz w:val="16"/>
          <w:szCs w:val="16"/>
          <w:color w:val="auto"/>
        </w:rPr>
        <w:t>For other countries outside of the European Union and the United States, such as countries in Eastern Europe, Latin America or Asia, the requirements governing the conduct of clinical trials, product licensing, pricing and reimbursement vary from jurisdiction to jurisdiction. Additionally, the clinical trials must be conducted in accordance with cGCP requirements and the applicable regulatory requirements and the ethical principles that have their origin in the Declaration of Helsinki.</w:t>
      </w:r>
    </w:p>
    <w:p>
      <w:pPr>
        <w:spacing w:after="0" w:line="187" w:lineRule="exact"/>
        <w:rPr>
          <w:sz w:val="20"/>
          <w:szCs w:val="20"/>
          <w:color w:val="auto"/>
        </w:rPr>
      </w:pPr>
    </w:p>
    <w:p>
      <w:pPr>
        <w:ind w:left="4" w:right="180" w:firstLine="436"/>
        <w:spacing w:after="0" w:line="241" w:lineRule="auto"/>
        <w:rPr>
          <w:sz w:val="20"/>
          <w:szCs w:val="20"/>
          <w:color w:val="auto"/>
        </w:rPr>
      </w:pPr>
      <w:r>
        <w:rPr>
          <w:rFonts w:ascii="Arial" w:cs="Arial" w:eastAsia="Arial" w:hAnsi="Arial"/>
          <w:sz w:val="16"/>
          <w:szCs w:val="16"/>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5" w:lineRule="exact"/>
        <w:rPr>
          <w:sz w:val="20"/>
          <w:szCs w:val="20"/>
          <w:color w:val="auto"/>
        </w:rPr>
      </w:pPr>
    </w:p>
    <w:p>
      <w:pPr>
        <w:jc w:val="center"/>
        <w:ind w:right="-83"/>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4"/>
          </w:cols>
          <w:pgMar w:left="236" w:top="142" w:right="299" w:bottom="1440" w:gutter="0" w:footer="0" w:header="0"/>
        </w:sectPr>
      </w:pPr>
    </w:p>
    <w:bookmarkStart w:id="150" w:name="page151"/>
    <w:bookmarkEnd w:id="1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Healthcare Laws</w:t>
      </w:r>
    </w:p>
    <w:p>
      <w:pPr>
        <w:spacing w:after="0" w:line="208"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In addition to FDA restrictions on the marketing of pharmaceutical products, other U.S., federal and state healthcare regulatory laws restrict business practices in the pharmaceutical industry. These laws include, but are not limited to, federal and state anti-kickback, false claims, data privacy and security and physician payment and drug pricing transparency laws.</w:t>
      </w:r>
    </w:p>
    <w:p>
      <w:pPr>
        <w:spacing w:after="0" w:line="186" w:lineRule="exact"/>
        <w:rPr>
          <w:sz w:val="20"/>
          <w:szCs w:val="20"/>
          <w:color w:val="auto"/>
        </w:rPr>
      </w:pPr>
    </w:p>
    <w:p>
      <w:pPr>
        <w:ind w:right="40" w:firstLine="433"/>
        <w:spacing w:after="0" w:line="253" w:lineRule="auto"/>
        <w:rPr>
          <w:sz w:val="20"/>
          <w:szCs w:val="20"/>
          <w:color w:val="auto"/>
        </w:rPr>
      </w:pPr>
      <w:r>
        <w:rPr>
          <w:rFonts w:ascii="Arial" w:cs="Arial" w:eastAsia="Arial" w:hAnsi="Arial"/>
          <w:sz w:val="15"/>
          <w:szCs w:val="15"/>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and medical device manufacturers on the one hand and prescribers, purchasers, formulary managers and beneficiaries on the other hand.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 In addition, a person or entity does not need to have actual knowledge of the statute or specific intent to violate it in order to have committed a violation. Moreover,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 or to self-pay patients.</w:t>
      </w:r>
    </w:p>
    <w:p>
      <w:pPr>
        <w:spacing w:after="0" w:line="180"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 xml:space="preserve">The federal false claims and civil monetary penalties laws,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by a private individual in the name of the government. Violations of the civil False Claims Act can result in very significant monetary penalties and treble damages. Several biopharmaceutical, medical device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or off-label), and thus non-covered,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1" w:name="page152"/>
    <w:bookmarkEnd w:id="1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services reimbursed under Medicaid and other state programs, or, in several states, apply regardless of the payor.</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of profits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88" w:lineRule="exact"/>
        <w:rPr>
          <w:sz w:val="20"/>
          <w:szCs w:val="20"/>
          <w:color w:val="auto"/>
        </w:rPr>
      </w:pPr>
    </w:p>
    <w:p>
      <w:pPr>
        <w:ind w:right="140" w:firstLine="433"/>
        <w:spacing w:after="0" w:line="237"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8" w:lineRule="exact"/>
        <w:rPr>
          <w:sz w:val="20"/>
          <w:szCs w:val="20"/>
          <w:color w:val="auto"/>
        </w:rPr>
      </w:pPr>
    </w:p>
    <w:p>
      <w:pPr>
        <w:ind w:right="40" w:firstLine="436"/>
        <w:spacing w:after="0" w:line="251" w:lineRule="auto"/>
        <w:rPr>
          <w:sz w:val="20"/>
          <w:szCs w:val="20"/>
          <w:color w:val="auto"/>
        </w:rPr>
      </w:pPr>
      <w:r>
        <w:rPr>
          <w:rFonts w:ascii="Arial" w:cs="Arial" w:eastAsia="Arial" w:hAnsi="Arial"/>
          <w:sz w:val="15"/>
          <w:szCs w:val="15"/>
          <w:color w:val="auto"/>
        </w:rPr>
        <w:t>In addition, there has been a recent trend of increased federal and state regulation of payments made to physicians and certain other healthcare providers. The Affordable Care Act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w:t>
      </w:r>
    </w:p>
    <w:p>
      <w:pPr>
        <w:spacing w:after="0" w:line="2" w:lineRule="exact"/>
        <w:rPr>
          <w:sz w:val="20"/>
          <w:szCs w:val="20"/>
          <w:color w:val="auto"/>
        </w:rPr>
      </w:pPr>
    </w:p>
    <w:p>
      <w:pPr>
        <w:ind w:right="140"/>
        <w:spacing w:after="0" w:line="219" w:lineRule="auto"/>
        <w:rPr>
          <w:sz w:val="20"/>
          <w:szCs w:val="20"/>
          <w:color w:val="auto"/>
        </w:rPr>
      </w:pPr>
      <w:r>
        <w:rPr>
          <w:rFonts w:ascii="Arial" w:cs="Arial" w:eastAsia="Arial" w:hAnsi="Arial"/>
          <w:sz w:val="16"/>
          <w:szCs w:val="16"/>
          <w:color w:val="auto"/>
        </w:rPr>
        <w:t>investment interests may result in civil monetary penalties. Covered manufacturers must submit reports by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subsequent calendar year and the reported information is publicly made available on a searchable website. In addition, certain states require implementation of compliance programs and compliance with the pharmaceutical industry's voluntary compliance guidelines and the relevant compliance guidance promulgated by the federal government, impose restrictions on marketing practices and/or require the tracking and reporting of marketing expenditures and pricing information as well as gifts, compensation and other remuneration or items of value provided to physicians and other healthcare professionals and entities.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although it is unclear that we would be considered a "business associate" in the normal course of our business. HITECH also increased the civil and criminal penalties that may be imposed against covered entities, business associates and possibly other persons, and gave state attorneys general new authority to file civil actions for damages or injunctions in federal courts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2" w:name="page153"/>
    <w:bookmarkEnd w:id="1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440"/>
        <w:spacing w:after="0" w:line="239" w:lineRule="auto"/>
        <w:rPr>
          <w:sz w:val="20"/>
          <w:szCs w:val="20"/>
          <w:color w:val="auto"/>
        </w:rPr>
      </w:pPr>
      <w:r>
        <w:rPr>
          <w:rFonts w:ascii="Arial" w:cs="Arial" w:eastAsia="Arial" w:hAnsi="Arial"/>
          <w:sz w:val="16"/>
          <w:szCs w:val="16"/>
          <w:color w:val="auto"/>
        </w:rPr>
        <w:t>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86" w:lineRule="exact"/>
        <w:rPr>
          <w:sz w:val="20"/>
          <w:szCs w:val="20"/>
          <w:color w:val="auto"/>
        </w:rPr>
      </w:pPr>
    </w:p>
    <w:p>
      <w:pPr>
        <w:ind w:right="120" w:firstLine="436"/>
        <w:spacing w:after="0" w:line="239" w:lineRule="auto"/>
        <w:rPr>
          <w:sz w:val="20"/>
          <w:szCs w:val="20"/>
          <w:color w:val="auto"/>
        </w:rPr>
      </w:pPr>
      <w:r>
        <w:rPr>
          <w:rFonts w:ascii="Arial" w:cs="Arial" w:eastAsia="Arial" w:hAnsi="Arial"/>
          <w:sz w:val="16"/>
          <w:szCs w:val="16"/>
          <w:color w:val="auto"/>
        </w:rPr>
        <w:t>Similar foreign laws and regulations, which may include, for instance, applicable post-marketing requirements, anti-fraud and abuse laws and implementation of corporate compliance programs and reporting of payments or other transfers of value to healthcare professionals, may apply to us to the extent that any of our product candidates, once approved, are sold in a country other than the United States.</w:t>
      </w:r>
    </w:p>
    <w:p>
      <w:pPr>
        <w:spacing w:after="0" w:line="186"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Because of the breadth of these laws and the narrowness of their exceptions and safe harbors, it is possible that business activities can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9" w:lineRule="exact"/>
        <w:rPr>
          <w:sz w:val="20"/>
          <w:szCs w:val="20"/>
          <w:color w:val="auto"/>
        </w:rPr>
      </w:pPr>
    </w:p>
    <w:p>
      <w:pPr>
        <w:ind w:right="160" w:firstLine="436"/>
        <w:spacing w:after="0" w:line="237" w:lineRule="auto"/>
        <w:rPr>
          <w:sz w:val="20"/>
          <w:szCs w:val="20"/>
          <w:color w:val="auto"/>
        </w:rPr>
      </w:pPr>
      <w:r>
        <w:rPr>
          <w:rFonts w:ascii="Arial" w:cs="Arial" w:eastAsia="Arial" w:hAnsi="Arial"/>
          <w:sz w:val="16"/>
          <w:szCs w:val="16"/>
          <w:color w:val="auto"/>
        </w:rPr>
        <w:t>Ensuring that business arrangements with third parties comply with applicable healthcare laws and regulations is costly and time consuming. If business operations are found to be in violation of any of the laws described above or any other applicable governmental regulations a pharmaceutical manufacturer may be subject to penalties, including civil, criminal and administrative penalties, damages, fines, disgorgement of profits, individual imprisonment, exclusion from governmental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curtailment or restructuring of operations, any of which could adversely affect a pharmaceutical manufacturer's ability to operate its business and the results of its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Coverage, Pricing and Reimbursement</w:t>
      </w:r>
    </w:p>
    <w:p>
      <w:pPr>
        <w:spacing w:after="0" w:line="208" w:lineRule="exact"/>
        <w:rPr>
          <w:sz w:val="20"/>
          <w:szCs w:val="20"/>
          <w:color w:val="auto"/>
        </w:rPr>
      </w:pPr>
    </w:p>
    <w:p>
      <w:pPr>
        <w:ind w:firstLine="436"/>
        <w:spacing w:after="0" w:line="255" w:lineRule="auto"/>
        <w:rPr>
          <w:sz w:val="20"/>
          <w:szCs w:val="20"/>
          <w:color w:val="auto"/>
        </w:rPr>
      </w:pPr>
      <w:r>
        <w:rPr>
          <w:rFonts w:ascii="Arial" w:cs="Arial" w:eastAsia="Arial" w:hAnsi="Arial"/>
          <w:sz w:val="15"/>
          <w:szCs w:val="15"/>
          <w:color w:val="auto"/>
        </w:rPr>
        <w:t>Significant uncertainty exists as to the coverage and reimbursement status of any biological products for which we obtain regulatory approval. 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drug and biologic products. In the United States and markets in other countries, patients who are prescribed products generally rely on third-party payors to reimburse all or part of the associated healthcare costs. Providers and patients are unlikely to use our products unless coverage is provided and reimbursement is adequate to cover a significant portion of the cost of our products. If approved, sales of our product candidates will depend, in part, on the availability of coverage and adequate reimbursement from third-party payors. Third-party payors include government authorities, managed care plans, private health insurers and other organizations.</w:t>
      </w:r>
    </w:p>
    <w:p>
      <w:pPr>
        <w:spacing w:after="0" w:line="17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United States, the process for determining whether a third-party payor will provide coverage for a biological product typically is separate from the process for setting the price of such product or for establishing the reimbursement rate that the payor will pay for the product once coverage is approved. With respect to biologics, 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3" w:name="page154"/>
    <w:bookmarkEnd w:id="1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decision by a third-party payor not to cover our product candidates could reduce physician utilization of a product. Moreover, a third-party payor's decision to provide coverage for a product does not imply that an adequate reimbursement rate will be approved. Adequate third-party reimbursement may not be available to enable a manufacturer to maintain price levels sufficient to realize an appropriate return on its investment in product development. Additionally, coverage and reimbursement for products can differ significantly from payor to payor. One third-party payor's decision to cover a particular medical product does not ensure that other payors will also provide coverage for the medical product, or will provide coverage at an adequate reimbursement rate. As a result, the coverage determination process usually requires manufacturers to provide scientific and clinical support for the use of their products to each payor separately and is a time-consuming process.</w:t>
      </w:r>
    </w:p>
    <w:p>
      <w:pPr>
        <w:spacing w:after="0" w:line="175" w:lineRule="exact"/>
        <w:rPr>
          <w:sz w:val="20"/>
          <w:szCs w:val="20"/>
          <w:color w:val="auto"/>
        </w:rPr>
      </w:pPr>
    </w:p>
    <w:p>
      <w:pPr>
        <w:ind w:right="60" w:firstLine="427"/>
        <w:spacing w:after="0" w:line="237" w:lineRule="auto"/>
        <w:rPr>
          <w:sz w:val="20"/>
          <w:szCs w:val="20"/>
          <w:color w:val="auto"/>
        </w:rPr>
      </w:pPr>
      <w:r>
        <w:rPr>
          <w:rFonts w:ascii="Arial" w:cs="Arial" w:eastAsia="Arial" w:hAnsi="Arial"/>
          <w:sz w:val="16"/>
          <w:szCs w:val="16"/>
          <w:color w:val="auto"/>
        </w:rPr>
        <w:t>As noted above, the marketability of any products for which we receive regulatory approval for commercial sale may suffer if the government and third-party payors fail to provide coverage and adequate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 Third-party payors are increasingly challenging the prices charged for medical products and services, examining the medical necessity and reviewing the cost-effectiveness of pharmaceutical products, in addition to questioning safety and efficacy. If third-party payors do not consider a product to be cost-effective compared to other available therapies, they may not cover that product after FDA approval or, if they do, the level of payment may not be sufficient to allow a manufacturer to sell its product at a profit.</w:t>
      </w:r>
    </w:p>
    <w:p>
      <w:pPr>
        <w:spacing w:after="0" w:line="187"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In addition, in many foreign countries, the proposed pricing for a drug must be approved before it may be lawfully marketed. The requirements governing drug pricing and reimbursement vary widely from country to country. In the European Union, governments influence the price of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Reform and Potential Changes to Healthcare Laws</w:t>
      </w:r>
    </w:p>
    <w:p>
      <w:pPr>
        <w:spacing w:after="0" w:line="208" w:lineRule="exact"/>
        <w:rPr>
          <w:sz w:val="20"/>
          <w:szCs w:val="20"/>
          <w:color w:val="auto"/>
        </w:rPr>
      </w:pPr>
    </w:p>
    <w:p>
      <w:pPr>
        <w:ind w:right="80" w:firstLine="433"/>
        <w:spacing w:after="0" w:line="237"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devices and to spur innovation, but its ultimate implementation is uncertain. In addition, in August 2017, the FDA Reauthorization Act was signed into law, which reauthorized the FDAs user fee programs and included additional drug and device provisions that build on the Cures Act. If we are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4" w:name="page155"/>
    <w:bookmarkEnd w:id="1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86" w:lineRule="exact"/>
        <w:rPr>
          <w:sz w:val="20"/>
          <w:szCs w:val="20"/>
          <w:color w:val="auto"/>
        </w:rPr>
      </w:pPr>
    </w:p>
    <w:p>
      <w:pPr>
        <w:ind w:right="40" w:firstLine="427"/>
        <w:spacing w:after="0" w:line="236"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imposed a new federal excise tax on the sale of certain medical devices;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established a Center for Medicare Innovation at the CMS to test innovative payment and service delivery models to lower Medicare and Medicaid spending.</w:t>
      </w:r>
    </w:p>
    <w:p>
      <w:pPr>
        <w:spacing w:after="0" w:line="193"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and we expect there will be additional challenges and amendments to the Affordable Care Act in the future. The current Presidential administration and members of the U.S. Congress have indicated that they may continue to seek to modify, repeal or otherwise invalidate all, or certain provisions of, the Affordable Care Act. Most recently, the Tax Cuts and Jobs Acts was enacted, which, among other things, removes penalties for not complying with the individual mandate to carry health insurance. It is uncertain the extent to which any such changes may impact our business or financial condition.</w:t>
      </w:r>
    </w:p>
    <w:p>
      <w:pPr>
        <w:spacing w:after="0" w:line="189"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to reduce healthcare expenditures. These changes include the Budget Control Act of 2011, which, among other things, included aggregate reductions of Medicare payments to providers of 2% per fiscal year and that will remain in effect through 2025 unless additional action is taken by Congress; and the American Taxpayer Relief Act of 2012,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products.</w:t>
      </w:r>
    </w:p>
    <w:p>
      <w:pPr>
        <w:spacing w:after="0" w:line="187" w:lineRule="exact"/>
        <w:rPr>
          <w:sz w:val="20"/>
          <w:szCs w:val="20"/>
          <w:color w:val="auto"/>
        </w:rPr>
      </w:pPr>
    </w:p>
    <w:p>
      <w:pPr>
        <w:ind w:right="160" w:firstLine="436"/>
        <w:spacing w:after="0" w:line="241" w:lineRule="auto"/>
        <w:rPr>
          <w:sz w:val="20"/>
          <w:szCs w:val="20"/>
          <w:color w:val="auto"/>
        </w:rPr>
      </w:pPr>
      <w:r>
        <w:rPr>
          <w:rFonts w:ascii="Arial" w:cs="Arial" w:eastAsia="Arial" w:hAnsi="Arial"/>
          <w:sz w:val="16"/>
          <w:szCs w:val="16"/>
          <w:color w:val="auto"/>
        </w:rPr>
        <w:t>Individual states in the United States have become increasingly active in passing legislation and implementing regulations designed to control biotechnology and pharmaceutical product pricing, including price or patient reimbursement constraints, discounts, restrictions on certain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55" w:name="page156"/>
    <w:bookmarkEnd w:id="1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product access and marketing cost disclosure and transparency measures, and, in some cases, designed to encourage importation from other countries and bulk purchasing.</w:t>
      </w:r>
    </w:p>
    <w:p>
      <w:pPr>
        <w:spacing w:after="0" w:line="185"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2018, we had 47 employees.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w:t>
      </w:r>
    </w:p>
    <w:p>
      <w:pPr>
        <w:spacing w:after="0" w:line="210"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Our U.S. headquarters are located in Lexington, Massachusetts, where Kiniksa US has leased approximately 25,067 square feet of office space, under a lease which expires in July 2021. We believe that our offices are sufficient to meet our current needs and that suitable additional space will be available as and when needed.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not subject to any material legal proceedings.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56" w:name="page157"/>
    <w:bookmarkEnd w:id="1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name and position of each of our executive officers and directors and their ages as of the date of this prospectus.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Name</w:t>
            </w:r>
          </w:p>
        </w:tc>
        <w:tc>
          <w:tcPr>
            <w:tcW w:w="4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Age</w:t>
            </w:r>
          </w:p>
        </w:tc>
        <w:tc>
          <w:tcPr>
            <w:tcW w:w="140" w:type="dxa"/>
            <w:vAlign w:val="bottom"/>
          </w:tcPr>
          <w:p>
            <w:pPr>
              <w:spacing w:after="0"/>
              <w:rPr>
                <w:sz w:val="16"/>
                <w:szCs w:val="16"/>
                <w:color w:val="auto"/>
              </w:rPr>
            </w:pPr>
          </w:p>
        </w:tc>
        <w:tc>
          <w:tcPr>
            <w:tcW w:w="3560" w:type="dxa"/>
            <w:vAlign w:val="bottom"/>
          </w:tcPr>
          <w:p>
            <w:pPr>
              <w:ind w:left="1480"/>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r>
        <w:trPr>
          <w:trHeight w:val="169"/>
        </w:trPr>
        <w:tc>
          <w:tcPr>
            <w:tcW w:w="506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b w:val="1"/>
                <w:bCs w:val="1"/>
                <w:i w:val="1"/>
                <w:iCs w:val="1"/>
                <w:color w:val="auto"/>
              </w:rPr>
              <w:t>Executive Officers:</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560" w:type="dxa"/>
            <w:vAlign w:val="bottom"/>
            <w:shd w:val="clear" w:color="auto" w:fill="CCEEFF"/>
          </w:tcPr>
          <w:p>
            <w:pPr>
              <w:spacing w:after="0"/>
              <w:rPr>
                <w:sz w:val="14"/>
                <w:szCs w:val="14"/>
                <w:color w:val="auto"/>
              </w:rPr>
            </w:pPr>
          </w:p>
        </w:tc>
      </w:tr>
      <w:tr>
        <w:trPr>
          <w:trHeight w:val="181"/>
        </w:trPr>
        <w:tc>
          <w:tcPr>
            <w:tcW w:w="5060" w:type="dxa"/>
            <w:vAlign w:val="bottom"/>
            <w:gridSpan w:val="3"/>
          </w:tcPr>
          <w:p>
            <w:pPr>
              <w:spacing w:after="0" w:line="181" w:lineRule="exact"/>
              <w:rPr>
                <w:sz w:val="20"/>
                <w:szCs w:val="20"/>
                <w:color w:val="auto"/>
              </w:rPr>
            </w:pPr>
            <w:r>
              <w:rPr>
                <w:rFonts w:ascii="Arial" w:cs="Arial" w:eastAsia="Arial" w:hAnsi="Arial"/>
                <w:sz w:val="16"/>
                <w:szCs w:val="16"/>
                <w:color w:val="auto"/>
              </w:rPr>
              <w:t>Sanj K. Patel</w:t>
            </w:r>
          </w:p>
        </w:tc>
        <w:tc>
          <w:tcPr>
            <w:tcW w:w="420" w:type="dxa"/>
            <w:vAlign w:val="bottom"/>
          </w:tcPr>
          <w:p>
            <w:pPr>
              <w:jc w:val="right"/>
              <w:spacing w:after="0" w:line="181" w:lineRule="exact"/>
              <w:rPr>
                <w:sz w:val="20"/>
                <w:szCs w:val="20"/>
                <w:color w:val="auto"/>
              </w:rPr>
            </w:pPr>
            <w:r>
              <w:rPr>
                <w:rFonts w:ascii="Arial" w:cs="Arial" w:eastAsia="Arial" w:hAnsi="Arial"/>
                <w:sz w:val="16"/>
                <w:szCs w:val="16"/>
                <w:color w:val="auto"/>
              </w:rPr>
              <w:t>48</w:t>
            </w:r>
          </w:p>
        </w:tc>
        <w:tc>
          <w:tcPr>
            <w:tcW w:w="3700" w:type="dxa"/>
            <w:vAlign w:val="bottom"/>
            <w:gridSpan w:val="2"/>
          </w:tcPr>
          <w:p>
            <w:pPr>
              <w:ind w:left="140"/>
              <w:spacing w:after="0" w:line="181" w:lineRule="exact"/>
              <w:rPr>
                <w:sz w:val="20"/>
                <w:szCs w:val="20"/>
                <w:color w:val="auto"/>
              </w:rPr>
            </w:pPr>
            <w:r>
              <w:rPr>
                <w:rFonts w:ascii="Arial" w:cs="Arial" w:eastAsia="Arial" w:hAnsi="Arial"/>
                <w:sz w:val="16"/>
                <w:szCs w:val="16"/>
                <w:color w:val="auto"/>
                <w:w w:val="98"/>
              </w:rPr>
              <w:t>Chief Executive Officer and Chairman of the Board</w:t>
            </w:r>
          </w:p>
        </w:tc>
      </w:tr>
      <w:tr>
        <w:trPr>
          <w:trHeight w:val="181"/>
        </w:trPr>
        <w:tc>
          <w:tcPr>
            <w:tcW w:w="506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Stephen Mahoney</w:t>
            </w:r>
          </w:p>
        </w:tc>
        <w:tc>
          <w:tcPr>
            <w:tcW w:w="4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47</w:t>
            </w:r>
          </w:p>
        </w:tc>
        <w:tc>
          <w:tcPr>
            <w:tcW w:w="370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President and Chief Operating Officer</w:t>
            </w:r>
          </w:p>
        </w:tc>
      </w:tr>
      <w:tr>
        <w:trPr>
          <w:trHeight w:val="181"/>
        </w:trPr>
        <w:tc>
          <w:tcPr>
            <w:tcW w:w="5060" w:type="dxa"/>
            <w:vAlign w:val="bottom"/>
            <w:gridSpan w:val="3"/>
          </w:tcPr>
          <w:p>
            <w:pPr>
              <w:spacing w:after="0" w:line="181" w:lineRule="exact"/>
              <w:rPr>
                <w:sz w:val="20"/>
                <w:szCs w:val="20"/>
                <w:color w:val="auto"/>
              </w:rPr>
            </w:pPr>
            <w:r>
              <w:rPr>
                <w:rFonts w:ascii="Arial" w:cs="Arial" w:eastAsia="Arial" w:hAnsi="Arial"/>
                <w:sz w:val="16"/>
                <w:szCs w:val="16"/>
                <w:color w:val="auto"/>
              </w:rPr>
              <w:t>Chris Heberlig</w:t>
            </w:r>
          </w:p>
        </w:tc>
        <w:tc>
          <w:tcPr>
            <w:tcW w:w="420" w:type="dxa"/>
            <w:vAlign w:val="bottom"/>
          </w:tcPr>
          <w:p>
            <w:pPr>
              <w:jc w:val="right"/>
              <w:spacing w:after="0" w:line="181" w:lineRule="exact"/>
              <w:rPr>
                <w:sz w:val="20"/>
                <w:szCs w:val="20"/>
                <w:color w:val="auto"/>
              </w:rPr>
            </w:pPr>
            <w:r>
              <w:rPr>
                <w:rFonts w:ascii="Arial" w:cs="Arial" w:eastAsia="Arial" w:hAnsi="Arial"/>
                <w:sz w:val="16"/>
                <w:szCs w:val="16"/>
                <w:color w:val="auto"/>
              </w:rPr>
              <w:t>43</w:t>
            </w:r>
          </w:p>
        </w:tc>
        <w:tc>
          <w:tcPr>
            <w:tcW w:w="370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Chief Financial Officer</w:t>
            </w:r>
          </w:p>
        </w:tc>
      </w:tr>
      <w:tr>
        <w:trPr>
          <w:trHeight w:val="181"/>
        </w:trPr>
        <w:tc>
          <w:tcPr>
            <w:tcW w:w="506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John F. Paolini, M.D., Ph.D.</w:t>
            </w:r>
          </w:p>
        </w:tc>
        <w:tc>
          <w:tcPr>
            <w:tcW w:w="4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53</w:t>
            </w:r>
          </w:p>
        </w:tc>
        <w:tc>
          <w:tcPr>
            <w:tcW w:w="370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Chief Medical Officer</w:t>
            </w:r>
          </w:p>
        </w:tc>
      </w:tr>
      <w:tr>
        <w:trPr>
          <w:trHeight w:val="181"/>
        </w:trPr>
        <w:tc>
          <w:tcPr>
            <w:tcW w:w="5060" w:type="dxa"/>
            <w:vAlign w:val="bottom"/>
            <w:gridSpan w:val="3"/>
          </w:tcPr>
          <w:p>
            <w:pPr>
              <w:spacing w:after="0" w:line="181" w:lineRule="exact"/>
              <w:rPr>
                <w:sz w:val="20"/>
                <w:szCs w:val="20"/>
                <w:color w:val="auto"/>
              </w:rPr>
            </w:pPr>
            <w:r>
              <w:rPr>
                <w:rFonts w:ascii="Arial" w:cs="Arial" w:eastAsia="Arial" w:hAnsi="Arial"/>
                <w:sz w:val="16"/>
                <w:szCs w:val="16"/>
                <w:color w:val="auto"/>
              </w:rPr>
              <w:t>Thomas Beetham</w:t>
            </w:r>
          </w:p>
        </w:tc>
        <w:tc>
          <w:tcPr>
            <w:tcW w:w="420" w:type="dxa"/>
            <w:vAlign w:val="bottom"/>
          </w:tcPr>
          <w:p>
            <w:pPr>
              <w:jc w:val="right"/>
              <w:spacing w:after="0" w:line="181" w:lineRule="exact"/>
              <w:rPr>
                <w:sz w:val="20"/>
                <w:szCs w:val="20"/>
                <w:color w:val="auto"/>
              </w:rPr>
            </w:pPr>
            <w:r>
              <w:rPr>
                <w:rFonts w:ascii="Arial" w:cs="Arial" w:eastAsia="Arial" w:hAnsi="Arial"/>
                <w:sz w:val="16"/>
                <w:szCs w:val="16"/>
                <w:color w:val="auto"/>
              </w:rPr>
              <w:t>48</w:t>
            </w:r>
          </w:p>
        </w:tc>
        <w:tc>
          <w:tcPr>
            <w:tcW w:w="3700" w:type="dxa"/>
            <w:vAlign w:val="bottom"/>
            <w:gridSpan w:val="2"/>
          </w:tcPr>
          <w:p>
            <w:pPr>
              <w:ind w:left="140"/>
              <w:spacing w:after="0" w:line="181" w:lineRule="exact"/>
              <w:rPr>
                <w:sz w:val="20"/>
                <w:szCs w:val="20"/>
                <w:color w:val="auto"/>
              </w:rPr>
            </w:pPr>
            <w:r>
              <w:rPr>
                <w:rFonts w:ascii="Arial" w:cs="Arial" w:eastAsia="Arial" w:hAnsi="Arial"/>
                <w:sz w:val="16"/>
                <w:szCs w:val="16"/>
                <w:color w:val="auto"/>
              </w:rPr>
              <w:t>Chief Legal Officer</w:t>
            </w:r>
          </w:p>
        </w:tc>
      </w:tr>
      <w:tr>
        <w:trPr>
          <w:trHeight w:val="374"/>
        </w:trPr>
        <w:tc>
          <w:tcPr>
            <w:tcW w:w="50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i w:val="1"/>
                <w:iCs w:val="1"/>
                <w:color w:val="auto"/>
              </w:rPr>
              <w:t>Directors:</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560" w:type="dxa"/>
            <w:vAlign w:val="bottom"/>
            <w:shd w:val="clear" w:color="auto" w:fill="CCEEFF"/>
          </w:tcPr>
          <w:p>
            <w:pPr>
              <w:spacing w:after="0"/>
              <w:rPr>
                <w:sz w:val="24"/>
                <w:szCs w:val="24"/>
                <w:color w:val="auto"/>
              </w:rPr>
            </w:pPr>
          </w:p>
        </w:tc>
      </w:tr>
      <w:tr>
        <w:trPr>
          <w:trHeight w:val="217"/>
        </w:trPr>
        <w:tc>
          <w:tcPr>
            <w:tcW w:w="5060" w:type="dxa"/>
            <w:vAlign w:val="bottom"/>
            <w:gridSpan w:val="3"/>
          </w:tcPr>
          <w:p>
            <w:pPr>
              <w:spacing w:after="0" w:line="217" w:lineRule="exact"/>
              <w:rPr>
                <w:sz w:val="20"/>
                <w:szCs w:val="20"/>
                <w:color w:val="auto"/>
              </w:rPr>
            </w:pPr>
            <w:r>
              <w:rPr>
                <w:rFonts w:ascii="Arial" w:cs="Arial" w:eastAsia="Arial" w:hAnsi="Arial"/>
                <w:sz w:val="15"/>
                <w:szCs w:val="15"/>
                <w:color w:val="auto"/>
              </w:rPr>
              <w:t>Felix J. Baker, Ph.D.</w:t>
            </w:r>
            <w:r>
              <w:rPr>
                <w:rFonts w:ascii="Arial" w:cs="Arial" w:eastAsia="Arial" w:hAnsi="Arial"/>
                <w:sz w:val="25"/>
                <w:szCs w:val="25"/>
                <w:color w:val="auto"/>
                <w:vertAlign w:val="superscript"/>
              </w:rPr>
              <w:t>(2)(3)</w:t>
            </w: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217"/>
        </w:trPr>
        <w:tc>
          <w:tcPr>
            <w:tcW w:w="5060" w:type="dxa"/>
            <w:vAlign w:val="bottom"/>
            <w:gridSpan w:val="3"/>
            <w:shd w:val="clear" w:color="auto" w:fill="CCEEFF"/>
          </w:tcPr>
          <w:p>
            <w:pPr>
              <w:spacing w:after="0" w:line="217" w:lineRule="exact"/>
              <w:rPr>
                <w:sz w:val="20"/>
                <w:szCs w:val="20"/>
                <w:color w:val="auto"/>
              </w:rPr>
            </w:pPr>
            <w:r>
              <w:rPr>
                <w:rFonts w:ascii="Arial" w:cs="Arial" w:eastAsia="Arial" w:hAnsi="Arial"/>
                <w:sz w:val="15"/>
                <w:szCs w:val="15"/>
                <w:color w:val="auto"/>
              </w:rPr>
              <w:t>Stephen R. Biggar, M.D., Ph.D.</w:t>
            </w:r>
            <w:r>
              <w:rPr>
                <w:rFonts w:ascii="Arial" w:cs="Arial" w:eastAsia="Arial" w:hAnsi="Arial"/>
                <w:sz w:val="25"/>
                <w:szCs w:val="25"/>
                <w:color w:val="auto"/>
                <w:vertAlign w:val="superscript"/>
              </w:rPr>
              <w:t>(3)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r>
      <w:tr>
        <w:trPr>
          <w:trHeight w:val="217"/>
        </w:trPr>
        <w:tc>
          <w:tcPr>
            <w:tcW w:w="5060" w:type="dxa"/>
            <w:vAlign w:val="bottom"/>
            <w:gridSpan w:val="3"/>
          </w:tcPr>
          <w:p>
            <w:pPr>
              <w:spacing w:after="0" w:line="217" w:lineRule="exact"/>
              <w:rPr>
                <w:sz w:val="20"/>
                <w:szCs w:val="20"/>
                <w:color w:val="auto"/>
              </w:rPr>
            </w:pPr>
            <w:r>
              <w:rPr>
                <w:rFonts w:ascii="Arial" w:cs="Arial" w:eastAsia="Arial" w:hAnsi="Arial"/>
                <w:sz w:val="15"/>
                <w:szCs w:val="15"/>
                <w:color w:val="auto"/>
              </w:rPr>
              <w:t>Thomas R. Malley</w:t>
            </w:r>
            <w:r>
              <w:rPr>
                <w:rFonts w:ascii="Arial" w:cs="Arial" w:eastAsia="Arial" w:hAnsi="Arial"/>
                <w:sz w:val="25"/>
                <w:szCs w:val="25"/>
                <w:color w:val="auto"/>
                <w:vertAlign w:val="superscript"/>
              </w:rPr>
              <w:t>(1)(3)</w:t>
            </w: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217"/>
        </w:trPr>
        <w:tc>
          <w:tcPr>
            <w:tcW w:w="5060" w:type="dxa"/>
            <w:vAlign w:val="bottom"/>
            <w:gridSpan w:val="3"/>
            <w:shd w:val="clear" w:color="auto" w:fill="CCEEFF"/>
          </w:tcPr>
          <w:p>
            <w:pPr>
              <w:spacing w:after="0" w:line="217" w:lineRule="exact"/>
              <w:rPr>
                <w:sz w:val="20"/>
                <w:szCs w:val="20"/>
                <w:color w:val="auto"/>
              </w:rPr>
            </w:pPr>
            <w:r>
              <w:rPr>
                <w:rFonts w:ascii="Arial" w:cs="Arial" w:eastAsia="Arial" w:hAnsi="Arial"/>
                <w:sz w:val="15"/>
                <w:szCs w:val="15"/>
                <w:color w:val="auto"/>
              </w:rPr>
              <w:t>Tracey L. McCain</w:t>
            </w:r>
            <w:r>
              <w:rPr>
                <w:rFonts w:ascii="Arial" w:cs="Arial" w:eastAsia="Arial" w:hAnsi="Arial"/>
                <w:sz w:val="25"/>
                <w:szCs w:val="25"/>
                <w:color w:val="auto"/>
                <w:vertAlign w:val="superscript"/>
              </w:rPr>
              <w:t>(1)</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r>
      <w:tr>
        <w:trPr>
          <w:trHeight w:val="217"/>
        </w:trPr>
        <w:tc>
          <w:tcPr>
            <w:tcW w:w="5060" w:type="dxa"/>
            <w:vAlign w:val="bottom"/>
            <w:gridSpan w:val="3"/>
          </w:tcPr>
          <w:p>
            <w:pPr>
              <w:spacing w:after="0" w:line="217" w:lineRule="exact"/>
              <w:rPr>
                <w:sz w:val="20"/>
                <w:szCs w:val="20"/>
                <w:color w:val="auto"/>
              </w:rPr>
            </w:pPr>
            <w:r>
              <w:rPr>
                <w:rFonts w:ascii="Arial" w:cs="Arial" w:eastAsia="Arial" w:hAnsi="Arial"/>
                <w:sz w:val="15"/>
                <w:szCs w:val="15"/>
                <w:color w:val="auto"/>
              </w:rPr>
              <w:t>Kimberly J. Popovits</w:t>
            </w:r>
            <w:r>
              <w:rPr>
                <w:rFonts w:ascii="Arial" w:cs="Arial" w:eastAsia="Arial" w:hAnsi="Arial"/>
                <w:sz w:val="25"/>
                <w:szCs w:val="25"/>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6"/>
                <w:szCs w:val="16"/>
                <w:color w:val="auto"/>
              </w:rPr>
              <w:t>59</w:t>
            </w:r>
          </w:p>
        </w:tc>
        <w:tc>
          <w:tcPr>
            <w:tcW w:w="370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217"/>
        </w:trPr>
        <w:tc>
          <w:tcPr>
            <w:tcW w:w="5060" w:type="dxa"/>
            <w:vAlign w:val="bottom"/>
            <w:gridSpan w:val="3"/>
            <w:shd w:val="clear" w:color="auto" w:fill="CCEEFF"/>
          </w:tcPr>
          <w:p>
            <w:pPr>
              <w:spacing w:after="0" w:line="217" w:lineRule="exact"/>
              <w:rPr>
                <w:sz w:val="20"/>
                <w:szCs w:val="20"/>
                <w:color w:val="auto"/>
              </w:rPr>
            </w:pPr>
            <w:r>
              <w:rPr>
                <w:rFonts w:ascii="Arial" w:cs="Arial" w:eastAsia="Arial" w:hAnsi="Arial"/>
                <w:sz w:val="15"/>
                <w:szCs w:val="15"/>
                <w:color w:val="auto"/>
              </w:rPr>
              <w:t>Barry D. Quart, Pharm.D.</w:t>
            </w:r>
            <w:r>
              <w:rPr>
                <w:rFonts w:ascii="Arial" w:cs="Arial" w:eastAsia="Arial" w:hAnsi="Arial"/>
                <w:sz w:val="25"/>
                <w:szCs w:val="25"/>
                <w:color w:val="auto"/>
                <w:vertAlign w:val="superscript"/>
              </w:rPr>
              <w:t>(1)(2)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w:t>
            </w:r>
          </w:p>
        </w:tc>
      </w:tr>
      <w:tr>
        <w:trPr>
          <w:trHeight w:val="96"/>
        </w:trPr>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560" w:type="dxa"/>
            <w:vAlign w:val="bottom"/>
          </w:tcPr>
          <w:p>
            <w:pPr>
              <w:spacing w:after="0"/>
              <w:rPr>
                <w:sz w:val="8"/>
                <w:szCs w:val="8"/>
                <w:color w:val="auto"/>
              </w:rPr>
            </w:pPr>
          </w:p>
        </w:tc>
      </w:tr>
      <w:tr>
        <w:trPr>
          <w:trHeight w:val="344"/>
        </w:trPr>
        <w:tc>
          <w:tcPr>
            <w:tcW w:w="420" w:type="dxa"/>
            <w:vAlign w:val="bottom"/>
          </w:tcPr>
          <w:p>
            <w:pPr>
              <w:spacing w:after="0"/>
              <w:rPr>
                <w:sz w:val="20"/>
                <w:szCs w:val="20"/>
                <w:color w:val="auto"/>
              </w:rPr>
            </w:pPr>
            <w:r>
              <w:rPr>
                <w:rFonts w:ascii="Arial" w:cs="Arial" w:eastAsia="Arial" w:hAnsi="Arial"/>
                <w:sz w:val="13"/>
                <w:szCs w:val="13"/>
                <w:color w:val="auto"/>
              </w:rPr>
              <w:t>(1)</w:t>
            </w:r>
          </w:p>
        </w:tc>
        <w:tc>
          <w:tcPr>
            <w:tcW w:w="4640" w:type="dxa"/>
            <w:vAlign w:val="bottom"/>
            <w:gridSpan w:val="2"/>
          </w:tcPr>
          <w:p>
            <w:pPr>
              <w:ind w:left="60"/>
              <w:spacing w:after="0"/>
              <w:rPr>
                <w:sz w:val="20"/>
                <w:szCs w:val="20"/>
                <w:color w:val="auto"/>
              </w:rPr>
            </w:pPr>
            <w:r>
              <w:rPr>
                <w:rFonts w:ascii="Arial" w:cs="Arial" w:eastAsia="Arial" w:hAnsi="Arial"/>
                <w:sz w:val="13"/>
                <w:szCs w:val="13"/>
                <w:color w:val="auto"/>
              </w:rPr>
              <w:t>Member of the audit committee.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89"/>
        </w:trPr>
        <w:tc>
          <w:tcPr>
            <w:tcW w:w="420" w:type="dxa"/>
            <w:vAlign w:val="bottom"/>
          </w:tcPr>
          <w:p>
            <w:pPr>
              <w:spacing w:after="0"/>
              <w:rPr>
                <w:sz w:val="20"/>
                <w:szCs w:val="20"/>
                <w:color w:val="auto"/>
              </w:rPr>
            </w:pPr>
            <w:r>
              <w:rPr>
                <w:rFonts w:ascii="Arial" w:cs="Arial" w:eastAsia="Arial" w:hAnsi="Arial"/>
                <w:sz w:val="13"/>
                <w:szCs w:val="13"/>
                <w:color w:val="auto"/>
              </w:rPr>
              <w:t>(2)</w:t>
            </w:r>
          </w:p>
        </w:tc>
        <w:tc>
          <w:tcPr>
            <w:tcW w:w="4640" w:type="dxa"/>
            <w:vAlign w:val="bottom"/>
            <w:gridSpan w:val="2"/>
          </w:tcPr>
          <w:p>
            <w:pPr>
              <w:ind w:left="60"/>
              <w:spacing w:after="0"/>
              <w:rPr>
                <w:sz w:val="20"/>
                <w:szCs w:val="20"/>
                <w:color w:val="auto"/>
              </w:rPr>
            </w:pPr>
            <w:r>
              <w:rPr>
                <w:rFonts w:ascii="Arial" w:cs="Arial" w:eastAsia="Arial" w:hAnsi="Arial"/>
                <w:sz w:val="13"/>
                <w:szCs w:val="13"/>
                <w:color w:val="auto"/>
              </w:rPr>
              <w:t>Member of the compensation committee.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89"/>
        </w:trPr>
        <w:tc>
          <w:tcPr>
            <w:tcW w:w="420" w:type="dxa"/>
            <w:vAlign w:val="bottom"/>
          </w:tcPr>
          <w:p>
            <w:pPr>
              <w:spacing w:after="0"/>
              <w:rPr>
                <w:sz w:val="20"/>
                <w:szCs w:val="20"/>
                <w:color w:val="auto"/>
              </w:rPr>
            </w:pPr>
            <w:r>
              <w:rPr>
                <w:rFonts w:ascii="Arial" w:cs="Arial" w:eastAsia="Arial" w:hAnsi="Arial"/>
                <w:sz w:val="13"/>
                <w:szCs w:val="13"/>
                <w:color w:val="auto"/>
              </w:rPr>
              <w:t>(3)</w:t>
            </w:r>
          </w:p>
        </w:tc>
        <w:tc>
          <w:tcPr>
            <w:tcW w:w="4640" w:type="dxa"/>
            <w:vAlign w:val="bottom"/>
            <w:gridSpan w:val="2"/>
          </w:tcPr>
          <w:p>
            <w:pPr>
              <w:ind w:left="60"/>
              <w:spacing w:after="0"/>
              <w:rPr>
                <w:sz w:val="20"/>
                <w:szCs w:val="20"/>
                <w:color w:val="auto"/>
              </w:rPr>
            </w:pPr>
            <w:r>
              <w:rPr>
                <w:rFonts w:ascii="Arial" w:cs="Arial" w:eastAsia="Arial" w:hAnsi="Arial"/>
                <w:sz w:val="13"/>
                <w:szCs w:val="13"/>
                <w:color w:val="auto"/>
              </w:rPr>
              <w:t>Member of the nominating and corporate governance committee.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192"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i w:val="1"/>
          <w:iCs w:val="1"/>
          <w:color w:val="auto"/>
        </w:rPr>
        <w:t xml:space="preserve">Sanj K. Patel </w:t>
      </w:r>
      <w:r>
        <w:rPr>
          <w:rFonts w:ascii="Arial" w:cs="Arial" w:eastAsia="Arial" w:hAnsi="Arial"/>
          <w:sz w:val="16"/>
          <w:szCs w:val="16"/>
          <w:color w:val="auto"/>
        </w:rPr>
        <w:t>has served as our Chief Executive Officer and Chairman of our board of directors since our formation in July 2015. In June 2008, Mr. Patel</w:t>
      </w:r>
      <w:r>
        <w:rPr>
          <w:rFonts w:ascii="Arial" w:cs="Arial" w:eastAsia="Arial" w:hAnsi="Arial"/>
          <w:sz w:val="16"/>
          <w:szCs w:val="16"/>
          <w:i w:val="1"/>
          <w:iCs w:val="1"/>
          <w:color w:val="auto"/>
        </w:rPr>
        <w:t xml:space="preserve"> </w:t>
      </w:r>
      <w:r>
        <w:rPr>
          <w:rFonts w:ascii="Arial" w:cs="Arial" w:eastAsia="Arial" w:hAnsi="Arial"/>
          <w:sz w:val="16"/>
          <w:szCs w:val="16"/>
          <w:color w:val="auto"/>
        </w:rPr>
        <w:t>formed Synageva BioPharm Corp., or Synageva, a biotechnology company focused on rare diseases, where he acted as President and Chief Executive Officer until its sale to Alexion Pharmaceuticals in June 2015. Prior to Synageva, Mr. Patel held various roles at Genzyme Corporation from 1999 to 2008, most recently as head of U.S. Sales, Marketing and Commercial Operations for the Genzyme Therapeutics franchise, or Genzyme. Mr. Patel is a member of the board of directors of Syros Pharmaceuticals and BioCryst Pharmaceuticals, and, from 2013 to 2015, sat on the board of directors of Intercept Pharmaceuticals. He is also the founder and director of the Sanj K. Patel and Family Foundation, a philanthropic organization that supports charities for patients with rare and devastating diseases. Mr. Patel holds a B.Sc. with Honors from the University of the South Bank, London and completed his management and business studies at Ealing College, London and his Pharmacology research program at the Wellcome Foundation. We believe that Mr. Patel is qualified to serve on our board of directors due to his extensive business, sales and product development experience in the biotechnology industry.</w:t>
      </w:r>
    </w:p>
    <w:p>
      <w:pPr>
        <w:spacing w:after="0" w:line="172" w:lineRule="exact"/>
        <w:rPr>
          <w:sz w:val="20"/>
          <w:szCs w:val="20"/>
          <w:color w:val="auto"/>
        </w:rPr>
      </w:pPr>
    </w:p>
    <w:p>
      <w:pPr>
        <w:ind w:right="60" w:firstLine="436"/>
        <w:spacing w:after="0" w:line="242" w:lineRule="auto"/>
        <w:rPr>
          <w:sz w:val="20"/>
          <w:szCs w:val="20"/>
          <w:color w:val="auto"/>
        </w:rPr>
      </w:pPr>
      <w:r>
        <w:rPr>
          <w:rFonts w:ascii="Arial" w:cs="Arial" w:eastAsia="Arial" w:hAnsi="Arial"/>
          <w:sz w:val="16"/>
          <w:szCs w:val="16"/>
          <w:i w:val="1"/>
          <w:iCs w:val="1"/>
          <w:color w:val="auto"/>
        </w:rPr>
        <w:t xml:space="preserve">Stephen Mahoney </w:t>
      </w:r>
      <w:r>
        <w:rPr>
          <w:rFonts w:ascii="Arial" w:cs="Arial" w:eastAsia="Arial" w:hAnsi="Arial"/>
          <w:sz w:val="16"/>
          <w:szCs w:val="16"/>
          <w:color w:val="auto"/>
        </w:rPr>
        <w:t>has served as our Chief Operating Officer since our formation in July 2015 and as our President since June 2017. Prior to serving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Operating Officer, Mr. Mahoney held various roles at Synageva from 2012 to 2015, most recently as Chief Commercial Officer, where he was responsible for Synageva's global commercial operations. Mr. Mahoney was also responsible for areas such as Global Sales Operations &amp; Business Analytics, Commercial Supply Chain and Logistics, Global Procurement, Patient Services, Sales Training and Legal and Corporate Development. Prior to Synageva, Mr. Mahoney held various roles at Genzyme from 2003 to 2012, most recently as the Regional Legal Director for the Asia Pacific region, where he was responsible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57" w:name="page158"/>
    <w:bookmarkEnd w:id="1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for legal and healthcare compliance issues for multiple business units. Mr. Mahoney holds an M.B.A. from Boston College's Carroll School of Management, a J.D.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from Boston College Law School and a B.A. from Colorado College.</w:t>
      </w:r>
    </w:p>
    <w:p>
      <w:pPr>
        <w:spacing w:after="0" w:line="174" w:lineRule="exact"/>
        <w:rPr>
          <w:sz w:val="20"/>
          <w:szCs w:val="20"/>
          <w:color w:val="auto"/>
        </w:rPr>
      </w:pPr>
    </w:p>
    <w:p>
      <w:pPr>
        <w:ind w:right="20" w:firstLine="436"/>
        <w:spacing w:after="0" w:line="242" w:lineRule="auto"/>
        <w:rPr>
          <w:sz w:val="20"/>
          <w:szCs w:val="20"/>
          <w:color w:val="auto"/>
        </w:rPr>
      </w:pPr>
      <w:r>
        <w:rPr>
          <w:rFonts w:ascii="Arial" w:cs="Arial" w:eastAsia="Arial" w:hAnsi="Arial"/>
          <w:sz w:val="16"/>
          <w:szCs w:val="16"/>
          <w:i w:val="1"/>
          <w:iCs w:val="1"/>
          <w:color w:val="auto"/>
        </w:rPr>
        <w:t xml:space="preserve">Chris Heberlig </w:t>
      </w:r>
      <w:r>
        <w:rPr>
          <w:rFonts w:ascii="Arial" w:cs="Arial" w:eastAsia="Arial" w:hAnsi="Arial"/>
          <w:sz w:val="16"/>
          <w:szCs w:val="16"/>
          <w:color w:val="auto"/>
        </w:rPr>
        <w:t>has served as our Chief Financial Officer since our formation in July 2015. Prior to serving as our Chief Financial Officer, Mr. Heberlig held</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roles at Synageva from 2008 to 2015, most recently serving as Senior Vice President of Finance and Business Operations. At Synageva, he led strategic tax planning, including overseeing the transfer of tax and intellectual property assets to Europe, and was responsible for global financial operations, facilities, as well as program management. Mr. Heberlig holds an M.B.A. from Boston University School of Management and a B.A. from St. Lawrence University. Mr. Heberlig is also a Certified Public Accountant.</w:t>
      </w:r>
    </w:p>
    <w:p>
      <w:pPr>
        <w:spacing w:after="0" w:line="170" w:lineRule="exact"/>
        <w:rPr>
          <w:sz w:val="20"/>
          <w:szCs w:val="20"/>
          <w:color w:val="auto"/>
        </w:rPr>
      </w:pPr>
    </w:p>
    <w:p>
      <w:pPr>
        <w:ind w:right="40" w:firstLine="436"/>
        <w:spacing w:after="0"/>
        <w:rPr>
          <w:sz w:val="20"/>
          <w:szCs w:val="20"/>
          <w:color w:val="auto"/>
        </w:rPr>
      </w:pPr>
      <w:r>
        <w:rPr>
          <w:rFonts w:ascii="Arial" w:cs="Arial" w:eastAsia="Arial" w:hAnsi="Arial"/>
          <w:sz w:val="16"/>
          <w:szCs w:val="16"/>
          <w:i w:val="1"/>
          <w:iCs w:val="1"/>
          <w:color w:val="auto"/>
        </w:rPr>
        <w:t>John F. Paolini</w:t>
      </w:r>
      <w:r>
        <w:rPr>
          <w:rFonts w:ascii="Arial" w:cs="Arial" w:eastAsia="Arial" w:hAnsi="Arial"/>
          <w:sz w:val="16"/>
          <w:szCs w:val="16"/>
          <w:color w:val="auto"/>
        </w:rPr>
        <w:t>,</w:t>
      </w:r>
      <w:r>
        <w:rPr>
          <w:rFonts w:ascii="Arial" w:cs="Arial" w:eastAsia="Arial" w:hAnsi="Arial"/>
          <w:sz w:val="16"/>
          <w:szCs w:val="16"/>
          <w:i w:val="1"/>
          <w:iCs w:val="1"/>
          <w:color w:val="auto"/>
        </w:rPr>
        <w:t xml:space="preserve"> M.D., Ph.D.</w:t>
      </w:r>
      <w:r>
        <w:rPr>
          <w:rFonts w:ascii="Arial" w:cs="Arial" w:eastAsia="Arial" w:hAnsi="Arial"/>
          <w:sz w:val="16"/>
          <w:szCs w:val="16"/>
          <w:color w:val="auto"/>
        </w:rPr>
        <w:t>, has served as our Chief Medical Officer since August 2016. From August 2015 to August 2016, Dr. Paolini was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Head of the Cardiovascular and Metabolic Diseases Research Unit at Pfizer Inc., a pharmaceutical company, where he was responsible for bringing forward programs from pre-clinical through early clinical development and proof of concept. Prior to Pfizer, from August 2011 to July 2015, Dr. Paolini served as Chief Medical Officer of Cerenis Therapeutics, a biotechnology company focused on cardiovascular and metabolic diseases, where he was responsible for designing and executing clinical trials and regulatory strategy for a portfolio of products. Dr. Paolini holds an M.D., Ph.D. from Duke University School of Medicine and a B.A. and a Bachelor of Science, or B.S., from Tulane University, and completed his internship, residency and fellowship in Internal Medicine and Cardiology from Brigham and Women's Hospital, Boston.</w:t>
      </w:r>
    </w:p>
    <w:p>
      <w:pPr>
        <w:spacing w:after="0" w:line="172" w:lineRule="exact"/>
        <w:rPr>
          <w:sz w:val="20"/>
          <w:szCs w:val="20"/>
          <w:color w:val="auto"/>
        </w:rPr>
      </w:pPr>
    </w:p>
    <w:p>
      <w:pPr>
        <w:ind w:firstLine="436"/>
        <w:spacing w:after="0" w:line="258" w:lineRule="auto"/>
        <w:rPr>
          <w:sz w:val="20"/>
          <w:szCs w:val="20"/>
          <w:color w:val="auto"/>
        </w:rPr>
      </w:pPr>
      <w:r>
        <w:rPr>
          <w:rFonts w:ascii="Arial" w:cs="Arial" w:eastAsia="Arial" w:hAnsi="Arial"/>
          <w:sz w:val="15"/>
          <w:szCs w:val="15"/>
          <w:i w:val="1"/>
          <w:iCs w:val="1"/>
          <w:color w:val="auto"/>
        </w:rPr>
        <w:t xml:space="preserve">Thomas Beetham </w:t>
      </w:r>
      <w:r>
        <w:rPr>
          <w:rFonts w:ascii="Arial" w:cs="Arial" w:eastAsia="Arial" w:hAnsi="Arial"/>
          <w:sz w:val="15"/>
          <w:szCs w:val="15"/>
          <w:color w:val="auto"/>
        </w:rPr>
        <w:t>has served as our Chief Legal Officer since our formation in July 2015 and is also responsible for corporate development. Prior to serving as</w:t>
      </w:r>
      <w:r>
        <w:rPr>
          <w:rFonts w:ascii="Arial" w:cs="Arial" w:eastAsia="Arial" w:hAnsi="Arial"/>
          <w:sz w:val="15"/>
          <w:szCs w:val="15"/>
          <w:i w:val="1"/>
          <w:iCs w:val="1"/>
          <w:color w:val="auto"/>
        </w:rPr>
        <w:t xml:space="preserve"> </w:t>
      </w:r>
      <w:r>
        <w:rPr>
          <w:rFonts w:ascii="Arial" w:cs="Arial" w:eastAsia="Arial" w:hAnsi="Arial"/>
          <w:sz w:val="15"/>
          <w:szCs w:val="15"/>
          <w:color w:val="auto"/>
        </w:rPr>
        <w:t>our Chief Legal Officer, Mr. Beetham was the Chief Legal Officer and Senior Vice President of Corporate Development for Synageva from October 2013 to June 2015. At Synageva, in addition to leading the legal department, Mr. Beetham was responsible for business development activities. Prior to joining Synageva, from October 2011 to October 2013, Mr. Beetham was the General Legal Counsel for New England Biolabs, Inc., a reagent supplier for genomic research, where he was responsible for legal matters and a member of Biolabs' global business development team. Before Synageva, Mr. Beetham was at Genzyme from September 2004 to October 2011, most recently as the lead corporate attorney responsible for Genzyme's hematology/oncology and multiple sclerosis products, and from September 1999 to September 2004 was a corporate and transactional attorney with the law firm of Palmer &amp; Dodge, LLP. Mr. Beetham holds an M.B.A. from Boston College's Carroll School of Management, a J.D. from Boston College Law School and a B.A. from the University of Rochester.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Directors</w:t>
      </w:r>
    </w:p>
    <w:p>
      <w:pPr>
        <w:spacing w:after="0" w:line="192" w:lineRule="exact"/>
        <w:rPr>
          <w:sz w:val="20"/>
          <w:szCs w:val="20"/>
          <w:color w:val="auto"/>
        </w:rPr>
      </w:pPr>
    </w:p>
    <w:p>
      <w:pPr>
        <w:ind w:right="180" w:firstLine="436"/>
        <w:spacing w:after="0" w:line="259" w:lineRule="auto"/>
        <w:rPr>
          <w:sz w:val="20"/>
          <w:szCs w:val="20"/>
          <w:color w:val="auto"/>
        </w:rPr>
      </w:pPr>
      <w:r>
        <w:rPr>
          <w:rFonts w:ascii="Arial" w:cs="Arial" w:eastAsia="Arial" w:hAnsi="Arial"/>
          <w:sz w:val="15"/>
          <w:szCs w:val="15"/>
          <w:i w:val="1"/>
          <w:iCs w:val="1"/>
          <w:color w:val="auto"/>
        </w:rPr>
        <w:t xml:space="preserve">Felix J. Baker, Ph.D., </w:t>
      </w:r>
      <w:r>
        <w:rPr>
          <w:rFonts w:ascii="Arial" w:cs="Arial" w:eastAsia="Arial" w:hAnsi="Arial"/>
          <w:sz w:val="15"/>
          <w:szCs w:val="15"/>
          <w:color w:val="auto"/>
        </w:rPr>
        <w:t>has served as our lead director and on our board of directors since October 2015. Since 2000, Dr. Baker has been a Co-Managing</w:t>
      </w:r>
      <w:r>
        <w:rPr>
          <w:rFonts w:ascii="Arial" w:cs="Arial" w:eastAsia="Arial" w:hAnsi="Arial"/>
          <w:sz w:val="15"/>
          <w:szCs w:val="15"/>
          <w:i w:val="1"/>
          <w:iCs w:val="1"/>
          <w:color w:val="auto"/>
        </w:rPr>
        <w:t xml:space="preserve"> </w:t>
      </w:r>
      <w:r>
        <w:rPr>
          <w:rFonts w:ascii="Arial" w:cs="Arial" w:eastAsia="Arial" w:hAnsi="Arial"/>
          <w:sz w:val="15"/>
          <w:szCs w:val="15"/>
          <w:color w:val="auto"/>
        </w:rPr>
        <w:t>Member of Baker Bros. Advisors LP, or Baker Brothers, an investment advisor focused on investments in life science and biotechnology companies. Dr. Baker and his brother, Julian Baker, started their fund management careers in 1994 when they co-founded a biotechnology investing partnership with the Tisch Family.</w:t>
      </w:r>
    </w:p>
    <w:p>
      <w:pPr>
        <w:ind w:right="160"/>
        <w:spacing w:after="0" w:line="238" w:lineRule="auto"/>
        <w:rPr>
          <w:sz w:val="20"/>
          <w:szCs w:val="20"/>
          <w:color w:val="auto"/>
        </w:rPr>
      </w:pPr>
      <w:r>
        <w:rPr>
          <w:rFonts w:ascii="Arial" w:cs="Arial" w:eastAsia="Arial" w:hAnsi="Arial"/>
          <w:sz w:val="16"/>
          <w:szCs w:val="16"/>
          <w:color w:val="auto"/>
        </w:rPr>
        <w:t>Dr. Baker currently serves on the boards of directors of Alexion Pharmaceuticals, Genomic Health, Inc. and Seattle Genetics, Inc. and previously served on the board of directors of Synageva. Dr. Baker holds a B.S. and a Ph.D. in Immunology from Stanford University, where he also completed two years of medical school. We believe Dr. Baker is qualified to serve on our board of directors due to his extensive experience in the biotechnology industry and experience working with and serving on the boards of directors of numerous biotechnology and pharmaceutical companies.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8" w:name="page159"/>
    <w:bookmarkEnd w:id="1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ind w:right="80" w:firstLine="436"/>
        <w:spacing w:after="0" w:line="242" w:lineRule="auto"/>
        <w:rPr>
          <w:sz w:val="20"/>
          <w:szCs w:val="20"/>
          <w:color w:val="auto"/>
        </w:rPr>
      </w:pPr>
      <w:r>
        <w:rPr>
          <w:rFonts w:ascii="Arial" w:cs="Arial" w:eastAsia="Arial" w:hAnsi="Arial"/>
          <w:sz w:val="16"/>
          <w:szCs w:val="16"/>
          <w:i w:val="1"/>
          <w:iCs w:val="1"/>
          <w:color w:val="auto"/>
        </w:rPr>
        <w:t xml:space="preserve">Stephen R. Biggar, M.D., Ph.D., </w:t>
      </w:r>
      <w:r>
        <w:rPr>
          <w:rFonts w:ascii="Arial" w:cs="Arial" w:eastAsia="Arial" w:hAnsi="Arial"/>
          <w:sz w:val="16"/>
          <w:szCs w:val="16"/>
          <w:color w:val="auto"/>
        </w:rPr>
        <w:t>has served as a member of our board of directors since October 2015. Since 2000, Dr. Biggar has been a partner at Baker</w:t>
      </w:r>
      <w:r>
        <w:rPr>
          <w:rFonts w:ascii="Arial" w:cs="Arial" w:eastAsia="Arial" w:hAnsi="Arial"/>
          <w:sz w:val="16"/>
          <w:szCs w:val="16"/>
          <w:i w:val="1"/>
          <w:iCs w:val="1"/>
          <w:color w:val="auto"/>
        </w:rPr>
        <w:t xml:space="preserve"> </w:t>
      </w:r>
      <w:r>
        <w:rPr>
          <w:rFonts w:ascii="Arial" w:cs="Arial" w:eastAsia="Arial" w:hAnsi="Arial"/>
          <w:sz w:val="16"/>
          <w:szCs w:val="16"/>
          <w:color w:val="auto"/>
        </w:rPr>
        <w:t>Brothers. Dr. Biggar is currently Chairman of the board of directors of ACADIA Pharmaceuticals, serves on the board of Vivelix Pharmaceuticals, Ltd. and previously served on the board of directors of Synageva. Dr. Biggar holds an M.D. and a Ph.D. in Immunology from Stanford University and a BS in Genetics from the University of Rochester. We believe Dr. Biggar is qualified to serve on our board of directors due to his experience in the biotechnology industry, his medical and scientific training and experience working with and serving on the boards of directors of numerous biotechnology and pharmaceutical companies.</w:t>
      </w:r>
    </w:p>
    <w:p>
      <w:pPr>
        <w:spacing w:after="0" w:line="170" w:lineRule="exact"/>
        <w:rPr>
          <w:sz w:val="20"/>
          <w:szCs w:val="20"/>
          <w:color w:val="auto"/>
        </w:rPr>
      </w:pPr>
    </w:p>
    <w:p>
      <w:pPr>
        <w:ind w:right="200" w:firstLine="436"/>
        <w:spacing w:after="0" w:line="242" w:lineRule="auto"/>
        <w:rPr>
          <w:sz w:val="20"/>
          <w:szCs w:val="20"/>
          <w:color w:val="auto"/>
        </w:rPr>
      </w:pPr>
      <w:r>
        <w:rPr>
          <w:rFonts w:ascii="Arial" w:cs="Arial" w:eastAsia="Arial" w:hAnsi="Arial"/>
          <w:sz w:val="16"/>
          <w:szCs w:val="16"/>
          <w:i w:val="1"/>
          <w:iCs w:val="1"/>
          <w:color w:val="auto"/>
        </w:rPr>
        <w:t xml:space="preserve">Thomas R. Malley </w:t>
      </w:r>
      <w:r>
        <w:rPr>
          <w:rFonts w:ascii="Arial" w:cs="Arial" w:eastAsia="Arial" w:hAnsi="Arial"/>
          <w:sz w:val="16"/>
          <w:szCs w:val="16"/>
          <w:color w:val="auto"/>
        </w:rPr>
        <w:t>has served as a member of our board of directors since December 2016. Since May 2007, Mr. Malley has served as the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Mossrock Capital, LLC, a private investment firm. Mr. Malley serves on the boards of directors of BeiGene, Ltd. and Kura Oncology, Inc., and previously served on the boards of directors of OvaScience, Inc., Cougar Biotechnology, Puma Biotechnology and Synageva. Mr. Malley holds a B.S. degree in Biology from Stanford University. We believe Mr. Malley is qualified to serve on our board of directors due to his experience working in the biopharmaceutical industry and experience working with and serving on the boards of directors of numerous biotechnology and pharmaceutical companies.</w:t>
      </w:r>
    </w:p>
    <w:p>
      <w:pPr>
        <w:spacing w:after="0" w:line="170"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i w:val="1"/>
          <w:iCs w:val="1"/>
          <w:color w:val="auto"/>
        </w:rPr>
        <w:t xml:space="preserve">Tracey L. McCain </w:t>
      </w:r>
      <w:r>
        <w:rPr>
          <w:rFonts w:ascii="Arial" w:cs="Arial" w:eastAsia="Arial" w:hAnsi="Arial"/>
          <w:sz w:val="16"/>
          <w:szCs w:val="16"/>
          <w:color w:val="auto"/>
        </w:rPr>
        <w:t>has served as a member of our board of directors since February 2018. Since September 2016, Ms. McCain has served as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Legal and Compliance Officer of Blueprint Medicine Corporation, or Blueprint, a biotechnology company. Prior to Blueprint, from January 2016 to September 2016, Ms. McCain was Senior Vice President and Head of Legal for Sanofi Genzyme, a global business unit of Sanofi,. Between joining Genzyme in May 1997 to January 2016, Ms. McCain held various roles at Genzyme, including as General Counsel following Genzyme's acquisition by Sanofi in 2011. Ms. McCain holds a J.D. from Columbia University School of Law and a B.A. from the University of Pennsylvania. We believe Ms. McCain is qualified to sit on our board of directors due to her experience working with numerous biotechnology and pharmaceutical companies.</w:t>
      </w:r>
    </w:p>
    <w:p>
      <w:pPr>
        <w:spacing w:after="0" w:line="170" w:lineRule="exact"/>
        <w:rPr>
          <w:sz w:val="20"/>
          <w:szCs w:val="20"/>
          <w:color w:val="auto"/>
        </w:rPr>
      </w:pPr>
    </w:p>
    <w:p>
      <w:pPr>
        <w:ind w:firstLine="436"/>
        <w:spacing w:after="0" w:line="242" w:lineRule="auto"/>
        <w:rPr>
          <w:sz w:val="20"/>
          <w:szCs w:val="20"/>
          <w:color w:val="auto"/>
        </w:rPr>
      </w:pPr>
      <w:r>
        <w:rPr>
          <w:rFonts w:ascii="Arial" w:cs="Arial" w:eastAsia="Arial" w:hAnsi="Arial"/>
          <w:sz w:val="16"/>
          <w:szCs w:val="16"/>
          <w:i w:val="1"/>
          <w:iCs w:val="1"/>
          <w:color w:val="auto"/>
        </w:rPr>
        <w:t xml:space="preserve">Kimberly J. Popovits </w:t>
      </w:r>
      <w:r>
        <w:rPr>
          <w:rFonts w:ascii="Arial" w:cs="Arial" w:eastAsia="Arial" w:hAnsi="Arial"/>
          <w:sz w:val="16"/>
          <w:szCs w:val="16"/>
          <w:color w:val="auto"/>
        </w:rPr>
        <w:t>has served as a member of our board of directors since February 2018. Since 2009, Ms. Popovits has served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Genomic Health, Inc., and since 2012, has served as the Chairman of the board of directors Ms. Popovits also serves on the board of directors of MyoKardia, Inc., and previously sat on the board of directors of ZS Pharma Inc. Ms. Popovits holds a B.A degree in Business from Michigan State University. We believe Ms. Popovits is qualified to sit on our board of directors due to her experience working with and serving on the boards of directors of numerous biotechnology and pharmaceutical companies.</w:t>
      </w:r>
    </w:p>
    <w:p>
      <w:pPr>
        <w:spacing w:after="0" w:line="170" w:lineRule="exact"/>
        <w:rPr>
          <w:sz w:val="20"/>
          <w:szCs w:val="20"/>
          <w:color w:val="auto"/>
        </w:rPr>
      </w:pPr>
    </w:p>
    <w:p>
      <w:pPr>
        <w:ind w:right="20" w:firstLine="436"/>
        <w:spacing w:after="0" w:line="241" w:lineRule="auto"/>
        <w:rPr>
          <w:sz w:val="20"/>
          <w:szCs w:val="20"/>
          <w:color w:val="auto"/>
        </w:rPr>
      </w:pPr>
      <w:r>
        <w:rPr>
          <w:rFonts w:ascii="Arial" w:cs="Arial" w:eastAsia="Arial" w:hAnsi="Arial"/>
          <w:sz w:val="16"/>
          <w:szCs w:val="16"/>
          <w:i w:val="1"/>
          <w:iCs w:val="1"/>
          <w:color w:val="auto"/>
        </w:rPr>
        <w:t>Barry D. Quart</w:t>
      </w:r>
      <w:r>
        <w:rPr>
          <w:rFonts w:ascii="Arial" w:cs="Arial" w:eastAsia="Arial" w:hAnsi="Arial"/>
          <w:sz w:val="16"/>
          <w:szCs w:val="16"/>
          <w:color w:val="auto"/>
        </w:rPr>
        <w:t>,</w:t>
      </w:r>
      <w:r>
        <w:rPr>
          <w:rFonts w:ascii="Arial" w:cs="Arial" w:eastAsia="Arial" w:hAnsi="Arial"/>
          <w:sz w:val="16"/>
          <w:szCs w:val="16"/>
          <w:i w:val="1"/>
          <w:iCs w:val="1"/>
          <w:color w:val="auto"/>
        </w:rPr>
        <w:t xml:space="preserve"> Pharm.D.</w:t>
      </w:r>
      <w:r>
        <w:rPr>
          <w:rFonts w:ascii="Arial" w:cs="Arial" w:eastAsia="Arial" w:hAnsi="Arial"/>
          <w:sz w:val="16"/>
          <w:szCs w:val="16"/>
          <w:color w:val="auto"/>
        </w:rPr>
        <w:t>, has served as a member of our board of directors since October 2015. Since 2013, Dr. Quart has served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on the board of directors of Heron Therapeutics, Inc., or Heron, a biotechnology company. In 2006, Dr. Quart co-founded Ardea Biosciences, Inc., a biotechnology company, and served as its President and Chief Executive Officer, and on its board of directors, from its inception through May 2013. Dr. Quart previously served on the board of directors of Synageva. Dr. Quart holds a Pharm.D. degree from the University of California, San Francisco. We believe Dr. Quart is qualified to serve on our board of directors due to his extensive management experience in the biotechnology industry and his experience developing pharmaceutical products.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Family Relationships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are no family relationships between our board of directors and our executive officers.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9" w:name="page160"/>
    <w:bookmarkEnd w:id="1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w:t>
      </w:r>
    </w:p>
    <w:p>
      <w:pPr>
        <w:spacing w:after="0" w:line="210"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Our board of directors is currently comprised of seven members. The members of our board of directors were elected in compliance with the provisions of the voting agreement among us and our major shareholders. The voting agreement will terminate upon the closing of this offering, and we will have no further contractual obligations regarding the election of our directors. Our directors hold office until the shareholders shall determine or, in the absence of such a determination, until the next annual general meeting or until their successors have been elected or appointed or their office is otherwise vacated.</w:t>
      </w:r>
    </w:p>
    <w:p>
      <w:pPr>
        <w:spacing w:after="0" w:line="18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amended and restated bye-laws that will become effective immediately following the closing of this offering provide that the authorized number of directors may be changed only by resolution of our board of directors. Our amended and restated bye-laws also provide that our directors may be removed only for cause by the affirmative vote of a majority of the votes entitled to be cast by our shareholders entitled to vote in an annual general election of directors. Any vacancy on our board of directors, including a vacancy resulting from an enlargement of our board of directors or from removal for cause not filled by the shareholders at the time, may be filled only by vote of a majority of our directors then in office.</w:t>
      </w:r>
    </w:p>
    <w:p>
      <w:pPr>
        <w:spacing w:after="0" w:line="189" w:lineRule="exact"/>
        <w:rPr>
          <w:sz w:val="20"/>
          <w:szCs w:val="20"/>
          <w:color w:val="auto"/>
        </w:rPr>
      </w:pPr>
    </w:p>
    <w:p>
      <w:pPr>
        <w:ind w:right="160" w:firstLine="436"/>
        <w:spacing w:after="0" w:line="237" w:lineRule="auto"/>
        <w:rPr>
          <w:sz w:val="20"/>
          <w:szCs w:val="20"/>
          <w:color w:val="auto"/>
        </w:rPr>
      </w:pPr>
      <w:r>
        <w:rPr>
          <w:rFonts w:ascii="Arial" w:cs="Arial" w:eastAsia="Arial" w:hAnsi="Arial"/>
          <w:sz w:val="16"/>
          <w:szCs w:val="16"/>
          <w:color w:val="auto"/>
        </w:rPr>
        <w:t>In accordance with the terms of our amended and restated bye-laws that will become effective immediately following the closing of this offering, our board of directors will be divided into three classes, Class I, Class II and Class III. At the first general meeting of shareholders following this offering, each Class I director shall be elected for a three-year initial term of office, each Class II director shall be elected for a one-year initial term of office, and each Class III director shall be elected for a two-year initial term of office. Thereafter, members of each class shall serve three-year terms. Upon the closing of this offering, the members of the classes will be divided as follows:</w:t>
      </w:r>
    </w:p>
    <w:p>
      <w:pPr>
        <w:spacing w:after="0" w:line="189" w:lineRule="exact"/>
        <w:rPr>
          <w:sz w:val="20"/>
          <w:szCs w:val="20"/>
          <w:color w:val="auto"/>
        </w:rPr>
      </w:pPr>
    </w:p>
    <w:p>
      <w:pPr>
        <w:ind w:left="960" w:hanging="481"/>
        <w:spacing w:after="0"/>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Class I directors will be Sanj K. Patel and Thomas R. Malley;</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Class II directors will be Stephen R. Biggar and Barry D. Quart;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Class III directors will be Felix J. Baker, Tracey L. McCain and Kimberly J. Popovits.</w:t>
      </w:r>
    </w:p>
    <w:p>
      <w:pPr>
        <w:spacing w:after="0" w:line="190" w:lineRule="exact"/>
        <w:rPr>
          <w:sz w:val="20"/>
          <w:szCs w:val="20"/>
          <w:color w:val="auto"/>
        </w:rPr>
      </w:pPr>
    </w:p>
    <w:p>
      <w:pPr>
        <w:ind w:right="240" w:firstLine="436"/>
        <w:spacing w:after="0" w:line="241" w:lineRule="auto"/>
        <w:rPr>
          <w:sz w:val="20"/>
          <w:szCs w:val="20"/>
          <w:color w:val="auto"/>
        </w:rPr>
      </w:pPr>
      <w:r>
        <w:rPr>
          <w:rFonts w:ascii="Arial" w:cs="Arial" w:eastAsia="Arial" w:hAnsi="Arial"/>
          <w:sz w:val="16"/>
          <w:szCs w:val="16"/>
          <w:color w:val="auto"/>
        </w:rPr>
        <w:t>Upon the expiration of the term of a class of directors, directors in that class will be eligible to be elected for a new three-year term at the annual meeting of shareholders in the year in which their term expires.</w:t>
      </w:r>
    </w:p>
    <w:p>
      <w:pPr>
        <w:spacing w:after="0" w:line="185"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We have no formal policy regarding board diversity. Our priority in selection of board members is identification of members who will further the interests of our shareholders through his or her established record of professional accomplishment, the ability to contribute positively to the collaborative culture among board members, knowledge of our business and understanding of the competitive landscape.</w:t>
      </w:r>
    </w:p>
    <w:p>
      <w:pPr>
        <w:spacing w:after="0" w:line="186"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In selecting board members for nomination, our board may consider many factors, such as personal and professional integrity; experience in corporate management, such as serving as an officer or former officer of a pharmaceutical or biotechnology company; experience as a board member or executive officer of another publicly-held company; diversity of expertise and experience in substantive matters pertaining to our business relative to other board members; and diversity of background and perspective, including, but not limited to, with respect to age, gender, race, place of residence and specialized experience.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10" w:lineRule="exact"/>
        <w:rPr>
          <w:sz w:val="20"/>
          <w:szCs w:val="20"/>
          <w:color w:val="auto"/>
        </w:rPr>
      </w:pPr>
    </w:p>
    <w:p>
      <w:pPr>
        <w:ind w:right="520" w:firstLine="436"/>
        <w:spacing w:after="0" w:line="241" w:lineRule="auto"/>
        <w:rPr>
          <w:sz w:val="20"/>
          <w:szCs w:val="20"/>
          <w:color w:val="auto"/>
        </w:rPr>
      </w:pPr>
      <w:r>
        <w:rPr>
          <w:rFonts w:ascii="Arial" w:cs="Arial" w:eastAsia="Arial" w:hAnsi="Arial"/>
          <w:sz w:val="16"/>
          <w:szCs w:val="16"/>
          <w:color w:val="auto"/>
        </w:rPr>
        <w:t>Our board of directors has determined that, of our seven directors, Felix J. Baker, Stephen R. Biggar, Thomas R. Malley, Tracey L. McCain, Kimberly J. Popovits and Barry D. Quart do not have a relationship that would interfere with the exercise of independent judgment in carrying out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0" w:name="page161"/>
    <w:bookmarkEnd w:id="1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responsibilities of a director and that each of these directors is "independent" as that term is defined under the rules of The Nasdaq Stock Market LLC. There are no family relationships among any of our directors or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10" w:lineRule="exact"/>
        <w:rPr>
          <w:sz w:val="20"/>
          <w:szCs w:val="20"/>
          <w:color w:val="auto"/>
        </w:rPr>
      </w:pPr>
    </w:p>
    <w:p>
      <w:pPr>
        <w:ind w:right="660" w:firstLine="436"/>
        <w:spacing w:after="0" w:line="273" w:lineRule="auto"/>
        <w:rPr>
          <w:sz w:val="20"/>
          <w:szCs w:val="20"/>
          <w:color w:val="auto"/>
        </w:rPr>
      </w:pPr>
      <w:r>
        <w:rPr>
          <w:rFonts w:ascii="Arial" w:cs="Arial" w:eastAsia="Arial" w:hAnsi="Arial"/>
          <w:sz w:val="15"/>
          <w:szCs w:val="15"/>
          <w:color w:val="auto"/>
        </w:rPr>
        <w:t>Our board of directors is currently chaired by our Chief Executive Officer, Sanj K. Patel, and our lead independent director is Felix J. Baker, Ph.D. Our corporate governance guidelines provide the flexibility for our board of directors to modify our leadership structure in the future as it deems appropriate.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the Board in Risk Oversight</w:t>
      </w:r>
    </w:p>
    <w:p>
      <w:pPr>
        <w:spacing w:after="0" w:line="21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0" w:lineRule="exact"/>
        <w:rPr>
          <w:sz w:val="20"/>
          <w:szCs w:val="20"/>
          <w:color w:val="auto"/>
        </w:rPr>
      </w:pPr>
    </w:p>
    <w:p>
      <w:pPr>
        <w:ind w:right="540" w:firstLine="436"/>
        <w:spacing w:after="0" w:line="238" w:lineRule="auto"/>
        <w:rPr>
          <w:sz w:val="20"/>
          <w:szCs w:val="20"/>
          <w:color w:val="auto"/>
        </w:rPr>
      </w:pPr>
      <w:r>
        <w:rPr>
          <w:rFonts w:ascii="Arial" w:cs="Arial" w:eastAsia="Arial" w:hAnsi="Arial"/>
          <w:sz w:val="16"/>
          <w:szCs w:val="16"/>
          <w:color w:val="auto"/>
        </w:rPr>
        <w:t xml:space="preserve">Our board of directors has established three standing committees — audit, compensation and nominating and corporate governance — each of which operates under a charter that has been approved by our board of directors. Upon our listing on Nasdaq, each committee's charter will be available under the Corporate Governance section of our website at </w:t>
      </w:r>
      <w:r>
        <w:rPr>
          <w:rFonts w:ascii="Arial" w:cs="Arial" w:eastAsia="Arial" w:hAnsi="Arial"/>
          <w:sz w:val="16"/>
          <w:szCs w:val="16"/>
          <w:i w:val="1"/>
          <w:iCs w:val="1"/>
          <w:color w:val="auto"/>
        </w:rPr>
        <w:t>www.kiniksa.com</w:t>
      </w:r>
      <w:r>
        <w:rPr>
          <w:rFonts w:ascii="Arial" w:cs="Arial" w:eastAsia="Arial" w:hAnsi="Arial"/>
          <w:sz w:val="16"/>
          <w:szCs w:val="16"/>
          <w:color w:val="auto"/>
        </w:rPr>
        <w:t>. The reference to our website address does not constitute incorporation by reference of the information contained at or available through our website, and you should not consider it to be a part of this prospectus.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audit committee's responsibilities include:</w:t>
      </w:r>
    </w:p>
    <w:p>
      <w:pPr>
        <w:spacing w:after="0" w:line="190" w:lineRule="exact"/>
        <w:rPr>
          <w:sz w:val="20"/>
          <w:szCs w:val="20"/>
          <w:color w:val="auto"/>
        </w:rPr>
      </w:pPr>
    </w:p>
    <w:p>
      <w:pPr>
        <w:ind w:left="960" w:hanging="481"/>
        <w:spacing w:after="0"/>
        <w:tabs>
          <w:tab w:leader="none" w:pos="9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registered public accounting firm;</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overseeing the work of our registered public accounting firm, including through the receipt and consideration of reports from such firm;</w:t>
      </w:r>
    </w:p>
    <w:p>
      <w:pPr>
        <w:spacing w:after="0" w:line="177" w:lineRule="exact"/>
        <w:rPr>
          <w:rFonts w:ascii="Arial" w:cs="Arial" w:eastAsia="Arial" w:hAnsi="Arial"/>
          <w:sz w:val="16"/>
          <w:szCs w:val="16"/>
          <w:color w:val="auto"/>
        </w:rPr>
      </w:pPr>
    </w:p>
    <w:p>
      <w:pPr>
        <w:ind w:left="960" w:right="580" w:hanging="481"/>
        <w:spacing w:after="0" w:line="241" w:lineRule="auto"/>
        <w:tabs>
          <w:tab w:leader="none" w:pos="9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and discussing with management and the registered public accounting firm our annual and quarterly financial statements and related disclosures;</w:t>
      </w:r>
    </w:p>
    <w:p>
      <w:pPr>
        <w:spacing w:after="0" w:line="173" w:lineRule="exact"/>
        <w:rPr>
          <w:rFonts w:ascii="Arial" w:cs="Arial" w:eastAsia="Arial" w:hAnsi="Arial"/>
          <w:sz w:val="16"/>
          <w:szCs w:val="16"/>
          <w:color w:val="auto"/>
        </w:rPr>
      </w:pPr>
    </w:p>
    <w:p>
      <w:pPr>
        <w:ind w:left="960" w:right="200" w:hanging="481"/>
        <w:spacing w:after="0" w:line="241" w:lineRule="auto"/>
        <w:tabs>
          <w:tab w:leader="none" w:pos="9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coordinating our board of directors' oversight of our internal control over financial reporting, disclosure controls and procedures and code of business conduct and ethics;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61" w:name="page162"/>
    <w:bookmarkEnd w:id="1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hanging="481"/>
        <w:spacing w:after="0"/>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discussing our risk management policies;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meeting independently with our internal auditing staff, if any, registered public accounting firm and management;</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approving or ratifying any related person transactions;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preparing the audit committee report required by SEC rules.</w:t>
      </w:r>
    </w:p>
    <w:p>
      <w:pPr>
        <w:spacing w:after="0" w:line="190"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The members of our audit committee are Thomas R. Malley, Tracey L. McCain and Barry D. Quart. Mr. Malley serves as the chairperson of the committee. All members of our audit committee meet the requirements for financial literacy under the applicable listing rules of Nasdaq. Our board of directors has determined that Mr. Malley, Ms. McCain and Dr. Quart meet the independence requirements of Rule 10A-3 under the Exchange Act and the applicable Nasdaq rules. Our board of directors has determined that Mr. Malley is an "audit committee financial expert" as defined by applicable SEC rules and has the requisite financial sophistication as defined under the applicable Nasdaq rules.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compensation committee's responsibilities include:</w:t>
      </w:r>
    </w:p>
    <w:p>
      <w:pPr>
        <w:spacing w:after="0" w:line="202" w:lineRule="exact"/>
        <w:rPr>
          <w:sz w:val="20"/>
          <w:szCs w:val="20"/>
          <w:color w:val="auto"/>
        </w:rPr>
      </w:pPr>
    </w:p>
    <w:p>
      <w:pPr>
        <w:ind w:left="960" w:right="400" w:hanging="481"/>
        <w:spacing w:after="0" w:line="241" w:lineRule="auto"/>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approving, or recommending for approval by the board of directors, the compensation of our Chief Executive Officer and our other executive officers;</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overseeing and administering our cash and equity incentive plans;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director compensation;</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discussing annually with management our "Compensation Discussion and Analysis" to the extent required;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preparing the annual compensation committee report required by SEC rules, to the extent required.</w:t>
      </w:r>
    </w:p>
    <w:p>
      <w:pPr>
        <w:spacing w:after="0" w:line="190"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The members of our compensation committee are Felix J. Baker, Kimberly J. Popovits and Barry D. Quart. Dr. Baker serves as the chairperson of the committee. Our board of directors has determined that Drs. Baker and Quart and Ms. Popovits are independent under the applicable Nasdaq rules, including the Nasdaq rules specific to membership on the compensation committee and that each is a "non-employee director" as defined in Rule 16b-3 promulgated under the Exchange Act.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nominating and corporate governance committee's responsibilities include:</w:t>
      </w:r>
    </w:p>
    <w:p>
      <w:pPr>
        <w:spacing w:after="0" w:line="190" w:lineRule="exact"/>
        <w:rPr>
          <w:sz w:val="20"/>
          <w:szCs w:val="20"/>
          <w:color w:val="auto"/>
        </w:rPr>
      </w:pPr>
    </w:p>
    <w:p>
      <w:pPr>
        <w:ind w:left="960" w:hanging="481"/>
        <w:spacing w:after="0"/>
        <w:tabs>
          <w:tab w:leader="none" w:pos="9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identifying individuals qualified to become board members;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board committee;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overseeing a periodic evaluation of our board of directors.</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members of our nominating and corporate governance committee are Felix J. Baker, Stephen R. Biggar and Thomas R. Malley. Dr. Biggar serves as the chairperson of the committee. Our board of directors has determined that Drs. Biggar and Baker and Mr. Malley are independent under the applicable Nasdaq rules.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62" w:name="page163"/>
    <w:bookmarkEnd w:id="1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0"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 and Code of Conduct</w:t>
      </w:r>
    </w:p>
    <w:p>
      <w:pPr>
        <w:spacing w:after="0" w:line="210"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Upon our listing on Nasdaq, our code of business conduct and ethics will be available under the Corporate Governance section of our website at </w:t>
      </w:r>
      <w:r>
        <w:rPr>
          <w:rFonts w:ascii="Arial" w:cs="Arial" w:eastAsia="Arial" w:hAnsi="Arial"/>
          <w:sz w:val="16"/>
          <w:szCs w:val="16"/>
          <w:i w:val="1"/>
          <w:iCs w:val="1"/>
          <w:color w:val="auto"/>
        </w:rPr>
        <w:t>www.kiniksa.com</w:t>
      </w:r>
      <w:r>
        <w:rPr>
          <w:rFonts w:ascii="Arial" w:cs="Arial" w:eastAsia="Arial" w:hAnsi="Arial"/>
          <w:sz w:val="16"/>
          <w:szCs w:val="16"/>
          <w:color w:val="auto"/>
        </w:rPr>
        <w:t>.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63" w:name="page164"/>
    <w:bookmarkEnd w:id="1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AND DIRECTOR COMPENSATION</w:t>
      </w:r>
    </w:p>
    <w:p>
      <w:pPr>
        <w:spacing w:after="0" w:line="210" w:lineRule="exact"/>
        <w:rPr>
          <w:sz w:val="20"/>
          <w:szCs w:val="20"/>
          <w:color w:val="auto"/>
        </w:rPr>
      </w:pPr>
    </w:p>
    <w:p>
      <w:pPr>
        <w:ind w:right="380" w:firstLine="433"/>
        <w:spacing w:after="0" w:line="241"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"2017 Summary Compensation Table" below. In 2017, our "named executive officers" and their positions were as follows:</w:t>
      </w:r>
    </w:p>
    <w:p>
      <w:pPr>
        <w:spacing w:after="0" w:line="185" w:lineRule="exact"/>
        <w:rPr>
          <w:sz w:val="20"/>
          <w:szCs w:val="20"/>
          <w:color w:val="auto"/>
        </w:rPr>
      </w:pPr>
    </w:p>
    <w:p>
      <w:pPr>
        <w:ind w:left="960" w:hanging="481"/>
        <w:spacing w:after="0"/>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Sanj K. Patel, our Chief Executive Officer and Chairman of the Board of Directors;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Stephen Mahoney, our President and Chief Operating Officer;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John F. Paolini, M.D., Ph.D., our Chief Medical Officer.</w:t>
      </w:r>
    </w:p>
    <w:p>
      <w:pPr>
        <w:spacing w:after="0" w:line="190"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2017 Summary Compensation Table</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information concerning the compensation of our named executive officers for the year ended December 31, 2017.</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left="2"/>
              <w:spacing w:after="0"/>
              <w:rPr>
                <w:sz w:val="20"/>
                <w:szCs w:val="20"/>
                <w:color w:val="auto"/>
              </w:rPr>
            </w:pPr>
            <w:r>
              <w:rPr>
                <w:rFonts w:ascii="Arial" w:cs="Arial" w:eastAsia="Arial" w:hAnsi="Arial"/>
                <w:sz w:val="16"/>
                <w:szCs w:val="16"/>
                <w:b w:val="1"/>
                <w:bCs w:val="1"/>
                <w:color w:val="auto"/>
                <w:w w:val="98"/>
              </w:rPr>
              <w:t>Non-Equity</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40" w:type="dxa"/>
            <w:vAlign w:val="bottom"/>
          </w:tcPr>
          <w:p>
            <w:pPr>
              <w:spacing w:after="0"/>
              <w:rPr>
                <w:sz w:val="15"/>
                <w:szCs w:val="15"/>
                <w:color w:val="auto"/>
              </w:rPr>
            </w:pPr>
          </w:p>
        </w:tc>
        <w:tc>
          <w:tcPr>
            <w:tcW w:w="116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7"/>
              </w:rPr>
              <w:t>Incentive</w:t>
            </w:r>
          </w:p>
        </w:tc>
        <w:tc>
          <w:tcPr>
            <w:tcW w:w="140" w:type="dxa"/>
            <w:vAlign w:val="bottom"/>
          </w:tcPr>
          <w:p>
            <w:pPr>
              <w:spacing w:after="0"/>
              <w:rPr>
                <w:sz w:val="15"/>
                <w:szCs w:val="15"/>
                <w:color w:val="auto"/>
              </w:rPr>
            </w:pPr>
          </w:p>
        </w:tc>
        <w:tc>
          <w:tcPr>
            <w:tcW w:w="11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All Other</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Plan</w:t>
            </w: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120"/>
              <w:spacing w:after="0" w:line="181" w:lineRule="exact"/>
              <w:rPr>
                <w:sz w:val="20"/>
                <w:szCs w:val="20"/>
                <w:color w:val="auto"/>
              </w:rPr>
            </w:pPr>
            <w:r>
              <w:rPr>
                <w:rFonts w:ascii="Arial" w:cs="Arial" w:eastAsia="Arial" w:hAnsi="Arial"/>
                <w:sz w:val="16"/>
                <w:szCs w:val="16"/>
                <w:b w:val="1"/>
                <w:bCs w:val="1"/>
                <w:color w:val="auto"/>
              </w:rPr>
              <w:t>Salary</w:t>
            </w:r>
          </w:p>
        </w:tc>
        <w:tc>
          <w:tcPr>
            <w:tcW w:w="160" w:type="dxa"/>
            <w:vAlign w:val="bottom"/>
          </w:tcPr>
          <w:p>
            <w:pPr>
              <w:spacing w:after="0"/>
              <w:rPr>
                <w:sz w:val="15"/>
                <w:szCs w:val="15"/>
                <w:color w:val="auto"/>
              </w:rPr>
            </w:pPr>
          </w:p>
        </w:tc>
        <w:tc>
          <w:tcPr>
            <w:tcW w:w="6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Awards</w:t>
            </w:r>
          </w:p>
        </w:tc>
        <w:tc>
          <w:tcPr>
            <w:tcW w:w="14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Compensation</w:t>
            </w:r>
          </w:p>
        </w:tc>
        <w:tc>
          <w:tcPr>
            <w:tcW w:w="140" w:type="dxa"/>
            <w:vAlign w:val="bottom"/>
          </w:tcPr>
          <w:p>
            <w:pPr>
              <w:spacing w:after="0"/>
              <w:rPr>
                <w:sz w:val="15"/>
                <w:szCs w:val="15"/>
                <w:color w:val="auto"/>
              </w:rPr>
            </w:pPr>
          </w:p>
        </w:tc>
        <w:tc>
          <w:tcPr>
            <w:tcW w:w="11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Compensation</w:t>
            </w:r>
          </w:p>
        </w:tc>
        <w:tc>
          <w:tcPr>
            <w:tcW w:w="140" w:type="dxa"/>
            <w:vAlign w:val="bottom"/>
          </w:tcPr>
          <w:p>
            <w:pPr>
              <w:spacing w:after="0"/>
              <w:rPr>
                <w:sz w:val="15"/>
                <w:szCs w:val="15"/>
                <w:color w:val="auto"/>
              </w:rPr>
            </w:pPr>
          </w:p>
        </w:tc>
        <w:tc>
          <w:tcPr>
            <w:tcW w:w="920" w:type="dxa"/>
            <w:vAlign w:val="bottom"/>
            <w:gridSpan w:val="2"/>
          </w:tcPr>
          <w:p>
            <w:pPr>
              <w:ind w:left="240"/>
              <w:spacing w:after="0" w:line="18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3"/>
        </w:trPr>
        <w:tc>
          <w:tcPr>
            <w:tcW w:w="3300" w:type="dxa"/>
            <w:vAlign w:val="bottom"/>
            <w:gridSpan w:val="3"/>
          </w:tcPr>
          <w:p>
            <w:pPr>
              <w:spacing w:after="0"/>
              <w:rPr>
                <w:sz w:val="20"/>
                <w:szCs w:val="20"/>
                <w:color w:val="auto"/>
              </w:rPr>
            </w:pPr>
            <w:r>
              <w:rPr>
                <w:rFonts w:ascii="Arial" w:cs="Arial" w:eastAsia="Arial" w:hAnsi="Arial"/>
                <w:sz w:val="16"/>
                <w:szCs w:val="16"/>
                <w:b w:val="1"/>
                <w:bCs w:val="1"/>
                <w:color w:val="auto"/>
              </w:rPr>
              <w:t>Name and Principal Position</w:t>
            </w:r>
          </w:p>
        </w:tc>
        <w:tc>
          <w:tcPr>
            <w:tcW w:w="14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Arial" w:cs="Arial" w:eastAsia="Arial" w:hAnsi="Arial"/>
                <w:sz w:val="16"/>
                <w:szCs w:val="16"/>
                <w:b w:val="1"/>
                <w:bCs w:val="1"/>
                <w:color w:val="auto"/>
                <w:w w:val="92"/>
              </w:rPr>
              <w:t>Year</w:t>
            </w:r>
          </w:p>
        </w:tc>
        <w:tc>
          <w:tcPr>
            <w:tcW w:w="780" w:type="dxa"/>
            <w:vAlign w:val="bottom"/>
            <w:gridSpan w:val="2"/>
          </w:tcPr>
          <w:p>
            <w:pPr>
              <w:jc w:val="center"/>
              <w:ind w:left="142"/>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jc w:val="center"/>
              <w:ind w:left="124"/>
              <w:spacing w:after="0" w:line="19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1300" w:type="dxa"/>
            <w:vAlign w:val="bottom"/>
            <w:gridSpan w:val="2"/>
          </w:tcPr>
          <w:p>
            <w:pPr>
              <w:jc w:val="center"/>
              <w:ind w:left="122"/>
              <w:spacing w:after="0"/>
              <w:rPr>
                <w:sz w:val="20"/>
                <w:szCs w:val="20"/>
                <w:color w:val="auto"/>
              </w:rPr>
            </w:pPr>
            <w:r>
              <w:rPr>
                <w:rFonts w:ascii="Arial" w:cs="Arial" w:eastAsia="Arial" w:hAnsi="Arial"/>
                <w:sz w:val="16"/>
                <w:szCs w:val="16"/>
                <w:b w:val="1"/>
                <w:bCs w:val="1"/>
                <w:color w:val="auto"/>
                <w:w w:val="91"/>
              </w:rPr>
              <w:t>($)</w:t>
            </w:r>
          </w:p>
        </w:tc>
        <w:tc>
          <w:tcPr>
            <w:tcW w:w="1320" w:type="dxa"/>
            <w:vAlign w:val="bottom"/>
            <w:gridSpan w:val="2"/>
          </w:tcPr>
          <w:p>
            <w:pPr>
              <w:jc w:val="right"/>
              <w:ind w:right="302"/>
              <w:spacing w:after="0" w:line="19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c>
          <w:tcPr>
            <w:tcW w:w="920" w:type="dxa"/>
            <w:vAlign w:val="bottom"/>
            <w:gridSpan w:val="2"/>
          </w:tcPr>
          <w:p>
            <w:pPr>
              <w:jc w:val="right"/>
              <w:ind w:right="18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Sanj K. Patel</w:t>
            </w:r>
          </w:p>
        </w:tc>
        <w:tc>
          <w:tcPr>
            <w:tcW w:w="56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89"/>
              </w:rPr>
              <w:t>2017</w:t>
            </w:r>
          </w:p>
        </w:tc>
        <w:tc>
          <w:tcPr>
            <w:tcW w:w="780" w:type="dxa"/>
            <w:vAlign w:val="bottom"/>
            <w:gridSpan w:val="2"/>
            <w:shd w:val="clear" w:color="auto" w:fill="CCEEFF"/>
          </w:tcPr>
          <w:p>
            <w:pPr>
              <w:jc w:val="center"/>
              <w:ind w:left="142"/>
              <w:spacing w:after="0" w:line="169" w:lineRule="exact"/>
              <w:rPr>
                <w:sz w:val="20"/>
                <w:szCs w:val="20"/>
                <w:color w:val="auto"/>
              </w:rPr>
            </w:pPr>
            <w:r>
              <w:rPr>
                <w:rFonts w:ascii="Arial" w:cs="Arial" w:eastAsia="Arial" w:hAnsi="Arial"/>
                <w:sz w:val="16"/>
                <w:szCs w:val="16"/>
                <w:color w:val="auto"/>
                <w:w w:val="96"/>
              </w:rPr>
              <w:t>700,000</w:t>
            </w:r>
          </w:p>
        </w:tc>
        <w:tc>
          <w:tcPr>
            <w:tcW w:w="800" w:type="dxa"/>
            <w:vAlign w:val="bottom"/>
            <w:gridSpan w:val="2"/>
            <w:shd w:val="clear" w:color="auto" w:fill="CCEEFF"/>
          </w:tcPr>
          <w:p>
            <w:pPr>
              <w:jc w:val="center"/>
              <w:ind w:left="124"/>
              <w:spacing w:after="0" w:line="169" w:lineRule="exact"/>
              <w:rPr>
                <w:sz w:val="20"/>
                <w:szCs w:val="20"/>
                <w:color w:val="auto"/>
              </w:rPr>
            </w:pPr>
            <w:r>
              <w:rPr>
                <w:rFonts w:ascii="Arial" w:cs="Arial" w:eastAsia="Arial" w:hAnsi="Arial"/>
                <w:sz w:val="16"/>
                <w:szCs w:val="16"/>
                <w:color w:val="auto"/>
                <w:w w:val="96"/>
              </w:rPr>
              <w:t>644,950</w:t>
            </w:r>
          </w:p>
        </w:tc>
        <w:tc>
          <w:tcPr>
            <w:tcW w:w="1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140,000</w:t>
            </w:r>
          </w:p>
        </w:tc>
        <w:tc>
          <w:tcPr>
            <w:tcW w:w="1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10,800</w:t>
            </w:r>
          </w:p>
        </w:tc>
        <w:tc>
          <w:tcPr>
            <w:tcW w:w="9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1,495,750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gridSpan w:val="3"/>
            <w:shd w:val="clear" w:color="auto" w:fill="CCEEFF"/>
          </w:tcPr>
          <w:p>
            <w:pPr>
              <w:ind w:left="140"/>
              <w:spacing w:after="0" w:line="168" w:lineRule="exact"/>
              <w:rPr>
                <w:sz w:val="20"/>
                <w:szCs w:val="20"/>
                <w:color w:val="auto"/>
              </w:rPr>
            </w:pPr>
            <w:r>
              <w:rPr>
                <w:rFonts w:ascii="Arial" w:cs="Arial" w:eastAsia="Arial" w:hAnsi="Arial"/>
                <w:sz w:val="16"/>
                <w:szCs w:val="16"/>
                <w:i w:val="1"/>
                <w:iCs w:val="1"/>
                <w:color w:val="auto"/>
              </w:rPr>
              <w:t>Chief Executive Officer and Chairman of the</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0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Board</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00" w:type="dxa"/>
            <w:vAlign w:val="bottom"/>
            <w:gridSpan w:val="3"/>
          </w:tcPr>
          <w:p>
            <w:pPr>
              <w:spacing w:after="0" w:line="168" w:lineRule="exact"/>
              <w:rPr>
                <w:sz w:val="20"/>
                <w:szCs w:val="20"/>
                <w:color w:val="auto"/>
              </w:rPr>
            </w:pPr>
            <w:r>
              <w:rPr>
                <w:rFonts w:ascii="Arial" w:cs="Arial" w:eastAsia="Arial" w:hAnsi="Arial"/>
                <w:sz w:val="16"/>
                <w:szCs w:val="16"/>
                <w:color w:val="auto"/>
              </w:rPr>
              <w:t>Stephen Mahoney</w:t>
            </w:r>
          </w:p>
        </w:tc>
        <w:tc>
          <w:tcPr>
            <w:tcW w:w="560" w:type="dxa"/>
            <w:vAlign w:val="bottom"/>
            <w:gridSpan w:val="2"/>
          </w:tcPr>
          <w:p>
            <w:pPr>
              <w:ind w:left="220"/>
              <w:spacing w:after="0" w:line="168" w:lineRule="exact"/>
              <w:rPr>
                <w:sz w:val="20"/>
                <w:szCs w:val="20"/>
                <w:color w:val="auto"/>
              </w:rPr>
            </w:pPr>
            <w:r>
              <w:rPr>
                <w:rFonts w:ascii="Arial" w:cs="Arial" w:eastAsia="Arial" w:hAnsi="Arial"/>
                <w:sz w:val="16"/>
                <w:szCs w:val="16"/>
                <w:color w:val="auto"/>
                <w:w w:val="89"/>
              </w:rPr>
              <w:t>2017</w:t>
            </w:r>
          </w:p>
        </w:tc>
        <w:tc>
          <w:tcPr>
            <w:tcW w:w="780" w:type="dxa"/>
            <w:vAlign w:val="bottom"/>
            <w:gridSpan w:val="2"/>
          </w:tcPr>
          <w:p>
            <w:pPr>
              <w:jc w:val="center"/>
              <w:ind w:left="142"/>
              <w:spacing w:after="0" w:line="168" w:lineRule="exact"/>
              <w:rPr>
                <w:sz w:val="20"/>
                <w:szCs w:val="20"/>
                <w:color w:val="auto"/>
              </w:rPr>
            </w:pPr>
            <w:r>
              <w:rPr>
                <w:rFonts w:ascii="Arial" w:cs="Arial" w:eastAsia="Arial" w:hAnsi="Arial"/>
                <w:sz w:val="16"/>
                <w:szCs w:val="16"/>
                <w:color w:val="auto"/>
                <w:w w:val="96"/>
              </w:rPr>
              <w:t>405,000</w:t>
            </w:r>
          </w:p>
        </w:tc>
        <w:tc>
          <w:tcPr>
            <w:tcW w:w="800" w:type="dxa"/>
            <w:vAlign w:val="bottom"/>
            <w:gridSpan w:val="2"/>
          </w:tcPr>
          <w:p>
            <w:pPr>
              <w:jc w:val="center"/>
              <w:ind w:left="124"/>
              <w:spacing w:after="0" w:line="168" w:lineRule="exact"/>
              <w:rPr>
                <w:sz w:val="20"/>
                <w:szCs w:val="20"/>
                <w:color w:val="auto"/>
              </w:rPr>
            </w:pPr>
            <w:r>
              <w:rPr>
                <w:rFonts w:ascii="Arial" w:cs="Arial" w:eastAsia="Arial" w:hAnsi="Arial"/>
                <w:sz w:val="16"/>
                <w:szCs w:val="16"/>
                <w:color w:val="auto"/>
                <w:w w:val="96"/>
              </w:rPr>
              <w:t>219,629</w:t>
            </w:r>
          </w:p>
        </w:tc>
        <w:tc>
          <w:tcPr>
            <w:tcW w:w="130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81,000</w:t>
            </w:r>
          </w:p>
        </w:tc>
        <w:tc>
          <w:tcPr>
            <w:tcW w:w="132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10,800</w:t>
            </w:r>
          </w:p>
        </w:tc>
        <w:tc>
          <w:tcPr>
            <w:tcW w:w="92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716,429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00" w:type="dxa"/>
            <w:vAlign w:val="bottom"/>
            <w:gridSpan w:val="3"/>
          </w:tcPr>
          <w:p>
            <w:pPr>
              <w:ind w:left="140"/>
              <w:spacing w:after="0"/>
              <w:rPr>
                <w:sz w:val="20"/>
                <w:szCs w:val="20"/>
                <w:color w:val="auto"/>
              </w:rPr>
            </w:pPr>
            <w:r>
              <w:rPr>
                <w:rFonts w:ascii="Arial" w:cs="Arial" w:eastAsia="Arial" w:hAnsi="Arial"/>
                <w:sz w:val="16"/>
                <w:szCs w:val="16"/>
                <w:i w:val="1"/>
                <w:iCs w:val="1"/>
                <w:color w:val="auto"/>
              </w:rPr>
              <w:t>President and Chief Operating Officer</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0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John F. Paolini, M.D., Ph.D.</w:t>
            </w:r>
          </w:p>
        </w:tc>
        <w:tc>
          <w:tcPr>
            <w:tcW w:w="56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w w:val="89"/>
              </w:rPr>
              <w:t>2017</w:t>
            </w:r>
          </w:p>
        </w:tc>
        <w:tc>
          <w:tcPr>
            <w:tcW w:w="780" w:type="dxa"/>
            <w:vAlign w:val="bottom"/>
            <w:gridSpan w:val="2"/>
            <w:shd w:val="clear" w:color="auto" w:fill="CCEEFF"/>
          </w:tcPr>
          <w:p>
            <w:pPr>
              <w:jc w:val="center"/>
              <w:ind w:left="142"/>
              <w:spacing w:after="0" w:line="181" w:lineRule="exact"/>
              <w:rPr>
                <w:sz w:val="20"/>
                <w:szCs w:val="20"/>
                <w:color w:val="auto"/>
              </w:rPr>
            </w:pPr>
            <w:r>
              <w:rPr>
                <w:rFonts w:ascii="Arial" w:cs="Arial" w:eastAsia="Arial" w:hAnsi="Arial"/>
                <w:sz w:val="16"/>
                <w:szCs w:val="16"/>
                <w:color w:val="auto"/>
                <w:w w:val="96"/>
              </w:rPr>
              <w:t>380,000</w:t>
            </w:r>
          </w:p>
        </w:tc>
        <w:tc>
          <w:tcPr>
            <w:tcW w:w="800" w:type="dxa"/>
            <w:vAlign w:val="bottom"/>
            <w:gridSpan w:val="2"/>
            <w:shd w:val="clear" w:color="auto" w:fill="CCEEFF"/>
          </w:tcPr>
          <w:p>
            <w:pPr>
              <w:jc w:val="center"/>
              <w:ind w:left="124"/>
              <w:spacing w:after="0" w:line="181" w:lineRule="exact"/>
              <w:rPr>
                <w:sz w:val="20"/>
                <w:szCs w:val="20"/>
                <w:color w:val="auto"/>
              </w:rPr>
            </w:pPr>
            <w:r>
              <w:rPr>
                <w:rFonts w:ascii="Arial" w:cs="Arial" w:eastAsia="Arial" w:hAnsi="Arial"/>
                <w:sz w:val="16"/>
                <w:szCs w:val="16"/>
                <w:color w:val="auto"/>
                <w:w w:val="96"/>
              </w:rPr>
              <w:t>275,358</w:t>
            </w:r>
          </w:p>
        </w:tc>
        <w:tc>
          <w:tcPr>
            <w:tcW w:w="13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114,000</w:t>
            </w:r>
          </w:p>
        </w:tc>
        <w:tc>
          <w:tcPr>
            <w:tcW w:w="13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10,800</w:t>
            </w:r>
          </w:p>
        </w:tc>
        <w:tc>
          <w:tcPr>
            <w:tcW w:w="9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780,158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gridSpan w:val="3"/>
            <w:shd w:val="clear" w:color="auto" w:fill="CCEEFF"/>
          </w:tcPr>
          <w:p>
            <w:pPr>
              <w:ind w:left="140"/>
              <w:spacing w:after="0" w:line="181" w:lineRule="exact"/>
              <w:rPr>
                <w:sz w:val="20"/>
                <w:szCs w:val="20"/>
                <w:color w:val="auto"/>
              </w:rPr>
            </w:pPr>
            <w:r>
              <w:rPr>
                <w:rFonts w:ascii="Arial" w:cs="Arial" w:eastAsia="Arial" w:hAnsi="Arial"/>
                <w:sz w:val="16"/>
                <w:szCs w:val="16"/>
                <w:i w:val="1"/>
                <w:iCs w:val="1"/>
                <w:color w:val="auto"/>
              </w:rPr>
              <w:t>Chief Medical Officer</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68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20" w:right="80" w:hanging="480"/>
        <w:spacing w:after="0" w:line="205" w:lineRule="auto"/>
        <w:tabs>
          <w:tab w:leader="none" w:pos="1620" w:val="left"/>
        </w:tabs>
        <w:numPr>
          <w:ilvl w:val="0"/>
          <w:numId w:val="87"/>
        </w:numPr>
        <w:rPr>
          <w:rFonts w:ascii="Arial" w:cs="Arial" w:eastAsia="Arial" w:hAnsi="Arial"/>
          <w:sz w:val="19"/>
          <w:szCs w:val="19"/>
          <w:color w:val="auto"/>
          <w:vertAlign w:val="superscript"/>
        </w:rPr>
      </w:pPr>
      <w:r>
        <w:rPr>
          <w:rFonts w:ascii="Arial" w:cs="Arial" w:eastAsia="Arial" w:hAnsi="Arial"/>
          <w:sz w:val="13"/>
          <w:szCs w:val="13"/>
          <w:color w:val="auto"/>
        </w:rPr>
        <w:t>Amounts reflect the full grant-date fair value of share options granted during 2017 computed in accordance with ASC Topic 718, rather than the amounts paid to or realized by the named individual. We provide information regarding the assumptions used to calculate the value of all option awards in Note 8 to our consolidated financial statements included in this prospectus.</w:t>
      </w:r>
    </w:p>
    <w:p>
      <w:pPr>
        <w:spacing w:after="0" w:line="136" w:lineRule="exact"/>
        <w:rPr>
          <w:rFonts w:ascii="Arial" w:cs="Arial" w:eastAsia="Arial" w:hAnsi="Arial"/>
          <w:sz w:val="19"/>
          <w:szCs w:val="19"/>
          <w:color w:val="auto"/>
          <w:vertAlign w:val="superscript"/>
        </w:rPr>
      </w:pPr>
    </w:p>
    <w:p>
      <w:pPr>
        <w:ind w:left="1620" w:right="140" w:hanging="480"/>
        <w:spacing w:after="0" w:line="195" w:lineRule="auto"/>
        <w:tabs>
          <w:tab w:leader="none" w:pos="1620" w:val="left"/>
        </w:tabs>
        <w:numPr>
          <w:ilvl w:val="0"/>
          <w:numId w:val="87"/>
        </w:numPr>
        <w:rPr>
          <w:rFonts w:ascii="Arial" w:cs="Arial" w:eastAsia="Arial" w:hAnsi="Arial"/>
          <w:sz w:val="19"/>
          <w:szCs w:val="19"/>
          <w:color w:val="auto"/>
          <w:vertAlign w:val="superscript"/>
        </w:rPr>
      </w:pPr>
      <w:r>
        <w:rPr>
          <w:rFonts w:ascii="Arial" w:cs="Arial" w:eastAsia="Arial" w:hAnsi="Arial"/>
          <w:sz w:val="13"/>
          <w:szCs w:val="13"/>
          <w:color w:val="auto"/>
        </w:rPr>
        <w:t>Amount shown represents 401(k) matching contributions. For additional information, refer to the discussion in the "Narrative Disclosure to Summary Compensation Table" below under the heading "— Other Elements of Compensation — Retirement Plans."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210"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primary elements of compensation for our named executive officers are base salary, annual performance bonuses and long-term equity-based compensation awards. The named executive officers also generally participate in employee benefit plans and programs that we offer to our other full-time employees on the same basis.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2017 Salaries</w:t>
      </w:r>
    </w:p>
    <w:p>
      <w:pPr>
        <w:spacing w:after="0" w:line="208" w:lineRule="exact"/>
        <w:rPr>
          <w:sz w:val="20"/>
          <w:szCs w:val="20"/>
          <w:color w:val="auto"/>
        </w:rPr>
      </w:pPr>
    </w:p>
    <w:p>
      <w:pPr>
        <w:ind w:right="260" w:firstLine="436"/>
        <w:spacing w:after="0" w:line="239" w:lineRule="auto"/>
        <w:rPr>
          <w:sz w:val="20"/>
          <w:szCs w:val="20"/>
          <w:color w:val="auto"/>
        </w:rPr>
      </w:pPr>
      <w:r>
        <w:rPr>
          <w:rFonts w:ascii="Arial" w:cs="Arial" w:eastAsia="Arial" w:hAnsi="Arial"/>
          <w:sz w:val="16"/>
          <w:szCs w:val="16"/>
          <w:color w:val="auto"/>
        </w:rPr>
        <w:t>We pay our named executive officers a base salary that is intended to provide a fixed component of compensation reflecting the executive's skill set, experience, role and responsibilities. Base salaries for our named executive officers generally have been set at levels deemed necessary to attract and retain the named executive officers and were originally established in each named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64" w:name="page165"/>
    <w:bookmarkEnd w:id="1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employment agreement or offer letter. The following table shows the annual base salaries for 2017 of our named executive officers:</w:t>
      </w:r>
    </w:p>
    <w:p>
      <w:pPr>
        <w:spacing w:after="0" w:line="167"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2017 Annual</w:t>
            </w:r>
          </w:p>
        </w:tc>
      </w:tr>
      <w:tr>
        <w:trPr>
          <w:trHeight w:val="174"/>
        </w:trPr>
        <w:tc>
          <w:tcPr>
            <w:tcW w:w="20" w:type="dxa"/>
            <w:vAlign w:val="bottom"/>
          </w:tcPr>
          <w:p>
            <w:pPr>
              <w:spacing w:after="0"/>
              <w:rPr>
                <w:sz w:val="15"/>
                <w:szCs w:val="15"/>
                <w:color w:val="auto"/>
              </w:rPr>
            </w:pPr>
          </w:p>
        </w:tc>
        <w:tc>
          <w:tcPr>
            <w:tcW w:w="6580" w:type="dxa"/>
            <w:vAlign w:val="bottom"/>
            <w:gridSpan w:val="2"/>
          </w:tcPr>
          <w:p>
            <w:pPr>
              <w:spacing w:after="0" w:line="174" w:lineRule="exact"/>
              <w:rPr>
                <w:sz w:val="20"/>
                <w:szCs w:val="20"/>
                <w:color w:val="auto"/>
              </w:rPr>
            </w:pPr>
            <w:r>
              <w:rPr>
                <w:rFonts w:ascii="Arial" w:cs="Arial" w:eastAsia="Arial" w:hAnsi="Arial"/>
                <w:sz w:val="16"/>
                <w:szCs w:val="16"/>
                <w:b w:val="1"/>
                <w:bCs w:val="1"/>
                <w:color w:val="auto"/>
              </w:rPr>
              <w:t>Name</w:t>
            </w:r>
          </w:p>
        </w:tc>
        <w:tc>
          <w:tcPr>
            <w:tcW w:w="1400" w:type="dxa"/>
            <w:vAlign w:val="bottom"/>
            <w:gridSpan w:val="2"/>
          </w:tcPr>
          <w:p>
            <w:pPr>
              <w:jc w:val="right"/>
              <w:ind w:right="140"/>
              <w:spacing w:after="0" w:line="174" w:lineRule="exact"/>
              <w:rPr>
                <w:sz w:val="20"/>
                <w:szCs w:val="20"/>
                <w:color w:val="auto"/>
              </w:rPr>
            </w:pPr>
            <w:r>
              <w:rPr>
                <w:rFonts w:ascii="Arial" w:cs="Arial" w:eastAsia="Arial" w:hAnsi="Arial"/>
                <w:sz w:val="16"/>
                <w:szCs w:val="16"/>
                <w:b w:val="1"/>
                <w:bCs w:val="1"/>
                <w:color w:val="auto"/>
              </w:rPr>
              <w:t>Base Salary ($)</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5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Sanj K. Patel</w:t>
            </w:r>
          </w:p>
        </w:tc>
        <w:tc>
          <w:tcPr>
            <w:tcW w:w="140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700,000</w:t>
            </w:r>
          </w:p>
        </w:tc>
      </w:tr>
      <w:tr>
        <w:trPr>
          <w:trHeight w:val="181"/>
        </w:trPr>
        <w:tc>
          <w:tcPr>
            <w:tcW w:w="20" w:type="dxa"/>
            <w:vAlign w:val="bottom"/>
          </w:tcPr>
          <w:p>
            <w:pPr>
              <w:spacing w:after="0"/>
              <w:rPr>
                <w:sz w:val="15"/>
                <w:szCs w:val="15"/>
                <w:color w:val="auto"/>
              </w:rPr>
            </w:pPr>
          </w:p>
        </w:tc>
        <w:tc>
          <w:tcPr>
            <w:tcW w:w="6580" w:type="dxa"/>
            <w:vAlign w:val="bottom"/>
            <w:gridSpan w:val="2"/>
          </w:tcPr>
          <w:p>
            <w:pPr>
              <w:spacing w:after="0" w:line="181" w:lineRule="exact"/>
              <w:rPr>
                <w:sz w:val="20"/>
                <w:szCs w:val="20"/>
                <w:color w:val="auto"/>
              </w:rPr>
            </w:pPr>
            <w:r>
              <w:rPr>
                <w:rFonts w:ascii="Arial" w:cs="Arial" w:eastAsia="Arial" w:hAnsi="Arial"/>
                <w:sz w:val="16"/>
                <w:szCs w:val="16"/>
                <w:color w:val="auto"/>
              </w:rPr>
              <w:t>Stephen Mahoney</w:t>
            </w:r>
          </w:p>
        </w:tc>
        <w:tc>
          <w:tcPr>
            <w:tcW w:w="14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405,000</w:t>
            </w:r>
          </w:p>
        </w:tc>
      </w:tr>
      <w:tr>
        <w:trPr>
          <w:trHeight w:val="181"/>
        </w:trPr>
        <w:tc>
          <w:tcPr>
            <w:tcW w:w="20" w:type="dxa"/>
            <w:vAlign w:val="bottom"/>
            <w:shd w:val="clear" w:color="auto" w:fill="CCEEFF"/>
          </w:tcPr>
          <w:p>
            <w:pPr>
              <w:spacing w:after="0"/>
              <w:rPr>
                <w:sz w:val="15"/>
                <w:szCs w:val="15"/>
                <w:color w:val="auto"/>
              </w:rPr>
            </w:pPr>
          </w:p>
        </w:tc>
        <w:tc>
          <w:tcPr>
            <w:tcW w:w="65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John F. Paolini, M.D., Ph.D.</w:t>
            </w:r>
          </w:p>
        </w:tc>
        <w:tc>
          <w:tcPr>
            <w:tcW w:w="14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380,000</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2017 Bonuses</w:t>
      </w:r>
    </w:p>
    <w:p>
      <w:pPr>
        <w:spacing w:after="0" w:line="208" w:lineRule="exact"/>
        <w:rPr>
          <w:sz w:val="20"/>
          <w:szCs w:val="20"/>
          <w:color w:val="auto"/>
        </w:rPr>
      </w:pPr>
    </w:p>
    <w:p>
      <w:pPr>
        <w:ind w:right="280" w:firstLine="436"/>
        <w:spacing w:after="0" w:line="237" w:lineRule="auto"/>
        <w:rPr>
          <w:sz w:val="20"/>
          <w:szCs w:val="20"/>
          <w:color w:val="auto"/>
        </w:rPr>
      </w:pPr>
      <w:r>
        <w:rPr>
          <w:rFonts w:ascii="Arial" w:cs="Arial" w:eastAsia="Arial" w:hAnsi="Arial"/>
          <w:sz w:val="16"/>
          <w:szCs w:val="16"/>
          <w:color w:val="auto"/>
        </w:rPr>
        <w:t>We offer our named executive officers the opportunity to earn annual performance bonuses to compensate them for attaining short-term company and individual goals as approved by our board of directors. For 2017, performance bonuses were based on attaining corporate goals relating to the overall business, including development of KPL-716, business development, intellectual property protection, supply chain requirements, key employee retention and recruitment, capitalization and cost and expense control and operational compliance. The 2017 target bonus amounts for our named executive officers, expressed as percentages of their respective annual base salaries, were 10% for Mr. Patel, 10% for Mr. Mahoney and 30% for Dr. Paolini.</w:t>
      </w:r>
    </w:p>
    <w:p>
      <w:pPr>
        <w:spacing w:after="0" w:line="189" w:lineRule="exact"/>
        <w:rPr>
          <w:sz w:val="20"/>
          <w:szCs w:val="20"/>
          <w:color w:val="auto"/>
        </w:rPr>
      </w:pPr>
    </w:p>
    <w:p>
      <w:pPr>
        <w:ind w:right="340" w:firstLine="436"/>
        <w:spacing w:after="0" w:line="241" w:lineRule="auto"/>
        <w:rPr>
          <w:sz w:val="20"/>
          <w:szCs w:val="20"/>
          <w:color w:val="auto"/>
        </w:rPr>
      </w:pPr>
      <w:r>
        <w:rPr>
          <w:rFonts w:ascii="Arial" w:cs="Arial" w:eastAsia="Arial" w:hAnsi="Arial"/>
          <w:sz w:val="16"/>
          <w:szCs w:val="16"/>
          <w:color w:val="auto"/>
        </w:rPr>
        <w:t>In December 2017, our board of directors met to review performance against the 2017 bonus goals and approved cash bonuses for the named executive officers in the amounts set forth in the Non-Equity Incentive Plan Compensation column of the 2017 Summary Compensation Table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generally offer share options to our employees, including our named executive officers, as the long-term incentive component of our compensation program. Share options allow our employees to purchase our Class A common shares at a price equal to the fair market value per Class A common share on the date of grant, as determined by the board of directors. In 2017, our named executive officers were granted the share options set forth in the table below. The options vest over four years from the applicable grant date with 25% of the option vesting on the first anniversary of the grant date and 2.0833% of the shares vesting monthly for three years thereafter.</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2017 Option Awards</w:t>
            </w:r>
          </w:p>
        </w:tc>
      </w:tr>
      <w:tr>
        <w:trPr>
          <w:trHeight w:val="174"/>
        </w:trPr>
        <w:tc>
          <w:tcPr>
            <w:tcW w:w="20" w:type="dxa"/>
            <w:vAlign w:val="bottom"/>
          </w:tcPr>
          <w:p>
            <w:pPr>
              <w:spacing w:after="0"/>
              <w:rPr>
                <w:sz w:val="15"/>
                <w:szCs w:val="15"/>
                <w:color w:val="auto"/>
              </w:rPr>
            </w:pPr>
          </w:p>
        </w:tc>
        <w:tc>
          <w:tcPr>
            <w:tcW w:w="6220" w:type="dxa"/>
            <w:vAlign w:val="bottom"/>
            <w:gridSpan w:val="2"/>
          </w:tcPr>
          <w:p>
            <w:pPr>
              <w:spacing w:after="0" w:line="174" w:lineRule="exact"/>
              <w:rPr>
                <w:sz w:val="20"/>
                <w:szCs w:val="20"/>
                <w:color w:val="auto"/>
              </w:rPr>
            </w:pPr>
            <w:r>
              <w:rPr>
                <w:rFonts w:ascii="Arial" w:cs="Arial" w:eastAsia="Arial" w:hAnsi="Arial"/>
                <w:sz w:val="16"/>
                <w:szCs w:val="16"/>
                <w:b w:val="1"/>
                <w:bCs w:val="1"/>
                <w:color w:val="auto"/>
              </w:rPr>
              <w:t>Named Executive Officer</w:t>
            </w:r>
          </w:p>
        </w:tc>
        <w:tc>
          <w:tcPr>
            <w:tcW w:w="1760" w:type="dxa"/>
            <w:vAlign w:val="bottom"/>
            <w:gridSpan w:val="2"/>
          </w:tcPr>
          <w:p>
            <w:pPr>
              <w:jc w:val="right"/>
              <w:ind w:right="600"/>
              <w:spacing w:after="0" w:line="174" w:lineRule="exact"/>
              <w:rPr>
                <w:sz w:val="20"/>
                <w:szCs w:val="20"/>
                <w:color w:val="auto"/>
              </w:rPr>
            </w:pPr>
            <w:r>
              <w:rPr>
                <w:rFonts w:ascii="Arial" w:cs="Arial" w:eastAsia="Arial" w:hAnsi="Arial"/>
                <w:sz w:val="16"/>
                <w:szCs w:val="16"/>
                <w:b w:val="1"/>
                <w:bCs w:val="1"/>
                <w:color w:val="auto"/>
              </w:rPr>
              <w:t>Granted</w:t>
            </w: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Sanj K. Patel</w:t>
            </w:r>
          </w:p>
        </w:tc>
        <w:tc>
          <w:tcPr>
            <w:tcW w:w="176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257,969</w:t>
            </w:r>
          </w:p>
        </w:tc>
      </w:tr>
      <w:tr>
        <w:trPr>
          <w:trHeight w:val="181"/>
        </w:trPr>
        <w:tc>
          <w:tcPr>
            <w:tcW w:w="20" w:type="dxa"/>
            <w:vAlign w:val="bottom"/>
          </w:tcPr>
          <w:p>
            <w:pPr>
              <w:spacing w:after="0"/>
              <w:rPr>
                <w:sz w:val="15"/>
                <w:szCs w:val="15"/>
                <w:color w:val="auto"/>
              </w:rPr>
            </w:pPr>
          </w:p>
        </w:tc>
        <w:tc>
          <w:tcPr>
            <w:tcW w:w="6220" w:type="dxa"/>
            <w:vAlign w:val="bottom"/>
            <w:gridSpan w:val="2"/>
          </w:tcPr>
          <w:p>
            <w:pPr>
              <w:spacing w:after="0" w:line="181" w:lineRule="exact"/>
              <w:rPr>
                <w:sz w:val="20"/>
                <w:szCs w:val="20"/>
                <w:color w:val="auto"/>
              </w:rPr>
            </w:pPr>
            <w:r>
              <w:rPr>
                <w:rFonts w:ascii="Arial" w:cs="Arial" w:eastAsia="Arial" w:hAnsi="Arial"/>
                <w:sz w:val="16"/>
                <w:szCs w:val="16"/>
                <w:color w:val="auto"/>
              </w:rPr>
              <w:t>Stephen Mahoney</w:t>
            </w:r>
          </w:p>
        </w:tc>
        <w:tc>
          <w:tcPr>
            <w:tcW w:w="17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87,848</w:t>
            </w:r>
          </w:p>
        </w:tc>
      </w:tr>
      <w:tr>
        <w:trPr>
          <w:trHeight w:val="181"/>
        </w:trPr>
        <w:tc>
          <w:tcPr>
            <w:tcW w:w="2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John F. Paolini, M.D., Ph.D.</w:t>
            </w:r>
          </w:p>
        </w:tc>
        <w:tc>
          <w:tcPr>
            <w:tcW w:w="17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110,138</w:t>
            </w:r>
          </w:p>
        </w:tc>
      </w:tr>
    </w:tbl>
    <w:p>
      <w:pPr>
        <w:spacing w:after="0" w:line="196" w:lineRule="exact"/>
        <w:rPr>
          <w:sz w:val="20"/>
          <w:szCs w:val="20"/>
          <w:color w:val="auto"/>
        </w:rPr>
      </w:pPr>
    </w:p>
    <w:p>
      <w:pPr>
        <w:ind w:right="20" w:firstLine="433"/>
        <w:spacing w:after="0" w:line="241" w:lineRule="auto"/>
        <w:rPr>
          <w:sz w:val="20"/>
          <w:szCs w:val="20"/>
          <w:color w:val="auto"/>
        </w:rPr>
      </w:pPr>
      <w:r>
        <w:rPr>
          <w:rFonts w:ascii="Arial" w:cs="Arial" w:eastAsia="Arial" w:hAnsi="Arial"/>
          <w:sz w:val="16"/>
          <w:szCs w:val="16"/>
          <w:color w:val="auto"/>
        </w:rPr>
        <w:t>These options were issued under our 2015 Equity Incentive Plan, or the 2015 Plan, with exercise prices equal to the fair market value of our Class A common shares on the date of grant, as determined by the board of directors, and subject to our standard vesting schedule described above.</w:t>
      </w:r>
    </w:p>
    <w:p>
      <w:pPr>
        <w:spacing w:after="0" w:line="185"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connection with this offering, our board of directors adopted, and our shareholders have approved, the 2018 Incentive Award Plan, or the 2018 Plan, in order to facilitate the grant of cash and equity incentives to directors, employees (including our named executive officers) and consultants and to enable us to obtain and retain services of these individuals, which we believe is essential to our long-term success. The 2018 Plan will be effective on the day prior to the first public trading date of our Class A common shares. Following the effective date of the 2018 Plan, we will not make any further grants under our 2015 Plan. However, the 2015 Plan will continue to govern the terms and conditions of the outstanding awards granted under it. For additional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65" w:name="page166"/>
    <w:bookmarkEnd w:id="1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2015 Plan and the 2018 Plan, please see the section titled "Executive Compensation Plans" below.</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Elements of Compensation</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Retirement Plans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provide matching contributions of 100% of the first 3% of each participant's salary contributed, plus 50% for each of the next 2% contributed. Employee contributions are allocated to each participant's individual account and are then invested in selected investment alternatives according to the participants' directions. Employees are immediately and fully vested in their own contributions and the employer match.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Employee Benefits and Perquisites</w:t>
      </w:r>
    </w:p>
    <w:p>
      <w:pPr>
        <w:spacing w:after="0" w:line="208" w:lineRule="exact"/>
        <w:rPr>
          <w:sz w:val="20"/>
          <w:szCs w:val="20"/>
          <w:color w:val="auto"/>
        </w:rPr>
      </w:pPr>
    </w:p>
    <w:p>
      <w:pPr>
        <w:jc w:val="both"/>
        <w:ind w:right="100" w:firstLine="427"/>
        <w:spacing w:after="0" w:line="239" w:lineRule="auto"/>
        <w:rPr>
          <w:sz w:val="20"/>
          <w:szCs w:val="20"/>
          <w:color w:val="auto"/>
        </w:rPr>
      </w:pPr>
      <w:r>
        <w:rPr>
          <w:rFonts w:ascii="Arial" w:cs="Arial" w:eastAsia="Arial" w:hAnsi="Arial"/>
          <w:sz w:val="16"/>
          <w:szCs w:val="16"/>
          <w:color w:val="auto"/>
        </w:rPr>
        <w:t>All of our full-time employees, including our named executive officers, are eligible to participate in our health and welfare plans, including medical, dental and vision benefits, a healthcare spending account, a dependent care flexible spending account, short-term and long-term disability insurance and life insurance to the same extent as our other full-time employees generally, subject to the terms and eligibility requirements of those plans.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No Tax Gross-Ups</w:t>
      </w:r>
    </w:p>
    <w:p>
      <w:pPr>
        <w:spacing w:after="0" w:line="208" w:lineRule="exact"/>
        <w:rPr>
          <w:sz w:val="20"/>
          <w:szCs w:val="20"/>
          <w:color w:val="auto"/>
        </w:rPr>
      </w:pPr>
    </w:p>
    <w:p>
      <w:pPr>
        <w:ind w:right="40" w:firstLine="436"/>
        <w:spacing w:after="0" w:line="241" w:lineRule="auto"/>
        <w:rPr>
          <w:sz w:val="20"/>
          <w:szCs w:val="20"/>
          <w:color w:val="auto"/>
        </w:rPr>
      </w:pPr>
      <w:r>
        <w:rPr>
          <w:rFonts w:ascii="Arial" w:cs="Arial" w:eastAsia="Arial" w:hAnsi="Arial"/>
          <w:sz w:val="16"/>
          <w:szCs w:val="16"/>
          <w:color w:val="auto"/>
        </w:rPr>
        <w:t>We do not make gross-up payments to cover our named executive officers' personal income taxes that may pertain to any of the compensation or perquisites paid or provided by us.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66" w:name="page167"/>
    <w:bookmarkEnd w:id="1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Outstanding Equity Awards at 2017 Fiscal Year-End</w:t>
      </w:r>
    </w:p>
    <w:p>
      <w:pPr>
        <w:spacing w:after="0" w:line="210" w:lineRule="exact"/>
        <w:rPr>
          <w:sz w:val="20"/>
          <w:szCs w:val="20"/>
          <w:color w:val="auto"/>
        </w:rPr>
      </w:pPr>
    </w:p>
    <w:p>
      <w:pPr>
        <w:ind w:right="60" w:firstLine="433"/>
        <w:spacing w:after="0" w:line="241" w:lineRule="auto"/>
        <w:rPr>
          <w:sz w:val="20"/>
          <w:szCs w:val="20"/>
          <w:color w:val="auto"/>
        </w:rPr>
      </w:pPr>
      <w:r>
        <w:rPr>
          <w:rFonts w:ascii="Arial" w:cs="Arial" w:eastAsia="Arial" w:hAnsi="Arial"/>
          <w:sz w:val="16"/>
          <w:szCs w:val="16"/>
          <w:color w:val="auto"/>
        </w:rPr>
        <w:t>The following table summarizes the number of Class A common shares underlying outstanding equity incentive plan awards for each named executive officer as of December 31, 2017.</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Option Awards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64"/>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Number of</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8"/>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Securities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1"/>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Securities</w:t>
            </w:r>
          </w:p>
        </w:tc>
        <w:tc>
          <w:tcPr>
            <w:tcW w:w="140" w:type="dxa"/>
            <w:vAlign w:val="bottom"/>
          </w:tcPr>
          <w:p>
            <w:pPr>
              <w:spacing w:after="0"/>
              <w:rPr>
                <w:sz w:val="15"/>
                <w:szCs w:val="15"/>
                <w:color w:val="auto"/>
              </w:rPr>
            </w:pPr>
          </w:p>
        </w:tc>
        <w:tc>
          <w:tcPr>
            <w:tcW w:w="16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Underlying</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1"/>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Underlying</w:t>
            </w:r>
          </w:p>
        </w:tc>
        <w:tc>
          <w:tcPr>
            <w:tcW w:w="140" w:type="dxa"/>
            <w:vAlign w:val="bottom"/>
          </w:tcPr>
          <w:p>
            <w:pPr>
              <w:spacing w:after="0"/>
              <w:rPr>
                <w:sz w:val="15"/>
                <w:szCs w:val="15"/>
                <w:color w:val="auto"/>
              </w:rPr>
            </w:pPr>
          </w:p>
        </w:tc>
        <w:tc>
          <w:tcPr>
            <w:tcW w:w="16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Unexercised</w:t>
            </w:r>
          </w:p>
        </w:tc>
        <w:tc>
          <w:tcPr>
            <w:tcW w:w="16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Option</w:t>
            </w:r>
          </w:p>
        </w:tc>
        <w:tc>
          <w:tcPr>
            <w:tcW w:w="140" w:type="dxa"/>
            <w:vAlign w:val="bottom"/>
          </w:tcPr>
          <w:p>
            <w:pPr>
              <w:spacing w:after="0"/>
              <w:rPr>
                <w:sz w:val="15"/>
                <w:szCs w:val="15"/>
                <w:color w:val="auto"/>
              </w:rPr>
            </w:pPr>
          </w:p>
        </w:tc>
        <w:tc>
          <w:tcPr>
            <w:tcW w:w="1040" w:type="dxa"/>
            <w:vAlign w:val="bottom"/>
            <w:gridSpan w:val="2"/>
          </w:tcPr>
          <w:p>
            <w:pPr>
              <w:jc w:val="right"/>
              <w:ind w:right="160"/>
              <w:spacing w:after="0" w:line="181" w:lineRule="exact"/>
              <w:rPr>
                <w:sz w:val="20"/>
                <w:szCs w:val="20"/>
                <w:color w:val="auto"/>
              </w:rPr>
            </w:pPr>
            <w:r>
              <w:rPr>
                <w:rFonts w:ascii="Arial" w:cs="Arial" w:eastAsia="Arial" w:hAnsi="Arial"/>
                <w:sz w:val="16"/>
                <w:szCs w:val="16"/>
                <w:b w:val="1"/>
                <w:bCs w:val="1"/>
                <w:color w:val="auto"/>
              </w:rPr>
              <w:t>Option</w:t>
            </w:r>
          </w:p>
        </w:tc>
      </w:tr>
      <w:tr>
        <w:trPr>
          <w:trHeight w:val="181"/>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60"/>
              <w:spacing w:after="0" w:line="181" w:lineRule="exact"/>
              <w:rPr>
                <w:sz w:val="20"/>
                <w:szCs w:val="20"/>
                <w:color w:val="auto"/>
              </w:rPr>
            </w:pPr>
            <w:r>
              <w:rPr>
                <w:rFonts w:ascii="Arial" w:cs="Arial" w:eastAsia="Arial" w:hAnsi="Arial"/>
                <w:sz w:val="16"/>
                <w:szCs w:val="16"/>
                <w:b w:val="1"/>
                <w:bCs w:val="1"/>
                <w:color w:val="auto"/>
              </w:rPr>
              <w:t>Vesting Start</w:t>
            </w:r>
          </w:p>
        </w:tc>
        <w:tc>
          <w:tcPr>
            <w:tcW w:w="16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Unexercised Options</w:t>
            </w:r>
          </w:p>
        </w:tc>
        <w:tc>
          <w:tcPr>
            <w:tcW w:w="140" w:type="dxa"/>
            <w:vAlign w:val="bottom"/>
          </w:tcPr>
          <w:p>
            <w:pPr>
              <w:spacing w:after="0"/>
              <w:rPr>
                <w:sz w:val="15"/>
                <w:szCs w:val="15"/>
                <w:color w:val="auto"/>
              </w:rPr>
            </w:pPr>
          </w:p>
        </w:tc>
        <w:tc>
          <w:tcPr>
            <w:tcW w:w="16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Options (#)</w:t>
            </w:r>
          </w:p>
        </w:tc>
        <w:tc>
          <w:tcPr>
            <w:tcW w:w="16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Exercise</w:t>
            </w:r>
          </w:p>
        </w:tc>
        <w:tc>
          <w:tcPr>
            <w:tcW w:w="140" w:type="dxa"/>
            <w:vAlign w:val="bottom"/>
          </w:tcPr>
          <w:p>
            <w:pPr>
              <w:spacing w:after="0"/>
              <w:rPr>
                <w:sz w:val="15"/>
                <w:szCs w:val="15"/>
                <w:color w:val="auto"/>
              </w:rPr>
            </w:pPr>
          </w:p>
        </w:tc>
        <w:tc>
          <w:tcPr>
            <w:tcW w:w="1040" w:type="dxa"/>
            <w:vAlign w:val="bottom"/>
            <w:gridSpan w:val="2"/>
          </w:tcPr>
          <w:p>
            <w:pPr>
              <w:jc w:val="right"/>
              <w:ind w:right="160"/>
              <w:spacing w:after="0" w:line="181" w:lineRule="exact"/>
              <w:rPr>
                <w:sz w:val="20"/>
                <w:szCs w:val="20"/>
                <w:color w:val="auto"/>
              </w:rPr>
            </w:pPr>
            <w:r>
              <w:rPr>
                <w:rFonts w:ascii="Arial" w:cs="Arial" w:eastAsia="Arial" w:hAnsi="Arial"/>
                <w:sz w:val="16"/>
                <w:szCs w:val="16"/>
                <w:b w:val="1"/>
                <w:bCs w:val="1"/>
                <w:color w:val="auto"/>
              </w:rPr>
              <w:t>Expiration</w:t>
            </w:r>
          </w:p>
        </w:tc>
      </w:tr>
      <w:tr>
        <w:trPr>
          <w:trHeight w:val="193"/>
        </w:trPr>
        <w:tc>
          <w:tcPr>
            <w:tcW w:w="240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Date</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 Exercisable</w:t>
            </w:r>
          </w:p>
        </w:tc>
        <w:tc>
          <w:tcPr>
            <w:tcW w:w="140" w:type="dxa"/>
            <w:vAlign w:val="bottom"/>
          </w:tcPr>
          <w:p>
            <w:pPr>
              <w:spacing w:after="0"/>
              <w:rPr>
                <w:sz w:val="16"/>
                <w:szCs w:val="16"/>
                <w:color w:val="auto"/>
              </w:rPr>
            </w:pPr>
          </w:p>
        </w:tc>
        <w:tc>
          <w:tcPr>
            <w:tcW w:w="1600" w:type="dxa"/>
            <w:vAlign w:val="bottom"/>
          </w:tcPr>
          <w:p>
            <w:pPr>
              <w:jc w:val="right"/>
              <w:spacing w:after="0" w:line="193" w:lineRule="exact"/>
              <w:rPr>
                <w:sz w:val="20"/>
                <w:szCs w:val="20"/>
                <w:color w:val="auto"/>
              </w:rPr>
            </w:pPr>
            <w:r>
              <w:rPr>
                <w:rFonts w:ascii="Arial" w:cs="Arial" w:eastAsia="Arial" w:hAnsi="Arial"/>
                <w:sz w:val="14"/>
                <w:szCs w:val="14"/>
                <w:b w:val="1"/>
                <w:bCs w:val="1"/>
                <w:color w:val="auto"/>
              </w:rPr>
              <w:t>Unexercisable</w:t>
            </w:r>
            <w:r>
              <w:rPr>
                <w:rFonts w:ascii="Arial" w:cs="Arial" w:eastAsia="Arial" w:hAnsi="Arial"/>
                <w:sz w:val="22"/>
                <w:szCs w:val="22"/>
                <w:b w:val="1"/>
                <w:bCs w:val="1"/>
                <w:color w:val="auto"/>
                <w:vertAlign w:val="superscript"/>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Price ($)</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Date</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240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Sanj K. Patel</w:t>
            </w:r>
          </w:p>
        </w:tc>
        <w:tc>
          <w:tcPr>
            <w:tcW w:w="1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8/1/2015</w:t>
            </w: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293,864</w:t>
            </w:r>
          </w:p>
        </w:tc>
        <w:tc>
          <w:tcPr>
            <w:tcW w:w="17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209,904</w:t>
            </w:r>
          </w:p>
        </w:tc>
        <w:tc>
          <w:tcPr>
            <w:tcW w:w="9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1.59</w:t>
            </w:r>
          </w:p>
        </w:tc>
        <w:tc>
          <w:tcPr>
            <w:tcW w:w="10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12/15/2025</w:t>
            </w:r>
          </w:p>
        </w:tc>
        <w:tc>
          <w:tcPr>
            <w:tcW w:w="160" w:type="dxa"/>
            <w:vAlign w:val="bottom"/>
            <w:shd w:val="clear" w:color="auto" w:fill="CCEEFF"/>
          </w:tcPr>
          <w:p>
            <w:pPr>
              <w:spacing w:after="0"/>
              <w:rPr>
                <w:sz w:val="14"/>
                <w:szCs w:val="14"/>
                <w:color w:val="auto"/>
              </w:rPr>
            </w:pPr>
          </w:p>
        </w:tc>
      </w:tr>
      <w:tr>
        <w:trPr>
          <w:trHeight w:val="193"/>
        </w:trPr>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6/28/2017</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257,969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6/28/2027</w:t>
            </w:r>
          </w:p>
        </w:tc>
        <w:tc>
          <w:tcPr>
            <w:tcW w:w="160" w:type="dxa"/>
            <w:vAlign w:val="bottom"/>
            <w:shd w:val="clear" w:color="auto" w:fill="CCEEFF"/>
          </w:tcPr>
          <w:p>
            <w:pPr>
              <w:spacing w:after="0"/>
              <w:rPr>
                <w:sz w:val="16"/>
                <w:szCs w:val="16"/>
                <w:color w:val="auto"/>
              </w:rPr>
            </w:pPr>
          </w:p>
        </w:tc>
      </w:tr>
      <w:tr>
        <w:trPr>
          <w:trHeight w:val="384"/>
        </w:trPr>
        <w:tc>
          <w:tcPr>
            <w:tcW w:w="2400" w:type="dxa"/>
            <w:vAlign w:val="bottom"/>
            <w:gridSpan w:val="3"/>
          </w:tcPr>
          <w:p>
            <w:pPr>
              <w:spacing w:after="0"/>
              <w:rPr>
                <w:sz w:val="20"/>
                <w:szCs w:val="20"/>
                <w:color w:val="auto"/>
              </w:rPr>
            </w:pPr>
            <w:r>
              <w:rPr>
                <w:rFonts w:ascii="Arial" w:cs="Arial" w:eastAsia="Arial" w:hAnsi="Arial"/>
                <w:sz w:val="16"/>
                <w:szCs w:val="16"/>
                <w:color w:val="auto"/>
              </w:rPr>
              <w:t>Stephen Mahoney</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8/1/2015</w:t>
            </w: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73,466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52,475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12/15/2025</w:t>
            </w:r>
          </w:p>
        </w:tc>
        <w:tc>
          <w:tcPr>
            <w:tcW w:w="160" w:type="dxa"/>
            <w:vAlign w:val="bottom"/>
          </w:tcPr>
          <w:p>
            <w:pPr>
              <w:spacing w:after="0"/>
              <w:rPr>
                <w:sz w:val="24"/>
                <w:szCs w:val="24"/>
                <w:color w:val="auto"/>
              </w:rPr>
            </w:pPr>
          </w:p>
        </w:tc>
      </w:tr>
      <w:tr>
        <w:trPr>
          <w:trHeight w:val="183"/>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6/28/2017</w:t>
            </w:r>
          </w:p>
        </w:tc>
        <w:tc>
          <w:tcPr>
            <w:tcW w:w="1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87,848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6/28/2027</w:t>
            </w:r>
          </w:p>
        </w:tc>
        <w:tc>
          <w:tcPr>
            <w:tcW w:w="160" w:type="dxa"/>
            <w:vAlign w:val="bottom"/>
          </w:tcPr>
          <w:p>
            <w:pPr>
              <w:spacing w:after="0"/>
              <w:rPr>
                <w:sz w:val="15"/>
                <w:szCs w:val="15"/>
                <w:color w:val="auto"/>
              </w:rPr>
            </w:pPr>
          </w:p>
        </w:tc>
      </w:tr>
      <w:tr>
        <w:trPr>
          <w:trHeight w:val="374"/>
        </w:trPr>
        <w:tc>
          <w:tcPr>
            <w:tcW w:w="2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John F. Paolini, M.D., Ph.D.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8/15/2016</w:t>
            </w: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151,716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9/13/2026</w:t>
            </w:r>
          </w:p>
        </w:tc>
        <w:tc>
          <w:tcPr>
            <w:tcW w:w="160" w:type="dxa"/>
            <w:vAlign w:val="bottom"/>
            <w:shd w:val="clear" w:color="auto" w:fill="CCEEFF"/>
          </w:tcPr>
          <w:p>
            <w:pPr>
              <w:spacing w:after="0"/>
              <w:rPr>
                <w:sz w:val="24"/>
                <w:szCs w:val="24"/>
                <w:color w:val="auto"/>
              </w:rPr>
            </w:pPr>
          </w:p>
        </w:tc>
      </w:tr>
      <w:tr>
        <w:trPr>
          <w:trHeight w:val="193"/>
        </w:trPr>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6/28/2017</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110,138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6/28/2027</w:t>
            </w:r>
          </w:p>
        </w:tc>
        <w:tc>
          <w:tcPr>
            <w:tcW w:w="160" w:type="dxa"/>
            <w:vAlign w:val="bottom"/>
            <w:shd w:val="clear" w:color="auto" w:fill="CCEEFF"/>
          </w:tcPr>
          <w:p>
            <w:pPr>
              <w:spacing w:after="0"/>
              <w:rPr>
                <w:sz w:val="16"/>
                <w:szCs w:val="16"/>
                <w:color w:val="auto"/>
              </w:rPr>
            </w:pPr>
          </w:p>
        </w:tc>
      </w:tr>
      <w:tr>
        <w:trPr>
          <w:trHeight w:val="96"/>
        </w:trPr>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7" w:lineRule="exact"/>
        <w:rPr>
          <w:sz w:val="20"/>
          <w:szCs w:val="20"/>
          <w:color w:val="auto"/>
        </w:rPr>
      </w:pPr>
    </w:p>
    <w:p>
      <w:pPr>
        <w:ind w:left="1620" w:right="20" w:hanging="480"/>
        <w:spacing w:after="0" w:line="221" w:lineRule="auto"/>
        <w:tabs>
          <w:tab w:leader="none" w:pos="1620" w:val="left"/>
        </w:tabs>
        <w:numPr>
          <w:ilvl w:val="0"/>
          <w:numId w:val="88"/>
        </w:numPr>
        <w:rPr>
          <w:rFonts w:ascii="Arial" w:cs="Arial" w:eastAsia="Arial" w:hAnsi="Arial"/>
          <w:sz w:val="19"/>
          <w:szCs w:val="19"/>
          <w:color w:val="auto"/>
          <w:vertAlign w:val="superscript"/>
        </w:rPr>
      </w:pPr>
      <w:r>
        <w:rPr>
          <w:rFonts w:ascii="Arial" w:cs="Arial" w:eastAsia="Arial" w:hAnsi="Arial"/>
          <w:sz w:val="13"/>
          <w:szCs w:val="13"/>
          <w:color w:val="auto"/>
        </w:rPr>
        <w:t>The options vest over a four-year period with 25% of the shares vesting on the first anniversary of the corresponding vesting start date, and 2.0833% of the shares vesting monthly for three years thereafter. Pursuant to each named executive officer's employment agreement in effect on December 31, 2017, in the event of a termination of employment by the Company without Cause or a result of the named executive officer's death, disability or resignation for Good Reason (as such capitalized terms are defined in their respective employment agreements), Mr. Mahoney and Dr. Paolini are entitled to accelerated vesting of all of their then-unvested Company equity or equity-based awards that would have, absent termination, become vested within 12 months following termination, and Mr. Patel is entitled to accelerated vesting of all of his then-unvested equity or equity-based awards that would have, absent termination, become vested within 18 months following termination. In addition, in the event of a change in control (as defined in the applicable option award agreement), each named executive officer will become immediately 100% fully vested in the named executive officer's option to the extent that such award is not assumed or substituted.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Compensation Arrangements</w:t>
      </w:r>
    </w:p>
    <w:p>
      <w:pPr>
        <w:spacing w:after="0" w:line="210" w:lineRule="exact"/>
        <w:rPr>
          <w:sz w:val="20"/>
          <w:szCs w:val="20"/>
          <w:color w:val="auto"/>
        </w:rPr>
      </w:pPr>
    </w:p>
    <w:p>
      <w:pPr>
        <w:ind w:right="360" w:firstLine="436"/>
        <w:spacing w:after="0" w:line="241" w:lineRule="auto"/>
        <w:rPr>
          <w:sz w:val="20"/>
          <w:szCs w:val="20"/>
          <w:color w:val="auto"/>
        </w:rPr>
      </w:pPr>
      <w:r>
        <w:rPr>
          <w:rFonts w:ascii="Arial" w:cs="Arial" w:eastAsia="Arial" w:hAnsi="Arial"/>
          <w:sz w:val="16"/>
          <w:szCs w:val="16"/>
          <w:color w:val="auto"/>
        </w:rPr>
        <w:t>In connection with this offering, we intend to amend the existing employment agreements with each of our named executive officers. Certain key terms of these agreements are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Sanj K. Patel</w:t>
      </w:r>
    </w:p>
    <w:p>
      <w:pPr>
        <w:spacing w:after="0" w:line="210" w:lineRule="exact"/>
        <w:rPr>
          <w:sz w:val="20"/>
          <w:szCs w:val="20"/>
          <w:color w:val="auto"/>
        </w:rPr>
      </w:pPr>
    </w:p>
    <w:p>
      <w:pPr>
        <w:ind w:firstLine="433"/>
        <w:spacing w:after="0" w:line="251" w:lineRule="auto"/>
        <w:rPr>
          <w:sz w:val="20"/>
          <w:szCs w:val="20"/>
          <w:color w:val="auto"/>
        </w:rPr>
      </w:pPr>
      <w:r>
        <w:rPr>
          <w:rFonts w:ascii="Arial" w:cs="Arial" w:eastAsia="Arial" w:hAnsi="Arial"/>
          <w:sz w:val="15"/>
          <w:szCs w:val="15"/>
          <w:color w:val="auto"/>
        </w:rPr>
        <w:t>The term of our amended and restated employment agreement with Mr. Patel lasts until either the Company or Mr. Patel terminates his employment by giving notice to the other party or his employment terminates due to his death. Pursuant to the amended and restated employment agreement, Mr. Patel is entitled to receive an annual base salary of at least $750,000, subject to increase from time to time by the Company and the opportunity to earn an annual performance-based bonus based on actual corporate and individual performance against established objectives for each calendar year, with a minimum target bonus opportunity of 60% of his annual base salary. In addition, if Mr. Patel's employment with us is terminated as a result of his death or disability, by the Company without Cause, or by</w:t>
      </w:r>
    </w:p>
    <w:p>
      <w:pPr>
        <w:spacing w:after="0" w:line="3"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Mr. Patel for Good Reason, whether or not in connection with a change in control, he will be entitled to receive (a) a lump sum payment equal to (i) 200% of the sum of his annual base salary and the target bonus for the year of termination plus (ii) $25,000 and (b) a prorated portion of his target bonus for the year of termination. Also, if the termination occurs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67" w:name="page168"/>
    <w:bookmarkEnd w:id="1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60"/>
        <w:spacing w:after="0" w:line="237" w:lineRule="auto"/>
        <w:rPr>
          <w:sz w:val="20"/>
          <w:szCs w:val="20"/>
          <w:color w:val="auto"/>
        </w:rPr>
      </w:pPr>
      <w:r>
        <w:rPr>
          <w:rFonts w:ascii="Arial" w:cs="Arial" w:eastAsia="Arial" w:hAnsi="Arial"/>
          <w:sz w:val="16"/>
          <w:szCs w:val="16"/>
          <w:color w:val="auto"/>
        </w:rPr>
        <w:t>other than during the 12-month period following a change in control, Mr. Patel will be entitled to accelerated vesting of all of his then-unvested time-vesting equity that would have, absent termination, become vested within 18 months following termination, or if the termination occurs during the 12-month period following a change in control, Mr. Patel will be entitled to full accelerated vesting of all of his then-unvested time-vesting equity. Mr. Patel's right to receive these severance payments and benefits is subject to his execution and non-revocation of a release of claims for the benefit of the Company and his compliance with certain confidentiality obligations and restrictive covenants.</w:t>
      </w:r>
    </w:p>
    <w:p>
      <w:pPr>
        <w:spacing w:after="0" w:line="189"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In the event of a change in control, Mr. Patel will become immediately 100% fully vested in each time-vesting equity award granted to him that is not assumed or substituted for in the change in control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Mahoney</w:t>
      </w:r>
    </w:p>
    <w:p>
      <w:pPr>
        <w:spacing w:after="0" w:line="210" w:lineRule="exact"/>
        <w:rPr>
          <w:sz w:val="20"/>
          <w:szCs w:val="20"/>
          <w:color w:val="auto"/>
        </w:rPr>
      </w:pPr>
    </w:p>
    <w:p>
      <w:pPr>
        <w:ind w:right="140" w:firstLine="433"/>
        <w:spacing w:after="0" w:line="251" w:lineRule="auto"/>
        <w:rPr>
          <w:sz w:val="20"/>
          <w:szCs w:val="20"/>
          <w:color w:val="auto"/>
        </w:rPr>
      </w:pPr>
      <w:r>
        <w:rPr>
          <w:rFonts w:ascii="Arial" w:cs="Arial" w:eastAsia="Arial" w:hAnsi="Arial"/>
          <w:sz w:val="15"/>
          <w:szCs w:val="15"/>
          <w:color w:val="auto"/>
        </w:rPr>
        <w:t>The term of our amended and restated employment agreement with Mr. Mahoney lasts until either the Company or Mr. Mahoney terminates his employment by giving notice to the other party or his employment terminates due to his death. Pursuant to the amended and restated employment agreement, Mr. Mahoney is entitled to receive an annual base salary of $442,260, subject to change from time to time by the Company, and the opportunity to earn an annual performance-based bonus, with an initial target bonus opportunity of 40% of his annual base salary. In addition, if Mr. Mahoney's employment with us is terminated as a result of his death or disability, by the Company without Cause, or by Mr. Mahoney for Good Reason, he will be entitled to receive (a) a lump sum payment equal to his annual base salary plus $16,500, (b) a prorated portion (or, if the termination occurs during the 12 months following a change in control, 100%) of his target bonus for the year of termination and (c) accelerated vesting of all of his then-unvested time-vesting equity that would have, absent termination, become vested within</w:t>
      </w:r>
    </w:p>
    <w:p>
      <w:pPr>
        <w:spacing w:after="0" w:line="4" w:lineRule="exact"/>
        <w:rPr>
          <w:sz w:val="20"/>
          <w:szCs w:val="20"/>
          <w:color w:val="auto"/>
        </w:rPr>
      </w:pPr>
    </w:p>
    <w:p>
      <w:pPr>
        <w:jc w:val="both"/>
        <w:ind w:right="80"/>
        <w:spacing w:after="0" w:line="239" w:lineRule="auto"/>
        <w:rPr>
          <w:sz w:val="20"/>
          <w:szCs w:val="20"/>
          <w:color w:val="auto"/>
        </w:rPr>
      </w:pPr>
      <w:r>
        <w:rPr>
          <w:rFonts w:ascii="Arial" w:cs="Arial" w:eastAsia="Arial" w:hAnsi="Arial"/>
          <w:sz w:val="16"/>
          <w:szCs w:val="16"/>
          <w:color w:val="auto"/>
        </w:rPr>
        <w:t>12 months following termination (or, if the termination occurs during the 12 months following a change in control, full accelerated vesting of all of his then-unvested time-vesting equity). Mr. Mahoney's right to receive these severance payments and benefits is subject to his execution and non-revocation of a release of claims for the benefit of the Company and his compliance with certain confidentiality obligations and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 F. Paolini, M.D., Ph.D.</w:t>
      </w:r>
    </w:p>
    <w:p>
      <w:pPr>
        <w:spacing w:after="0" w:line="210"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The term of our amended and restated employment agreement with Dr. Paolini lasts until either the Company or Dr. Paolini terminates his employment by giving notice to the other party or his employment terminates due to his death. Pursuant to the amended and restated employment agreement, Dr. Paolini is entitled to receive an annual base salary of $420,000, subject to change from time to time by the Company, and the opportunity to earn a discretionary performance-based bonus, with a target bonus opportunity of 30% of his annual base salary. In addition, if Dr. Paolini's employment with us is terminated as a result of his death or disability or without Cause, he will be entitled to receive (a) a lump sum payment that is equivalent to 9 months of his annual base salary (or, if the termination occurs during the 12 months following a change in control, a lump sum payment that is equivalent to 12 months of his annual base salary) plus $16,500, (b) a prorated portion (or, if the termination occurs during the 12 months following a change in control, 100%) of his target bonus for the year of termination and (c) accelerated vesting of all of his then-unvested time-vesting equity that would have, absent termination, become vested within 12 months following termination (or, if the termination occurs during the 12 months following a change in control, full accelerated vesting of all of his then-unvested time-vesting equity). Dr. Paolini's right to receive these severance payments and benefits is subject to his execution and non-revocation of a release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68" w:name="page169"/>
    <w:bookmarkEnd w:id="1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of claims for the benefit of the Company and his compliance with certain confidentiality obligations and restrictive covenants.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used in the executive employment agreements, the following capitalized terms generally have the following meanings:</w:t>
      </w:r>
    </w:p>
    <w:p>
      <w:pPr>
        <w:spacing w:after="0" w:line="190" w:lineRule="exact"/>
        <w:rPr>
          <w:sz w:val="20"/>
          <w:szCs w:val="20"/>
          <w:color w:val="auto"/>
        </w:rPr>
      </w:pPr>
    </w:p>
    <w:p>
      <w:pPr>
        <w:ind w:left="960" w:right="100" w:hanging="481"/>
        <w:spacing w:after="0" w:line="237" w:lineRule="auto"/>
        <w:tabs>
          <w:tab w:leader="none" w:pos="9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term Cause generally means (i) gross negligence or willful misconduct in performance of the named executive officer's duties which results in material damage to us; (ii) the commission of any act of fraud, embezzlement or professional dishonesty with respect to our business; (iii) the commission of a felony or crime involving moral turpitude; (iv) the material breach of any provision of the executive employment agreement or any other written agreement between the named executive officer and us; or (v) the failure to comply with our lawful directives, which results in damage to us.</w:t>
      </w:r>
    </w:p>
    <w:p>
      <w:pPr>
        <w:spacing w:after="0" w:line="189" w:lineRule="exact"/>
        <w:rPr>
          <w:rFonts w:ascii="Arial" w:cs="Arial" w:eastAsia="Arial" w:hAnsi="Arial"/>
          <w:sz w:val="16"/>
          <w:szCs w:val="16"/>
          <w:color w:val="auto"/>
        </w:rPr>
      </w:pPr>
    </w:p>
    <w:p>
      <w:pPr>
        <w:ind w:left="960" w:right="100" w:hanging="481"/>
        <w:spacing w:after="0" w:line="237" w:lineRule="auto"/>
        <w:tabs>
          <w:tab w:leader="none" w:pos="9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term Good Reason generally means the occurrence of any of the following events without the named executive officer's written consent: (i) a demotion or, in the case of Mr. Patel only, the assignment of duties materially inconsistent with his title, position, status, reporting relationships, authority, duties or responsibilities with us; (ii) a requirement that the named executive officer relocate his primary reporting location to a location more than fifty (50) miles from our offices in Lexington, Massachusetts; (iii) our breach of the executive employment agreement with the named executive officer; (iv) our failure to comply with the provisions addressing each named executive officer's compensation and benefits, including the base salary, bonus compensation, and annual vacation, other than insubstantial or inadvertent failures not in bad faith that we remedy promptly after receiving notice thereof; (v) for Mr. Patel only, a material diminution in the budget over which he has responsibility; or (vi) for Mr. Mahoney only, a reduction of more than five percent of his base salary other than in connection with a reduction of similar magnitude to the base salaries of employees who are similarly situated.</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Director Compensation</w:t>
      </w:r>
    </w:p>
    <w:p>
      <w:pPr>
        <w:spacing w:after="0" w:line="210" w:lineRule="exact"/>
        <w:rPr>
          <w:sz w:val="20"/>
          <w:szCs w:val="20"/>
          <w:color w:val="auto"/>
        </w:rPr>
      </w:pPr>
    </w:p>
    <w:p>
      <w:pPr>
        <w:ind w:right="240" w:firstLine="436"/>
        <w:spacing w:after="0" w:line="239" w:lineRule="auto"/>
        <w:rPr>
          <w:sz w:val="20"/>
          <w:szCs w:val="20"/>
          <w:color w:val="auto"/>
        </w:rPr>
      </w:pPr>
      <w:r>
        <w:rPr>
          <w:rFonts w:ascii="Arial" w:cs="Arial" w:eastAsia="Arial" w:hAnsi="Arial"/>
          <w:sz w:val="16"/>
          <w:szCs w:val="16"/>
          <w:color w:val="auto"/>
        </w:rPr>
        <w:t>Directors who are also our employees or who are affiliated with one of our principal shareholders do not receive compensation for their service as directors. Our non-employee directors have historically received a cash payment of $10,000 per year, paid quarterly, and awards of our share options as compensation for their service as directors.</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2017 Director Compensation Table</w:t>
      </w:r>
    </w:p>
    <w:p>
      <w:pPr>
        <w:spacing w:after="0" w:line="210" w:lineRule="exact"/>
        <w:rPr>
          <w:sz w:val="20"/>
          <w:szCs w:val="20"/>
          <w:color w:val="auto"/>
        </w:rPr>
      </w:pPr>
    </w:p>
    <w:p>
      <w:pPr>
        <w:ind w:right="300" w:firstLine="433"/>
        <w:spacing w:after="0" w:line="241" w:lineRule="auto"/>
        <w:rPr>
          <w:sz w:val="20"/>
          <w:szCs w:val="20"/>
          <w:color w:val="auto"/>
        </w:rPr>
      </w:pPr>
      <w:r>
        <w:rPr>
          <w:rFonts w:ascii="Arial" w:cs="Arial" w:eastAsia="Arial" w:hAnsi="Arial"/>
          <w:sz w:val="16"/>
          <w:szCs w:val="16"/>
          <w:color w:val="auto"/>
        </w:rPr>
        <w:t>The following table sets forth in summary form information concerning the compensation that was earned by or paid to each of our non-employee directors during the year that ended December 31, 2017:</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Fees Earned</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Option</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180" w:type="dxa"/>
            <w:vAlign w:val="bottom"/>
            <w:gridSpan w:val="2"/>
          </w:tcPr>
          <w:p>
            <w:pPr>
              <w:jc w:val="right"/>
              <w:ind w:right="140"/>
              <w:spacing w:after="0" w:line="181" w:lineRule="exact"/>
              <w:rPr>
                <w:sz w:val="20"/>
                <w:szCs w:val="20"/>
                <w:color w:val="auto"/>
              </w:rPr>
            </w:pPr>
            <w:r>
              <w:rPr>
                <w:rFonts w:ascii="Arial" w:cs="Arial" w:eastAsia="Arial" w:hAnsi="Arial"/>
                <w:sz w:val="16"/>
                <w:szCs w:val="16"/>
                <w:b w:val="1"/>
                <w:bCs w:val="1"/>
                <w:color w:val="auto"/>
              </w:rPr>
              <w:t>or Paid in</w:t>
            </w:r>
          </w:p>
        </w:tc>
        <w:tc>
          <w:tcPr>
            <w:tcW w:w="820" w:type="dxa"/>
            <w:vAlign w:val="bottom"/>
            <w:gridSpan w:val="2"/>
          </w:tcPr>
          <w:p>
            <w:pPr>
              <w:jc w:val="right"/>
              <w:ind w:right="140"/>
              <w:spacing w:after="0" w:line="181" w:lineRule="exact"/>
              <w:rPr>
                <w:sz w:val="20"/>
                <w:szCs w:val="20"/>
                <w:color w:val="auto"/>
              </w:rPr>
            </w:pPr>
            <w:r>
              <w:rPr>
                <w:rFonts w:ascii="Arial" w:cs="Arial" w:eastAsia="Arial" w:hAnsi="Arial"/>
                <w:sz w:val="16"/>
                <w:szCs w:val="16"/>
                <w:b w:val="1"/>
                <w:bCs w:val="1"/>
                <w:color w:val="auto"/>
              </w:rPr>
              <w:t>Awards</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Cash ($)</w:t>
            </w:r>
          </w:p>
        </w:tc>
        <w:tc>
          <w:tcPr>
            <w:tcW w:w="820" w:type="dxa"/>
            <w:vAlign w:val="bottom"/>
            <w:gridSpan w:val="2"/>
          </w:tcPr>
          <w:p>
            <w:pPr>
              <w:jc w:val="right"/>
              <w:ind w:right="140"/>
              <w:spacing w:after="0" w:line="19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Total ($)</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12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Felix J. Baker, Ph.D.</w:t>
            </w:r>
          </w:p>
        </w:tc>
        <w:tc>
          <w:tcPr>
            <w:tcW w:w="11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r>
      <w:tr>
        <w:trPr>
          <w:trHeight w:val="181"/>
        </w:trPr>
        <w:tc>
          <w:tcPr>
            <w:tcW w:w="20" w:type="dxa"/>
            <w:vAlign w:val="bottom"/>
          </w:tcPr>
          <w:p>
            <w:pPr>
              <w:spacing w:after="0"/>
              <w:rPr>
                <w:sz w:val="15"/>
                <w:szCs w:val="15"/>
                <w:color w:val="auto"/>
              </w:rPr>
            </w:pPr>
          </w:p>
        </w:tc>
        <w:tc>
          <w:tcPr>
            <w:tcW w:w="5120" w:type="dxa"/>
            <w:vAlign w:val="bottom"/>
            <w:gridSpan w:val="3"/>
          </w:tcPr>
          <w:p>
            <w:pPr>
              <w:spacing w:after="0" w:line="181" w:lineRule="exact"/>
              <w:rPr>
                <w:sz w:val="20"/>
                <w:szCs w:val="20"/>
                <w:color w:val="auto"/>
              </w:rPr>
            </w:pPr>
            <w:r>
              <w:rPr>
                <w:rFonts w:ascii="Arial" w:cs="Arial" w:eastAsia="Arial" w:hAnsi="Arial"/>
                <w:sz w:val="16"/>
                <w:szCs w:val="16"/>
                <w:color w:val="auto"/>
              </w:rPr>
              <w:t>Stephen R. Biggar, M.D., Ph.D.</w:t>
            </w:r>
          </w:p>
        </w:tc>
        <w:tc>
          <w:tcPr>
            <w:tcW w:w="11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r>
      <w:tr>
        <w:trPr>
          <w:trHeight w:val="181"/>
        </w:trPr>
        <w:tc>
          <w:tcPr>
            <w:tcW w:w="20" w:type="dxa"/>
            <w:vAlign w:val="bottom"/>
            <w:shd w:val="clear" w:color="auto" w:fill="CCEEFF"/>
          </w:tcPr>
          <w:p>
            <w:pPr>
              <w:spacing w:after="0"/>
              <w:rPr>
                <w:sz w:val="15"/>
                <w:szCs w:val="15"/>
                <w:color w:val="auto"/>
              </w:rPr>
            </w:pPr>
          </w:p>
        </w:tc>
        <w:tc>
          <w:tcPr>
            <w:tcW w:w="51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Thomas R. Malley</w:t>
            </w:r>
          </w:p>
        </w:tc>
        <w:tc>
          <w:tcPr>
            <w:tcW w:w="11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10,000</w:t>
            </w:r>
          </w:p>
        </w:tc>
        <w:tc>
          <w:tcPr>
            <w:tcW w:w="8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68,625</w:t>
            </w:r>
          </w:p>
        </w:tc>
        <w:tc>
          <w:tcPr>
            <w:tcW w:w="86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78,625</w:t>
            </w:r>
          </w:p>
        </w:tc>
      </w:tr>
      <w:tr>
        <w:trPr>
          <w:trHeight w:val="191"/>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6"/>
                <w:szCs w:val="16"/>
                <w:color w:val="auto"/>
              </w:rPr>
              <w:t>Barry D. Quart, Pharm.D</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10,000</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68,625</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78,625</w:t>
            </w:r>
          </w:p>
        </w:tc>
      </w:tr>
      <w:tr>
        <w:trPr>
          <w:trHeight w:val="87"/>
        </w:trPr>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7" w:lineRule="exact"/>
        <w:rPr>
          <w:sz w:val="20"/>
          <w:szCs w:val="20"/>
          <w:color w:val="auto"/>
        </w:rPr>
      </w:pPr>
    </w:p>
    <w:p>
      <w:pPr>
        <w:ind w:left="2200" w:hanging="488"/>
        <w:spacing w:after="0" w:line="205" w:lineRule="auto"/>
        <w:tabs>
          <w:tab w:leader="none" w:pos="2200" w:val="left"/>
        </w:tabs>
        <w:numPr>
          <w:ilvl w:val="0"/>
          <w:numId w:val="90"/>
        </w:numPr>
        <w:rPr>
          <w:rFonts w:ascii="Arial" w:cs="Arial" w:eastAsia="Arial" w:hAnsi="Arial"/>
          <w:sz w:val="19"/>
          <w:szCs w:val="19"/>
          <w:color w:val="auto"/>
          <w:vertAlign w:val="superscript"/>
        </w:rPr>
      </w:pPr>
      <w:r>
        <w:rPr>
          <w:rFonts w:ascii="Arial" w:cs="Arial" w:eastAsia="Arial" w:hAnsi="Arial"/>
          <w:sz w:val="13"/>
          <w:szCs w:val="13"/>
          <w:color w:val="auto"/>
        </w:rPr>
        <w:t>Amounts reflect the full grant-date fair value of share options granted during 2017 computed in accordance with ASC Topic 718, rather than the amounts paid to or realized by the named individual. We provide information regarding the assumptions used to calculate the value of all option awards in Note 8 to our consolidated financial statements included in this prospectus.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9" w:name="page170"/>
    <w:bookmarkEnd w:id="1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following table sets forth the aggregate numbers of share options (exercisable and unexercisable) held as of December 31, 2017 by our non-employee directors as of December 31, 2017. Refer to our Outstanding Equity Awards at 2017 Fiscal Year End table for information regarding equity awards held by Mr. Patel as of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Option</w:t>
            </w:r>
          </w:p>
        </w:tc>
      </w:tr>
      <w:tr>
        <w:trPr>
          <w:trHeight w:val="174"/>
        </w:trPr>
        <w:tc>
          <w:tcPr>
            <w:tcW w:w="1720" w:type="dxa"/>
            <w:vAlign w:val="bottom"/>
          </w:tcPr>
          <w:p>
            <w:pPr>
              <w:spacing w:after="0"/>
              <w:rPr>
                <w:sz w:val="15"/>
                <w:szCs w:val="15"/>
                <w:color w:val="auto"/>
              </w:rPr>
            </w:pPr>
          </w:p>
        </w:tc>
        <w:tc>
          <w:tcPr>
            <w:tcW w:w="6880" w:type="dxa"/>
            <w:vAlign w:val="bottom"/>
            <w:gridSpan w:val="2"/>
          </w:tcPr>
          <w:p>
            <w:pPr>
              <w:spacing w:after="0" w:line="174" w:lineRule="exact"/>
              <w:rPr>
                <w:sz w:val="20"/>
                <w:szCs w:val="20"/>
                <w:color w:val="auto"/>
              </w:rPr>
            </w:pPr>
            <w:r>
              <w:rPr>
                <w:rFonts w:ascii="Arial" w:cs="Arial" w:eastAsia="Arial" w:hAnsi="Arial"/>
                <w:sz w:val="16"/>
                <w:szCs w:val="16"/>
                <w:b w:val="1"/>
                <w:bCs w:val="1"/>
                <w:color w:val="auto"/>
              </w:rPr>
              <w:t>Name</w:t>
            </w:r>
          </w:p>
        </w:tc>
        <w:tc>
          <w:tcPr>
            <w:tcW w:w="1100" w:type="dxa"/>
            <w:vAlign w:val="bottom"/>
            <w:gridSpan w:val="2"/>
          </w:tcPr>
          <w:p>
            <w:pPr>
              <w:jc w:val="right"/>
              <w:ind w:right="140"/>
              <w:spacing w:after="0" w:line="174" w:lineRule="exact"/>
              <w:rPr>
                <w:sz w:val="20"/>
                <w:szCs w:val="20"/>
                <w:color w:val="auto"/>
              </w:rPr>
            </w:pPr>
            <w:r>
              <w:rPr>
                <w:rFonts w:ascii="Arial" w:cs="Arial" w:eastAsia="Arial" w:hAnsi="Arial"/>
                <w:sz w:val="16"/>
                <w:szCs w:val="16"/>
                <w:b w:val="1"/>
                <w:bCs w:val="1"/>
                <w:color w:val="auto"/>
              </w:rPr>
              <w:t>Awards (#)</w:t>
            </w:r>
          </w:p>
        </w:tc>
      </w:tr>
      <w:tr>
        <w:trPr>
          <w:trHeight w:val="20"/>
        </w:trPr>
        <w:tc>
          <w:tcPr>
            <w:tcW w:w="17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9"/>
        </w:trPr>
        <w:tc>
          <w:tcPr>
            <w:tcW w:w="1720" w:type="dxa"/>
            <w:vAlign w:val="bottom"/>
            <w:tcBorders>
              <w:right w:val="single" w:sz="8" w:color="CCEEFF"/>
            </w:tcBorders>
          </w:tcPr>
          <w:p>
            <w:pPr>
              <w:spacing w:after="0"/>
              <w:rPr>
                <w:sz w:val="14"/>
                <w:szCs w:val="14"/>
                <w:color w:val="auto"/>
              </w:rPr>
            </w:pPr>
          </w:p>
        </w:tc>
        <w:tc>
          <w:tcPr>
            <w:tcW w:w="68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Felix J. Baker, Ph.D.</w:t>
            </w:r>
          </w:p>
        </w:tc>
        <w:tc>
          <w:tcPr>
            <w:tcW w:w="110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r>
      <w:tr>
        <w:trPr>
          <w:trHeight w:val="181"/>
        </w:trPr>
        <w:tc>
          <w:tcPr>
            <w:tcW w:w="1720" w:type="dxa"/>
            <w:vAlign w:val="bottom"/>
          </w:tcPr>
          <w:p>
            <w:pPr>
              <w:spacing w:after="0"/>
              <w:rPr>
                <w:sz w:val="15"/>
                <w:szCs w:val="15"/>
                <w:color w:val="auto"/>
              </w:rPr>
            </w:pPr>
          </w:p>
        </w:tc>
        <w:tc>
          <w:tcPr>
            <w:tcW w:w="6880" w:type="dxa"/>
            <w:vAlign w:val="bottom"/>
            <w:gridSpan w:val="2"/>
          </w:tcPr>
          <w:p>
            <w:pPr>
              <w:spacing w:after="0" w:line="181" w:lineRule="exact"/>
              <w:rPr>
                <w:sz w:val="20"/>
                <w:szCs w:val="20"/>
                <w:color w:val="auto"/>
              </w:rPr>
            </w:pPr>
            <w:r>
              <w:rPr>
                <w:rFonts w:ascii="Arial" w:cs="Arial" w:eastAsia="Arial" w:hAnsi="Arial"/>
                <w:sz w:val="16"/>
                <w:szCs w:val="16"/>
                <w:color w:val="auto"/>
              </w:rPr>
              <w:t>Stephen R. Biggar, M.D., Ph.D.</w:t>
            </w:r>
          </w:p>
        </w:tc>
        <w:tc>
          <w:tcPr>
            <w:tcW w:w="110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r>
      <w:tr>
        <w:trPr>
          <w:trHeight w:val="181"/>
        </w:trPr>
        <w:tc>
          <w:tcPr>
            <w:tcW w:w="1720" w:type="dxa"/>
            <w:vAlign w:val="bottom"/>
            <w:tcBorders>
              <w:right w:val="single" w:sz="8" w:color="CCEEFF"/>
            </w:tcBorders>
          </w:tcPr>
          <w:p>
            <w:pPr>
              <w:spacing w:after="0"/>
              <w:rPr>
                <w:sz w:val="15"/>
                <w:szCs w:val="15"/>
                <w:color w:val="auto"/>
              </w:rPr>
            </w:pPr>
          </w:p>
        </w:tc>
        <w:tc>
          <w:tcPr>
            <w:tcW w:w="68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Thomas R. Malley</w:t>
            </w:r>
          </w:p>
        </w:tc>
        <w:tc>
          <w:tcPr>
            <w:tcW w:w="11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49,407</w:t>
            </w:r>
          </w:p>
        </w:tc>
      </w:tr>
      <w:tr>
        <w:trPr>
          <w:trHeight w:val="191"/>
        </w:trPr>
        <w:tc>
          <w:tcPr>
            <w:tcW w:w="172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Arial" w:cs="Arial" w:eastAsia="Arial" w:hAnsi="Arial"/>
                <w:sz w:val="16"/>
                <w:szCs w:val="16"/>
                <w:color w:val="auto"/>
              </w:rPr>
              <w:t>Barry D. Quart, Pharm.D</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49,407</w:t>
            </w:r>
          </w:p>
        </w:tc>
      </w:tr>
      <w:tr>
        <w:trPr>
          <w:trHeight w:val="374"/>
        </w:trPr>
        <w:tc>
          <w:tcPr>
            <w:tcW w:w="8600" w:type="dxa"/>
            <w:vAlign w:val="bottom"/>
            <w:gridSpan w:val="3"/>
          </w:tcPr>
          <w:p>
            <w:pPr>
              <w:spacing w:after="0"/>
              <w:rPr>
                <w:sz w:val="20"/>
                <w:szCs w:val="20"/>
                <w:color w:val="auto"/>
              </w:rPr>
            </w:pPr>
            <w:r>
              <w:rPr>
                <w:rFonts w:ascii="Arial" w:cs="Arial" w:eastAsia="Arial" w:hAnsi="Arial"/>
                <w:sz w:val="16"/>
                <w:szCs w:val="16"/>
                <w:b w:val="1"/>
                <w:bCs w:val="1"/>
                <w:color w:val="auto"/>
              </w:rPr>
              <w:t>Recent Developments Regarding Director Compensation</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6" w:lineRule="exact"/>
        <w:rPr>
          <w:sz w:val="20"/>
          <w:szCs w:val="20"/>
          <w:color w:val="auto"/>
        </w:rPr>
      </w:pPr>
    </w:p>
    <w:p>
      <w:pPr>
        <w:ind w:right="180" w:firstLine="436"/>
        <w:spacing w:after="0" w:line="258" w:lineRule="auto"/>
        <w:rPr>
          <w:sz w:val="20"/>
          <w:szCs w:val="20"/>
          <w:color w:val="auto"/>
        </w:rPr>
      </w:pPr>
      <w:r>
        <w:rPr>
          <w:rFonts w:ascii="Arial" w:cs="Arial" w:eastAsia="Arial" w:hAnsi="Arial"/>
          <w:sz w:val="15"/>
          <w:szCs w:val="15"/>
          <w:color w:val="auto"/>
        </w:rPr>
        <w:t>In May 2018, in anticipation of this offering, our board of directors approved the following grants of options to purchase Class A common shares for our non-employee directors, effective on the date that the registration statement of which this prospectus forms a part becomes effective: Felix J. Baker: 18,760 shares; Stephen R. Biggar: 18,760 shares. The options will have an exercise price equal to the initial public offering price of our common shares and will generally vest in twelve equal monthly installments occurring on the individual's completion of each month of service to the Company following the effective date of grant.</w:t>
      </w:r>
    </w:p>
    <w:p>
      <w:pPr>
        <w:spacing w:after="0" w:line="175" w:lineRule="exact"/>
        <w:rPr>
          <w:sz w:val="20"/>
          <w:szCs w:val="20"/>
          <w:color w:val="auto"/>
        </w:rPr>
      </w:pPr>
    </w:p>
    <w:p>
      <w:pPr>
        <w:ind w:right="40" w:firstLine="436"/>
        <w:spacing w:after="0" w:line="239" w:lineRule="auto"/>
        <w:rPr>
          <w:sz w:val="20"/>
          <w:szCs w:val="20"/>
          <w:color w:val="auto"/>
        </w:rPr>
      </w:pPr>
      <w:r>
        <w:rPr>
          <w:rFonts w:ascii="Arial" w:cs="Arial" w:eastAsia="Arial" w:hAnsi="Arial"/>
          <w:sz w:val="16"/>
          <w:szCs w:val="16"/>
          <w:color w:val="auto"/>
        </w:rPr>
        <w:t>In addition, effective on the effectiveness of the registration statement of which this prospectus forms a part, our board of directors adopted and, prior to commencing this offering, our shareholders approved a compensation program for our non-employee directors under which each non-employee director will receive the following amounts for their services on our board of directors:</w:t>
      </w:r>
    </w:p>
    <w:p>
      <w:pPr>
        <w:spacing w:after="0" w:line="186" w:lineRule="exact"/>
        <w:rPr>
          <w:sz w:val="20"/>
          <w:szCs w:val="20"/>
          <w:color w:val="auto"/>
        </w:rPr>
      </w:pPr>
    </w:p>
    <w:p>
      <w:pPr>
        <w:ind w:left="960" w:right="100" w:hanging="481"/>
        <w:spacing w:after="0" w:line="241" w:lineRule="auto"/>
        <w:tabs>
          <w:tab w:leader="none" w:pos="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 option to purchase 37,965 Class A common shares upon the director's initial election or appointment to our board of directors that occurs after our initial public offering,</w:t>
      </w:r>
    </w:p>
    <w:p>
      <w:pPr>
        <w:spacing w:after="0" w:line="185" w:lineRule="exact"/>
        <w:rPr>
          <w:rFonts w:ascii="Arial" w:cs="Arial" w:eastAsia="Arial" w:hAnsi="Arial"/>
          <w:sz w:val="16"/>
          <w:szCs w:val="16"/>
          <w:color w:val="auto"/>
        </w:rPr>
      </w:pPr>
    </w:p>
    <w:p>
      <w:pPr>
        <w:ind w:left="960" w:right="160" w:hanging="481"/>
        <w:spacing w:after="0" w:line="241" w:lineRule="auto"/>
        <w:tabs>
          <w:tab w:leader="none" w:pos="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director has served on our board of directors for at least six months as of the date of an annual meeting of shareholders, an option to purchase 18,760 Class A common shares on the date of the annual meeting,</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 annual director fee of $35,000,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director serves on a committee of our board of directors or in the other capacities stated below, an additional annual fee as follows:</w:t>
      </w:r>
    </w:p>
    <w:p>
      <w:pPr>
        <w:spacing w:after="0" w:line="382"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chairman of the board or lead independent director, $22,500,</w:t>
      </w:r>
    </w:p>
    <w:p>
      <w:pPr>
        <w:spacing w:after="0" w:line="177"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chairman of the audit committee, $15,000,</w:t>
      </w:r>
    </w:p>
    <w:p>
      <w:pPr>
        <w:spacing w:after="0" w:line="177"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audit committee member other than the chairman, $7,500,</w:t>
      </w:r>
    </w:p>
    <w:p>
      <w:pPr>
        <w:spacing w:after="0" w:line="189"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chairman of the compensation committee, $10,000,</w:t>
      </w:r>
    </w:p>
    <w:p>
      <w:pPr>
        <w:spacing w:after="0" w:line="177"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compensation committee member other than the chairman, $5,000,</w:t>
      </w:r>
    </w:p>
    <w:p>
      <w:pPr>
        <w:spacing w:after="0" w:line="177"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chairman of the nominating and corporate governance committee, $8,000, and</w:t>
      </w:r>
    </w:p>
    <w:p>
      <w:pPr>
        <w:spacing w:after="0" w:line="189" w:lineRule="exact"/>
        <w:rPr>
          <w:rFonts w:ascii="Arial" w:cs="Arial" w:eastAsia="Arial" w:hAnsi="Arial"/>
          <w:sz w:val="16"/>
          <w:szCs w:val="16"/>
          <w:color w:val="auto"/>
        </w:rPr>
      </w:pPr>
    </w:p>
    <w:p>
      <w:pPr>
        <w:ind w:left="1440" w:hanging="479"/>
        <w:spacing w:after="0"/>
        <w:tabs>
          <w:tab w:leader="none" w:pos="14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nominating and corporate governance committee member other than the chairman, $4,000.</w:t>
      </w:r>
    </w:p>
    <w:p>
      <w:pPr>
        <w:spacing w:after="0" w:line="190" w:lineRule="exact"/>
        <w:rPr>
          <w:sz w:val="20"/>
          <w:szCs w:val="20"/>
          <w:color w:val="auto"/>
        </w:rPr>
      </w:pPr>
    </w:p>
    <w:p>
      <w:pPr>
        <w:ind w:right="340" w:firstLine="436"/>
        <w:spacing w:after="0" w:line="241" w:lineRule="auto"/>
        <w:rPr>
          <w:sz w:val="20"/>
          <w:szCs w:val="20"/>
          <w:color w:val="auto"/>
        </w:rPr>
      </w:pPr>
      <w:r>
        <w:rPr>
          <w:rFonts w:ascii="Arial" w:cs="Arial" w:eastAsia="Arial" w:hAnsi="Arial"/>
          <w:sz w:val="16"/>
          <w:szCs w:val="16"/>
          <w:color w:val="auto"/>
        </w:rPr>
        <w:t>Share options granted to our non-employee directors under the program will have an exercise price equal to the fair market value of our Class A common shares on the date of grant and will expire not later than ten years after the date of grant. The share options granted upon a director's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70" w:name="page171"/>
    <w:bookmarkEnd w:id="1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0"/>
        <w:spacing w:after="0" w:line="258" w:lineRule="auto"/>
        <w:rPr>
          <w:sz w:val="20"/>
          <w:szCs w:val="20"/>
          <w:color w:val="auto"/>
        </w:rPr>
      </w:pPr>
      <w:r>
        <w:rPr>
          <w:rFonts w:ascii="Arial" w:cs="Arial" w:eastAsia="Arial" w:hAnsi="Arial"/>
          <w:sz w:val="15"/>
          <w:szCs w:val="15"/>
          <w:color w:val="auto"/>
        </w:rPr>
        <w:t>initial election or appointment will vest and become exercisable as to one-third of the shares on the first anniversary of the date of grant and as to the remainder in twenty-four substantially equal monthly installments thereafter, subject to the director continuing in service through each such vesting date. The share options granted annually to directors will vest and become effective in twelve substantially equal monthly installments following the date of grant, subject to the director continuing in service through each such vesting date. In addition, all unvested share options will vest in full upon the occurrence of a change in control.</w:t>
      </w:r>
    </w:p>
    <w:p>
      <w:pPr>
        <w:spacing w:after="0" w:line="175" w:lineRule="exact"/>
        <w:rPr>
          <w:sz w:val="20"/>
          <w:szCs w:val="20"/>
          <w:color w:val="auto"/>
        </w:rPr>
      </w:pPr>
    </w:p>
    <w:p>
      <w:pPr>
        <w:ind w:right="100" w:firstLine="436"/>
        <w:spacing w:after="0" w:line="239" w:lineRule="auto"/>
        <w:rPr>
          <w:sz w:val="20"/>
          <w:szCs w:val="20"/>
          <w:color w:val="auto"/>
        </w:rPr>
      </w:pPr>
      <w:r>
        <w:rPr>
          <w:rFonts w:ascii="Arial" w:cs="Arial" w:eastAsia="Arial" w:hAnsi="Arial"/>
          <w:sz w:val="16"/>
          <w:szCs w:val="16"/>
          <w:color w:val="auto"/>
        </w:rPr>
        <w:t>Director fees under the program will be payable in arrears in four equal quarterly installments not later than the fifteenth day following the final day of each calendar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Plans</w:t>
      </w:r>
    </w:p>
    <w:p>
      <w:pPr>
        <w:spacing w:after="0" w:line="210" w:lineRule="exact"/>
        <w:rPr>
          <w:sz w:val="20"/>
          <w:szCs w:val="20"/>
          <w:color w:val="auto"/>
        </w:rPr>
      </w:pPr>
    </w:p>
    <w:p>
      <w:pPr>
        <w:ind w:right="20" w:firstLine="433"/>
        <w:spacing w:after="0" w:line="239" w:lineRule="auto"/>
        <w:rPr>
          <w:sz w:val="20"/>
          <w:szCs w:val="20"/>
          <w:color w:val="auto"/>
        </w:rPr>
      </w:pPr>
      <w:r>
        <w:rPr>
          <w:rFonts w:ascii="Arial" w:cs="Arial" w:eastAsia="Arial" w:hAnsi="Arial"/>
          <w:sz w:val="16"/>
          <w:szCs w:val="16"/>
          <w:color w:val="auto"/>
        </w:rPr>
        <w:t>The following summarizes the material terms of the long-term incentive compensation plans in which our named executive officers and directors will be eligible to participate following the consummation of this offering, and the 2015 Plan, under which we have previously made periodic grants of equity and equity-based awards to our named executive officers and directors.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2015 Equity Incentive Plan</w:t>
      </w:r>
    </w:p>
    <w:p>
      <w:pPr>
        <w:spacing w:after="0" w:line="208" w:lineRule="exact"/>
        <w:rPr>
          <w:sz w:val="20"/>
          <w:szCs w:val="20"/>
          <w:color w:val="auto"/>
        </w:rPr>
      </w:pPr>
    </w:p>
    <w:p>
      <w:pPr>
        <w:ind w:right="260" w:firstLine="436"/>
        <w:spacing w:after="0" w:line="237" w:lineRule="auto"/>
        <w:rPr>
          <w:sz w:val="20"/>
          <w:szCs w:val="20"/>
          <w:color w:val="auto"/>
        </w:rPr>
      </w:pPr>
      <w:r>
        <w:rPr>
          <w:rFonts w:ascii="Arial" w:cs="Arial" w:eastAsia="Arial" w:hAnsi="Arial"/>
          <w:sz w:val="16"/>
          <w:szCs w:val="16"/>
          <w:color w:val="auto"/>
        </w:rPr>
        <w:t>Our board of directors and shareholders have approved the 2015 Plan, under which we may grant share options, share grants and share-based awards to employees, directors and consultants. We have reserved a total of 4,794,266 of our Class A common shares for issuance under the 2015 Plan. Following the effectiveness of the 2018 Plan, we will not make any further grants under the 2015 Plan and as of the date of this prospectus, only share options are outstanding under the plan. However, the 2015 Plan will continue to govern the terms and conditions of the outstanding awards granted under it. Our Class A common shares subject to awards granted under the 2015 Plan that are forfeited, lapse unexercised or are settled in cash following the effective date of the 2018 Plan will be available for issuance under the 2018 Plan.</w:t>
      </w:r>
    </w:p>
    <w:p>
      <w:pPr>
        <w:spacing w:after="0" w:line="172" w:lineRule="exact"/>
        <w:rPr>
          <w:sz w:val="20"/>
          <w:szCs w:val="20"/>
          <w:color w:val="auto"/>
        </w:rPr>
      </w:pPr>
    </w:p>
    <w:p>
      <w:pPr>
        <w:ind w:firstLine="430"/>
        <w:spacing w:after="0"/>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administers the 2015 Plan and has the authority to interpret the provisions of the 2015 Plan and awards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 to make all rules and determinations which it deems necessary or advisable for the administration of the 2015 Plan, to determine which employees, directors and consultants will be granted awards, to determine the number of shares for which awards will be granted, to specify the terms and conditions upon which awards can be granted, to specify the terms and conditions of award agreements under the 2015 Plan, and to make all other determinations in the judgment of the board of directors that are necessary and desirable for the administration of the 2015 Plan. The board of directors may delegate its authority under the 2015 Plan to a committee. Following the effectiveness of this offering, we anticipate that the board of directors will delegate its general administrative authority under the 2015 Plan to its Compensation Committee.</w:t>
      </w:r>
    </w:p>
    <w:p>
      <w:pPr>
        <w:spacing w:after="0" w:line="172" w:lineRule="exact"/>
        <w:rPr>
          <w:sz w:val="20"/>
          <w:szCs w:val="20"/>
          <w:color w:val="auto"/>
        </w:rPr>
      </w:pPr>
    </w:p>
    <w:p>
      <w:pPr>
        <w:jc w:val="both"/>
        <w:ind w:right="360" w:firstLine="436"/>
        <w:spacing w:after="0" w:line="273"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2015 Plan provides for the grant of share options, including share options intended to qualify as incentive stock options, or ISOs,</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U.S. Internal Revenue Code of 1986, as amended, or the Code, share grants and share-based awards to employees, directors and consultants of the company or its affiliates, except that share options intended to qualify as ISOs may only be granted to employees who are residents of the United States.</w:t>
      </w:r>
    </w:p>
    <w:p>
      <w:pPr>
        <w:spacing w:after="0" w:line="147" w:lineRule="exact"/>
        <w:rPr>
          <w:sz w:val="20"/>
          <w:szCs w:val="20"/>
          <w:color w:val="auto"/>
        </w:rPr>
      </w:pPr>
    </w:p>
    <w:p>
      <w:pPr>
        <w:ind w:right="200" w:firstLine="436"/>
        <w:spacing w:after="0" w:line="262" w:lineRule="auto"/>
        <w:rPr>
          <w:sz w:val="20"/>
          <w:szCs w:val="20"/>
          <w:color w:val="auto"/>
        </w:rPr>
      </w:pPr>
      <w:r>
        <w:rPr>
          <w:rFonts w:ascii="Arial" w:cs="Arial" w:eastAsia="Arial" w:hAnsi="Arial"/>
          <w:sz w:val="16"/>
          <w:szCs w:val="16"/>
          <w:i w:val="1"/>
          <w:iCs w:val="1"/>
          <w:color w:val="auto"/>
        </w:rPr>
        <w:t xml:space="preserve">Certain Transactions. </w:t>
      </w:r>
      <w:r>
        <w:rPr>
          <w:rFonts w:ascii="Arial" w:cs="Arial" w:eastAsia="Arial" w:hAnsi="Arial"/>
          <w:sz w:val="16"/>
          <w:szCs w:val="16"/>
          <w:color w:val="auto"/>
        </w:rPr>
        <w:t>If certain changes are made in, or events occur with respect to, our Class A common shares, the 2015 Plan and outstanding awards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adjusted in the class,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1" w:name="page172"/>
    <w:bookmarkEnd w:id="1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number and, as applicable, exercise price of securities as determined by the board of directors. In the event of certain corporate transactions of our company, including an amalgamation, consolidation, merger or sale of all or substantially all of our assets, our board or the board of directors of any corporation assuming the obligations under the 2015 Plan, may, in its discretion, take any one or more of the following actions, as to some or all options or share-based awards outstanding under the 2015 Plan (and need not take the same action as to each such option or share-based award): (i) make appropriate provisions for the continuation of options by substituting on an equitable basis for the shares then subject to options either the consideration payable with respect to the outstanding Class A common shares or securities of any successor or acquiring entity; (ii) upon written notice to the participants, provide that the options will terminate unless they are exercised within a specified number of days of the date of such notice; (iii) terminate the options in exchange for payment of an amount equal to the consideration payable upon consummation of such transaction to a holder of the number of Class A common shares into which such option would have been exercisable, less the aggregate exercise price; (iv) make appropriate provision for the continuation of such share grants on the same terms and conditions by substituting on an equitable basis for the shares then subject to the share grants either the consideration payable with respect to such outstanding shares in connection with the transaction or securities of any successor or acquiring entity; and (v) provide that, upon consummation of the transaction, each outstanding share grant shall be terminated in exchange for a payment of an amount equal to the consideration payable upon consummation of such transaction to a holder of the number of Class A common shares comprising the share grant.</w:t>
      </w:r>
    </w:p>
    <w:p>
      <w:pPr>
        <w:spacing w:after="0" w:line="177" w:lineRule="exact"/>
        <w:rPr>
          <w:sz w:val="20"/>
          <w:szCs w:val="20"/>
          <w:color w:val="auto"/>
        </w:rPr>
      </w:pPr>
    </w:p>
    <w:p>
      <w:pPr>
        <w:ind w:right="100" w:firstLine="430"/>
        <w:spacing w:after="0" w:line="242"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The board of directors may terminate, modify or amend the 2015 Plan from time to time, provided that any amendment or</w:t>
      </w:r>
      <w:r>
        <w:rPr>
          <w:rFonts w:ascii="Arial" w:cs="Arial" w:eastAsia="Arial" w:hAnsi="Arial"/>
          <w:sz w:val="16"/>
          <w:szCs w:val="16"/>
          <w:i w:val="1"/>
          <w:iCs w:val="1"/>
          <w:color w:val="auto"/>
        </w:rPr>
        <w:t xml:space="preserve"> </w:t>
      </w:r>
      <w:r>
        <w:rPr>
          <w:rFonts w:ascii="Arial" w:cs="Arial" w:eastAsia="Arial" w:hAnsi="Arial"/>
          <w:sz w:val="16"/>
          <w:szCs w:val="16"/>
          <w:color w:val="auto"/>
        </w:rPr>
        <w:t>modification may not adversely affect the rights of a holder of an outstanding award without such holder's consent. The board of directors may amend or modify the 2015 Plan and any outstanding ISOs to the extent necessary to qualify any or all such options for favorable federal income tax treatment; however, any amendment approved by the board of directors which is determined to be of a scope that requires shareholder approval will be subject to obtaining such approval before taking effect.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2018 Incentive Award Plan</w:t>
      </w:r>
    </w:p>
    <w:p>
      <w:pPr>
        <w:spacing w:after="0" w:line="208" w:lineRule="exact"/>
        <w:rPr>
          <w:sz w:val="20"/>
          <w:szCs w:val="20"/>
          <w:color w:val="auto"/>
        </w:rPr>
      </w:pPr>
    </w:p>
    <w:p>
      <w:pPr>
        <w:jc w:val="both"/>
        <w:ind w:right="120" w:firstLine="436"/>
        <w:spacing w:after="0" w:line="239" w:lineRule="auto"/>
        <w:rPr>
          <w:sz w:val="20"/>
          <w:szCs w:val="20"/>
          <w:color w:val="auto"/>
        </w:rPr>
      </w:pPr>
      <w:r>
        <w:rPr>
          <w:rFonts w:ascii="Arial" w:cs="Arial" w:eastAsia="Arial" w:hAnsi="Arial"/>
          <w:sz w:val="16"/>
          <w:szCs w:val="16"/>
          <w:color w:val="auto"/>
        </w:rPr>
        <w:t>Our board of directors adopted and our shareholders have approved, effective the day prior to the first public trading date of our Class A common shares, the 2018 Plan, under which we may grant cash and equity-based incentive awards to eligible service providers in order to attract, retain and motivate the persons who make important contributions to our company. The material terms of the 2018 Plan are summarized below.</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Eligibility and Administration</w:t>
      </w:r>
    </w:p>
    <w:p>
      <w:pPr>
        <w:spacing w:after="0" w:line="20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employees, consultants and directors, and employees and consultants of our subsidiaries, will be eligible to receive awards under the 2018 Plan. The 2018 Plan will be administered by our board of directors, which may delegate its duties and responsibilities to one or more committees of our directors and/or officers (referred to collectively as the plan administrator below), subject to the limitations imposed under the 2018 Plan, Section 16 of the Exchange Act, stock exchange rules and other applicable laws. The plan administrator will have the authority to take all actions and make all determinations under the 2018 Plan, to interpret the 2018 Plan and award agreements and to adopt, amend and repeal rules for the administration of the 2018 Plan as it deems advisable. The plan administrator will also have the authority to grant awards, determine which eligible service providers receive awards, and set the terms and conditions of all awards under the 2018 Plan, including any vesting and vesting acceleration provisions, subject to the conditions and limitations in the 2018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2" w:name="page173"/>
    <w:bookmarkEnd w:id="1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Shares Available for Awards</w:t>
      </w:r>
    </w:p>
    <w:p>
      <w:pPr>
        <w:spacing w:after="0" w:line="206" w:lineRule="exact"/>
        <w:rPr>
          <w:sz w:val="20"/>
          <w:szCs w:val="20"/>
          <w:color w:val="auto"/>
        </w:rPr>
      </w:pPr>
    </w:p>
    <w:p>
      <w:pPr>
        <w:ind w:firstLine="427"/>
        <w:spacing w:after="0" w:line="257" w:lineRule="auto"/>
        <w:rPr>
          <w:sz w:val="20"/>
          <w:szCs w:val="20"/>
          <w:color w:val="auto"/>
        </w:rPr>
      </w:pPr>
      <w:r>
        <w:rPr>
          <w:rFonts w:ascii="Arial" w:cs="Arial" w:eastAsia="Arial" w:hAnsi="Arial"/>
          <w:sz w:val="15"/>
          <w:szCs w:val="15"/>
          <w:color w:val="auto"/>
        </w:rPr>
        <w:t>An aggregate of 4,466,500 Class A common shares will initially be available for issuance under the 2018 Plan. The number of Class A common shares initially available for issuance will be increased by an annual increase on January 1 of each calendar year beginning in 2019 and ending in and including 2028, equal to the lesser of (A) 4% of the Class A common shares outstanding (on an as-converted basis) on the final day of the immediately preceding calendar year and (B) a smaller number of our Class A common shares determined by our board of directors. No more than 27,915,000 Class A common shares may be issued under the 2018 Plan upon the exercise of ISOs. Shares issued under the 2018 Plan may be designated but unissued shares, shares purchased on the open market or treasury shares.</w:t>
      </w:r>
    </w:p>
    <w:p>
      <w:pPr>
        <w:spacing w:after="0" w:line="174"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If an award under the 2018 Plan or the 2015 Plan, expires, lapses or is terminated, exchanged for cash, surrendered, repurchased, canceled without having been fully exercised or forfeited, any unused shares subject to the award will, as applicable, become or again be available for new grants under the 2018 Plan. Awards granted under the 2018 Plan in substitution for any options or other share or share-based awards granted by an entity before the entity's merger or consolidation with us or our acquisition of the entity's property or shares will not reduce the shares available for grant under the 2018 Plan, but may count against the maximum number of shares that may be issued upon the exercise of ISOs.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Awards</w:t>
      </w:r>
    </w:p>
    <w:p>
      <w:pPr>
        <w:spacing w:after="0" w:line="206"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2018 Plan provides for the grant of options to purchase shares, including ISOs, non-qualified share options, or NSOs, share appreciation rights, or SARs, restricted shares, dividend equivalents, restricted share units, or RSUs, and other share or cash based awards. Certain awards under the 2018 Plan may constitute or provide for payment of "nonqualified deferred compensation" under Section 409A of the Code. All awards under the 2018 Plan will be set forth in award agreements, which will detail the terms and conditions of awards, including any applicable vesting and payment terms and post-termination exercise limitations. A brief description of each award type follows.</w:t>
      </w:r>
    </w:p>
    <w:p>
      <w:pPr>
        <w:spacing w:after="0" w:line="173" w:lineRule="exact"/>
        <w:rPr>
          <w:sz w:val="20"/>
          <w:szCs w:val="20"/>
          <w:color w:val="auto"/>
        </w:rPr>
      </w:pPr>
    </w:p>
    <w:p>
      <w:pPr>
        <w:ind w:left="960" w:right="20" w:hanging="481"/>
        <w:spacing w:after="0" w:line="239" w:lineRule="auto"/>
        <w:tabs>
          <w:tab w:leader="none" w:pos="96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Share Options and SARs. </w:t>
      </w:r>
      <w:r>
        <w:rPr>
          <w:rFonts w:ascii="Arial" w:cs="Arial" w:eastAsia="Arial" w:hAnsi="Arial"/>
          <w:sz w:val="16"/>
          <w:szCs w:val="16"/>
          <w:color w:val="auto"/>
        </w:rPr>
        <w:t>Share options provide for the purchase of our Class A common shares in the future at an exercise price set on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 The exercise price of a share option or SAR will not be less than 100% of the fair market value of the underlying share on the grant date (or 110% in the case of ISOs granted to certain significant shareholders), except with respect to certain substitute awards granted in connection with a corporate transaction. The term of a share option or SAR may not be longer than ten years (or five years in the case of ISOs granted to certain significant shareholders).</w:t>
      </w:r>
    </w:p>
    <w:p>
      <w:pPr>
        <w:spacing w:after="0" w:line="172" w:lineRule="exact"/>
        <w:rPr>
          <w:rFonts w:ascii="Arial" w:cs="Arial" w:eastAsia="Arial" w:hAnsi="Arial"/>
          <w:sz w:val="16"/>
          <w:szCs w:val="16"/>
          <w:color w:val="auto"/>
        </w:rPr>
      </w:pPr>
    </w:p>
    <w:p>
      <w:pPr>
        <w:ind w:left="960" w:right="120" w:hanging="481"/>
        <w:spacing w:after="0" w:line="244" w:lineRule="auto"/>
        <w:tabs>
          <w:tab w:leader="none" w:pos="96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Restricted Shares and RSUs. </w:t>
      </w:r>
      <w:r>
        <w:rPr>
          <w:rFonts w:ascii="Arial" w:cs="Arial" w:eastAsia="Arial" w:hAnsi="Arial"/>
          <w:sz w:val="16"/>
          <w:szCs w:val="16"/>
          <w:color w:val="auto"/>
        </w:rPr>
        <w:t>Restricted shares are an award of nontransferable Class A common shares that remain forfeitable unless and until</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conditions are met and which may be subject to a purchase price. RSUs are contractual promises to deliver Class A common shares in the future, which may also remain forfeitable unless and until specified conditions are met and may be accompanied by the right to receive the equivalent value of dividends paid our Class A common shares prior to the delivery of the underlying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3" w:name="page174"/>
    <w:bookmarkEnd w:id="1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160"/>
        <w:spacing w:after="0" w:line="239" w:lineRule="auto"/>
        <w:rPr>
          <w:sz w:val="20"/>
          <w:szCs w:val="20"/>
          <w:color w:val="auto"/>
        </w:rPr>
      </w:pPr>
      <w:r>
        <w:rPr>
          <w:rFonts w:ascii="Arial" w:cs="Arial" w:eastAsia="Arial" w:hAnsi="Arial"/>
          <w:sz w:val="16"/>
          <w:szCs w:val="16"/>
          <w:color w:val="auto"/>
        </w:rPr>
        <w:t>The plan administrator may provide that the delivery of the shares underlying RSUs will be deferred on a mandatory basis or at the election of the participant. The terms and conditions applicable to restricted shares and RSUs will be determined by the plan administrator, subject to the conditions and limitations contained in the 2018 Plan.</w:t>
      </w:r>
    </w:p>
    <w:p>
      <w:pPr>
        <w:spacing w:after="0" w:line="170" w:lineRule="exact"/>
        <w:rPr>
          <w:sz w:val="20"/>
          <w:szCs w:val="20"/>
          <w:color w:val="auto"/>
        </w:rPr>
      </w:pPr>
    </w:p>
    <w:p>
      <w:pPr>
        <w:ind w:left="960" w:right="20" w:hanging="481"/>
        <w:spacing w:after="0" w:line="242" w:lineRule="auto"/>
        <w:tabs>
          <w:tab w:leader="none" w:pos="96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Other Share or Cash Based Awards. </w:t>
      </w:r>
      <w:r>
        <w:rPr>
          <w:rFonts w:ascii="Arial" w:cs="Arial" w:eastAsia="Arial" w:hAnsi="Arial"/>
          <w:sz w:val="16"/>
          <w:szCs w:val="16"/>
          <w:color w:val="auto"/>
        </w:rPr>
        <w:t>Other share or cash based awards are awards of cash, fully vested Class A common shares and other awards</w:t>
      </w:r>
      <w:r>
        <w:rPr>
          <w:rFonts w:ascii="Arial" w:cs="Arial" w:eastAsia="Arial" w:hAnsi="Arial"/>
          <w:sz w:val="16"/>
          <w:szCs w:val="16"/>
          <w:i w:val="1"/>
          <w:iCs w:val="1"/>
          <w:color w:val="auto"/>
        </w:rPr>
        <w:t xml:space="preserve"> </w:t>
      </w:r>
      <w:r>
        <w:rPr>
          <w:rFonts w:ascii="Arial" w:cs="Arial" w:eastAsia="Arial" w:hAnsi="Arial"/>
          <w:sz w:val="16"/>
          <w:szCs w:val="16"/>
          <w:color w:val="auto"/>
        </w:rPr>
        <w:t>valued wholly or partially by referring to, or otherwise based on, our Class A common shares or other property. Other share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share or cash based awards, which may include any purchase price, performance goal, transfer restrictions and vesting conditions.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Certain Transactions</w:t>
      </w:r>
    </w:p>
    <w:p>
      <w:pPr>
        <w:spacing w:after="0" w:line="20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connection with certain corporate transactions and events affecting our Class A common shares, including a change in control, or change in any applicable laws or accounting principles, the plan administrator has broad discretion to take action under the 2018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2018 Plan and replacing or terminating awards under the 2018 Plan. In addition, in the event of certain non-reciprocal transactions with our shareholders, the plan administrator will make equitable adjustments to the 2018 Plan and outstanding awards as it deems appropriate to reflect the transaction.</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Plan Amendment and Termination</w:t>
      </w:r>
    </w:p>
    <w:p>
      <w:pPr>
        <w:spacing w:after="0" w:line="206" w:lineRule="exact"/>
        <w:rPr>
          <w:sz w:val="20"/>
          <w:szCs w:val="20"/>
          <w:color w:val="auto"/>
        </w:rPr>
      </w:pPr>
    </w:p>
    <w:p>
      <w:pPr>
        <w:ind w:right="20" w:firstLine="436"/>
        <w:spacing w:after="0" w:line="256" w:lineRule="auto"/>
        <w:rPr>
          <w:sz w:val="20"/>
          <w:szCs w:val="20"/>
          <w:color w:val="auto"/>
        </w:rPr>
      </w:pPr>
      <w:r>
        <w:rPr>
          <w:rFonts w:ascii="Arial" w:cs="Arial" w:eastAsia="Arial" w:hAnsi="Arial"/>
          <w:sz w:val="15"/>
          <w:szCs w:val="15"/>
          <w:color w:val="auto"/>
        </w:rPr>
        <w:t>Our board of directors may amend or terminate the 2018 Plan at any time; however, no amendment, other than an amendment that increases the number of shares available under the 2018 Plan, may materially and adversely affect an award outstanding under the 2018 Plan without the consent of the affected participant and shareholder approval will be obtained for any amendment to the extent necessary to comply with applicable laws. Further, the plan administrator cannot, without the approval of our shareholders, amend any outstanding share option or SAR to reduce its price per share other than in the context of corporate transactions or equity restructurings, as described above. The 2018 Plan will remain in effect until the tenth anniversary of the earlier of the date that our board of directors or our shareholders approve the 2018 Plan, unless earlier terminated by our board of directors. No awards may be granted under the 2018 Plan after its termination.</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Foreign Participants, Claw-Back Provisions, Transferability and Participant Payments</w:t>
      </w:r>
    </w:p>
    <w:p>
      <w:pPr>
        <w:spacing w:after="0" w:line="206"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plan administrator may modify awards granted to participants who are foreign nationals or employed outside the United States or establish subplans or procedures to address differences in laws, rules, regulations or customs of such foreign jurisdictions. All awards will be subject to any company claw-back policy as set forth in such claw-back policy, the 2018 Plan or the applicable award agreement. Except as the plan administrator may determine or provide in an award agreement, awards under the 2018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2018 Plan and exercise price obligations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74" w:name="page175"/>
    <w:bookmarkEnd w:id="1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arising in connection with the exercise of share options under the 2018 Plan, the plan administrator may, in its discretion, accept cash, wire transfer or check, our Class A common shares that meet specified conditions, a promissory note, a "market sell order," such other consideration as the plan administrator deems suitable or any combination of the foregoing.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2018 Employee Share Purchase Plan</w:t>
      </w:r>
    </w:p>
    <w:p>
      <w:pPr>
        <w:spacing w:after="0" w:line="208"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Our board of directors adopted and our shareholders have approved, effective the day prior to the first public trading date of our Class A common shares, the 2018 Employee Share Purchase Plan, or the 2018 ESPP. The material terms of the 2018 ESPP are summarized below.</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Shares Available for Awards; Administration</w:t>
      </w:r>
    </w:p>
    <w:p>
      <w:pPr>
        <w:spacing w:after="0" w:line="206" w:lineRule="exact"/>
        <w:rPr>
          <w:sz w:val="20"/>
          <w:szCs w:val="20"/>
          <w:color w:val="auto"/>
        </w:rPr>
      </w:pPr>
    </w:p>
    <w:p>
      <w:pPr>
        <w:ind w:right="160" w:firstLine="427"/>
        <w:spacing w:after="0" w:line="237" w:lineRule="auto"/>
        <w:rPr>
          <w:sz w:val="20"/>
          <w:szCs w:val="20"/>
          <w:color w:val="auto"/>
        </w:rPr>
      </w:pPr>
      <w:r>
        <w:rPr>
          <w:rFonts w:ascii="Arial" w:cs="Arial" w:eastAsia="Arial" w:hAnsi="Arial"/>
          <w:sz w:val="16"/>
          <w:szCs w:val="16"/>
          <w:color w:val="auto"/>
        </w:rPr>
        <w:t>A total of 670,000 Class A common shares will initially be reserved for issuance under the 2018 ESPP. In addition, the number of Class A common shares available for issuance under the 2018 ESPP will be annually increased on January 1 of each calendar year beginning in 2019 and ending in and including 2028, by an amount equal to the lesser of (A) 1% of the Class A common shares outstanding (on an as-converted basis) on the final day of the immediately preceding calendar year and (B) such smaller number of Class A common shares as is determined by our board of directors, provided that no more than 6,420,000 Class A common shares may be issued under the 2018 ESPP. Our board of directors or a committee of our board of directors will administer and will have authority to interpret the terms of a 2018 ESPP and determine eligibility of participants. We expect that the compensation committee will be the initial administrator of the 2018 ESPP.</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Eligibility</w:t>
      </w:r>
    </w:p>
    <w:p>
      <w:pPr>
        <w:spacing w:after="0" w:line="206"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Our employees are eligible to participate in the 2018 ESPP if they are customarily employed by us or a participating subsidiary for more than twenty hours per week and more than five months in any calendar year. However, an employee may not be granted rights to purchase shares under our 2018 ESPP if the employee, immediately after the grant, would own (directly or through attribution) shares possessing 5% or more of the total combined voting power or value of all classes of our shares.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Grant of Rights</w:t>
      </w:r>
    </w:p>
    <w:p>
      <w:pPr>
        <w:spacing w:after="0" w:line="206" w:lineRule="exact"/>
        <w:rPr>
          <w:sz w:val="20"/>
          <w:szCs w:val="20"/>
          <w:color w:val="auto"/>
        </w:rPr>
      </w:pPr>
    </w:p>
    <w:p>
      <w:pPr>
        <w:ind w:right="260" w:firstLine="433"/>
        <w:spacing w:after="0" w:line="237" w:lineRule="auto"/>
        <w:rPr>
          <w:sz w:val="20"/>
          <w:szCs w:val="20"/>
          <w:color w:val="auto"/>
        </w:rPr>
      </w:pPr>
      <w:r>
        <w:rPr>
          <w:rFonts w:ascii="Arial" w:cs="Arial" w:eastAsia="Arial" w:hAnsi="Arial"/>
          <w:sz w:val="16"/>
          <w:szCs w:val="16"/>
          <w:color w:val="auto"/>
        </w:rPr>
        <w:t>The 2018 ESPP is intended to qualify under Section 423 of the Code and shares will be offered under the 2018 ESPP during offering periods. The length of the offering periods under the 2018 ESPP will be determined by the plan administrator and may be up to twenty-seven months long. Employee payroll deductions will be used to purchase shares on each purchase date during an offering period. The purchase dates for each offering period will be the final trading day in the offering period. Offering periods under the 2018 ESPP will commence when determined by the plan administrator. The plan administrator may, in its discretion, modify the terms of future offering periods.</w:t>
      </w:r>
    </w:p>
    <w:p>
      <w:pPr>
        <w:spacing w:after="0" w:line="189"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2018 ESPP permits participants to purchase our Class A common shares through payroll deductions of up to a specified percentage of their eligible compensation. The plan administrator will establish a maximum number of shares that may be purchased by a participant during any offering period, which, in the absence of a contrary designation, will be 25,000 shares. In addition, no employee will be permitted to accrue the right to purchase shares under the 2018 ESPP at a rate in excess of $25,000 worth of shares during any calendar year during which such a purchase right is outstanding (based on the fair market value per share of our Class A common shares as of the first day of the offering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75" w:name="page176"/>
    <w:bookmarkEnd w:id="1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On the first trading day of each offering period, each participant will automatically be granted an option to purchase our Class A common shares. The option will expire at the end of the applicable offering period, and will be exercised at that time to the extent of the payroll deductions accumulated during the offering period. The purchase price of the shares, in the absence of a contrary designation, will be 85% of the lower of the fair market value of our Class A common shares on the first trading day of the offering period or on the purchase date. Participants may voluntarily end their participation in the 2018 ESPP at any time not later than a specified period prior to the end of the applicable offering period, and will be paid their accrued payroll deductions that have not yet been used to purchase shares of our Class A common shares. Participation ends automatically upon a participant's termination of employment.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participant may not transfer rights granted under the 2018 ESPP other than by will or the laws of descent and distribution.</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Certain Transactions</w:t>
      </w:r>
    </w:p>
    <w:p>
      <w:pPr>
        <w:spacing w:after="0" w:line="206" w:lineRule="exact"/>
        <w:rPr>
          <w:sz w:val="20"/>
          <w:szCs w:val="20"/>
          <w:color w:val="auto"/>
        </w:rPr>
      </w:pPr>
    </w:p>
    <w:p>
      <w:pPr>
        <w:ind w:right="80" w:firstLine="436"/>
        <w:spacing w:after="0" w:line="256" w:lineRule="auto"/>
        <w:rPr>
          <w:sz w:val="20"/>
          <w:szCs w:val="20"/>
          <w:color w:val="auto"/>
        </w:rPr>
      </w:pPr>
      <w:r>
        <w:rPr>
          <w:rFonts w:ascii="Arial" w:cs="Arial" w:eastAsia="Arial" w:hAnsi="Arial"/>
          <w:sz w:val="15"/>
          <w:szCs w:val="15"/>
          <w:color w:val="auto"/>
        </w:rPr>
        <w:t>In the event of certain non-reciprocal transactions or events affecting our Class A common shares, the plan administrator will make equitable adjustments to the 2018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subject to outstanding rights, (4) the use of participants' accumulated payroll deductions to purchase shares on a new purchase date prior to the next scheduled purchase date and termination of any rights under ongoing offering periods or (5) the termination of all outstanding rights.</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Plan Amendment</w:t>
      </w:r>
    </w:p>
    <w:p>
      <w:pPr>
        <w:spacing w:after="0" w:line="206" w:lineRule="exact"/>
        <w:rPr>
          <w:sz w:val="20"/>
          <w:szCs w:val="20"/>
          <w:color w:val="auto"/>
        </w:rPr>
      </w:pPr>
    </w:p>
    <w:p>
      <w:pPr>
        <w:ind w:firstLine="433"/>
        <w:spacing w:after="0" w:line="238" w:lineRule="auto"/>
        <w:rPr>
          <w:sz w:val="20"/>
          <w:szCs w:val="20"/>
          <w:color w:val="auto"/>
        </w:rPr>
      </w:pPr>
      <w:r>
        <w:rPr>
          <w:rFonts w:ascii="Arial" w:cs="Arial" w:eastAsia="Arial" w:hAnsi="Arial"/>
          <w:sz w:val="16"/>
          <w:szCs w:val="16"/>
          <w:color w:val="auto"/>
        </w:rPr>
        <w:t>The plan administrator may amend, suspend or terminate the 2018 ESPP at any time. However, shareholder approval will be obtained for any amendment that increases the aggregate number or changes the type of shares that may be sold pursuant to rights under the 2018 ESPP, changes the corporations or classes of corporations whose employees are eligible to participate in the 2018 ESPP or changes the 2018 ESPP in any manner that would cause the 2018 ESPP to no longer be an employee share purchase plan within the meaning of Section 423(b) of the Code.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6" w:name="page177"/>
    <w:bookmarkEnd w:id="1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CERTAIN RELATIONSHIPS AND RELATED PERSON TRANSACTIONS</w:t>
      </w:r>
    </w:p>
    <w:p>
      <w:pPr>
        <w:spacing w:after="0" w:line="21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following includes a summary of transactions since our inception in July 2015 to which we have been a party in which the amount involved exceeded or will exceed $120,000, and in which any of our directors, executive officers or, to our knowledge, beneficial owners of more than 5% of any class of our voting shares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Participation in the Offering</w:t>
      </w:r>
    </w:p>
    <w:p>
      <w:pPr>
        <w:spacing w:after="0" w:line="210"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Certain of our existing shareholders, including shareholders affiliated with certain of our directors, have indicated an interest in purchasing an aggregate of approximately $50.0 million of Class A common shares in this offering at the initial public offering price per share. However, because indications of interest are not binding agreements or commitments to purchase, the underwriters may determine to sell more, less or no shares in this offering to any of these existing shareholders, or any of these existing shareholders may determine to purchase more, less or no shares in this offering. The underwriters will receive the same underwriting discount on any shares purchased by these existing shareholders as they will on any other shares sold to the public in this offering.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Share Financings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A Preferred Share Financing</w:t>
      </w:r>
    </w:p>
    <w:p>
      <w:pPr>
        <w:spacing w:after="0" w:line="208"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In October 2015, we issued and sold an aggregate of 8,028,809 Series A Preferred Shares, and in September 2016 we sold an additional 9,099,311 Series A Preferred Shares to new investors and certain of our directors and executive officers at a price of $4.6707 per share, resulting in aggregate gross proceeds of $80.0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B Preferred Share Financing</w:t>
      </w:r>
    </w:p>
    <w:p>
      <w:pPr>
        <w:spacing w:after="0" w:line="208" w:lineRule="exact"/>
        <w:rPr>
          <w:sz w:val="20"/>
          <w:szCs w:val="20"/>
          <w:color w:val="auto"/>
        </w:rPr>
      </w:pPr>
    </w:p>
    <w:p>
      <w:pPr>
        <w:ind w:right="20" w:firstLine="436"/>
        <w:spacing w:after="0" w:line="241" w:lineRule="auto"/>
        <w:rPr>
          <w:sz w:val="20"/>
          <w:szCs w:val="20"/>
          <w:color w:val="auto"/>
        </w:rPr>
      </w:pPr>
      <w:r>
        <w:rPr>
          <w:rFonts w:ascii="Arial" w:cs="Arial" w:eastAsia="Arial" w:hAnsi="Arial"/>
          <w:sz w:val="16"/>
          <w:szCs w:val="16"/>
          <w:color w:val="auto"/>
        </w:rPr>
        <w:t>In March 2017, we issued and sold an aggregate of 5,757,372 Series B Preferred Shares to new investors, existing shareholders, a director and an executive officer at a price of $6.9475 per share, resulting in aggregate gross proceeds of $40.0 million.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C Preferred Share Financing</w:t>
      </w:r>
    </w:p>
    <w:p>
      <w:pPr>
        <w:spacing w:after="0" w:line="208" w:lineRule="exact"/>
        <w:rPr>
          <w:sz w:val="20"/>
          <w:szCs w:val="20"/>
          <w:color w:val="auto"/>
        </w:rPr>
      </w:pPr>
    </w:p>
    <w:p>
      <w:pPr>
        <w:ind w:right="160" w:firstLine="436"/>
        <w:spacing w:after="0" w:line="241" w:lineRule="auto"/>
        <w:rPr>
          <w:sz w:val="20"/>
          <w:szCs w:val="20"/>
          <w:color w:val="auto"/>
        </w:rPr>
      </w:pPr>
      <w:r>
        <w:rPr>
          <w:rFonts w:ascii="Arial" w:cs="Arial" w:eastAsia="Arial" w:hAnsi="Arial"/>
          <w:sz w:val="16"/>
          <w:szCs w:val="16"/>
          <w:color w:val="auto"/>
        </w:rPr>
        <w:t>In February 2018, we issued and sold an aggregate of 12,784,601 Series C Preferred Shares to new investors, existing shareholders and certain executive officers at a price of $15.6438 per share, resulting in aggregate gross proceeds of $200.0 million.</w:t>
      </w:r>
    </w:p>
    <w:p>
      <w:pPr>
        <w:spacing w:after="0" w:line="185" w:lineRule="exact"/>
        <w:rPr>
          <w:sz w:val="20"/>
          <w:szCs w:val="20"/>
          <w:color w:val="auto"/>
        </w:rPr>
      </w:pPr>
    </w:p>
    <w:p>
      <w:pPr>
        <w:ind w:right="200" w:firstLine="433"/>
        <w:spacing w:after="0" w:line="241" w:lineRule="auto"/>
        <w:rPr>
          <w:sz w:val="20"/>
          <w:szCs w:val="20"/>
          <w:color w:val="auto"/>
        </w:rPr>
      </w:pPr>
      <w:r>
        <w:rPr>
          <w:rFonts w:ascii="Arial" w:cs="Arial" w:eastAsia="Arial" w:hAnsi="Arial"/>
          <w:sz w:val="16"/>
          <w:szCs w:val="16"/>
          <w:color w:val="auto"/>
        </w:rPr>
        <w:t>The following table sets forth the aggregate number of preferred shares acquired by the listed holders of more than 5% of any class of our voting shares or their affiliated entities and certain of</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77" w:name="page178"/>
    <w:bookmarkEnd w:id="1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our executive officers and directors. Each preferred share identified in the following table will convert into one common share upon the closing of this offering.</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220" w:type="dxa"/>
            <w:vAlign w:val="bottom"/>
            <w:gridSpan w:val="3"/>
          </w:tcPr>
          <w:p>
            <w:pPr>
              <w:spacing w:after="0"/>
              <w:rPr>
                <w:sz w:val="20"/>
                <w:szCs w:val="20"/>
                <w:color w:val="auto"/>
              </w:rPr>
            </w:pPr>
            <w:r>
              <w:rPr>
                <w:rFonts w:ascii="Arial" w:cs="Arial" w:eastAsia="Arial" w:hAnsi="Arial"/>
                <w:sz w:val="16"/>
                <w:szCs w:val="16"/>
                <w:b w:val="1"/>
                <w:bCs w:val="1"/>
                <w:color w:val="auto"/>
              </w:rPr>
              <w:t>Preferred Share Participant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Series A</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Series B</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Series C</w:t>
            </w: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5"/>
        </w:trPr>
        <w:tc>
          <w:tcPr>
            <w:tcW w:w="6220" w:type="dxa"/>
            <w:vAlign w:val="bottom"/>
            <w:gridSpan w:val="3"/>
            <w:shd w:val="clear" w:color="auto" w:fill="CCEEFF"/>
          </w:tcPr>
          <w:p>
            <w:pPr>
              <w:spacing w:after="0" w:line="205" w:lineRule="exact"/>
              <w:rPr>
                <w:sz w:val="20"/>
                <w:szCs w:val="20"/>
                <w:color w:val="auto"/>
              </w:rPr>
            </w:pPr>
            <w:r>
              <w:rPr>
                <w:rFonts w:ascii="Arial" w:cs="Arial" w:eastAsia="Arial" w:hAnsi="Arial"/>
                <w:sz w:val="14"/>
                <w:szCs w:val="14"/>
                <w:b w:val="1"/>
                <w:bCs w:val="1"/>
                <w:color w:val="auto"/>
              </w:rPr>
              <w:t>5% or Greater Shareholders</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Entities Managed by Baker Bros. Advisors LLP</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16,057,618</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3,598,392</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4,155,000</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ArrowMark Funds</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575,691</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447,458</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Cormorant Funds</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830,999</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Deerfield Special Situations Fund, L.P</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383,538</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Entities Affiliated with Dr. Robert Desnick</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585,001</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393,282</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873,301</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Fidelity Funds</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639,230</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Sofinnova Venture Partners X L.P.</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894,943</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Venrock Funds</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639,230</w:t>
            </w:r>
          </w:p>
        </w:tc>
        <w:tc>
          <w:tcPr>
            <w:tcW w:w="140" w:type="dxa"/>
            <w:vAlign w:val="bottom"/>
            <w:shd w:val="clear" w:color="auto" w:fill="CCEEFF"/>
          </w:tcPr>
          <w:p>
            <w:pPr>
              <w:spacing w:after="0"/>
              <w:rPr>
                <w:sz w:val="15"/>
                <w:szCs w:val="15"/>
                <w:color w:val="auto"/>
              </w:rPr>
            </w:pPr>
          </w:p>
        </w:tc>
      </w:tr>
      <w:tr>
        <w:trPr>
          <w:trHeight w:val="217"/>
        </w:trPr>
        <w:tc>
          <w:tcPr>
            <w:tcW w:w="6220" w:type="dxa"/>
            <w:vAlign w:val="bottom"/>
            <w:gridSpan w:val="3"/>
          </w:tcPr>
          <w:p>
            <w:pPr>
              <w:spacing w:after="0" w:line="217" w:lineRule="exact"/>
              <w:rPr>
                <w:sz w:val="20"/>
                <w:szCs w:val="20"/>
                <w:color w:val="auto"/>
              </w:rPr>
            </w:pPr>
            <w:r>
              <w:rPr>
                <w:rFonts w:ascii="Arial" w:cs="Arial" w:eastAsia="Arial" w:hAnsi="Arial"/>
                <w:sz w:val="15"/>
                <w:szCs w:val="15"/>
                <w:b w:val="1"/>
                <w:bCs w:val="1"/>
                <w:color w:val="auto"/>
              </w:rPr>
              <w:t>Officers and Directors</w:t>
            </w:r>
            <w:r>
              <w:rPr>
                <w:rFonts w:ascii="Arial" w:cs="Arial" w:eastAsia="Arial" w:hAnsi="Arial"/>
                <w:sz w:val="25"/>
                <w:szCs w:val="25"/>
                <w:b w:val="1"/>
                <w:bCs w:val="1"/>
                <w:color w:val="auto"/>
                <w:vertAlign w:val="superscript"/>
              </w:rPr>
              <w:t>(2)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Sanj K. Patel</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428,203</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71,967</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63,922</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Stephen Mahoney</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107,050</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6,392</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Thomas Beetham</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48,172</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6,392</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Chris Heberlig</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74,935</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6,392</w:t>
            </w:r>
          </w:p>
        </w:tc>
        <w:tc>
          <w:tcPr>
            <w:tcW w:w="140" w:type="dxa"/>
            <w:vAlign w:val="bottom"/>
          </w:tcPr>
          <w:p>
            <w:pPr>
              <w:spacing w:after="0"/>
              <w:rPr>
                <w:sz w:val="15"/>
                <w:szCs w:val="15"/>
                <w:color w:val="auto"/>
              </w:rPr>
            </w:pPr>
          </w:p>
        </w:tc>
      </w:tr>
      <w:tr>
        <w:trPr>
          <w:trHeight w:val="181"/>
        </w:trPr>
        <w:tc>
          <w:tcPr>
            <w:tcW w:w="622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Carsten Boess</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107,050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6,392</w:t>
            </w:r>
          </w:p>
        </w:tc>
        <w:tc>
          <w:tcPr>
            <w:tcW w:w="140" w:type="dxa"/>
            <w:vAlign w:val="bottom"/>
            <w:shd w:val="clear" w:color="auto" w:fill="CCEEFF"/>
          </w:tcPr>
          <w:p>
            <w:pPr>
              <w:spacing w:after="0"/>
              <w:rPr>
                <w:sz w:val="15"/>
                <w:szCs w:val="15"/>
                <w:color w:val="auto"/>
              </w:rPr>
            </w:pPr>
          </w:p>
        </w:tc>
      </w:tr>
      <w:tr>
        <w:trPr>
          <w:trHeight w:val="181"/>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Rasmus Holm-Jorgensen</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48,172</w:t>
            </w:r>
          </w:p>
        </w:tc>
        <w:tc>
          <w:tcPr>
            <w:tcW w:w="14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6,392</w:t>
            </w:r>
          </w:p>
        </w:tc>
        <w:tc>
          <w:tcPr>
            <w:tcW w:w="140" w:type="dxa"/>
            <w:vAlign w:val="bottom"/>
          </w:tcPr>
          <w:p>
            <w:pPr>
              <w:spacing w:after="0"/>
              <w:rPr>
                <w:sz w:val="15"/>
                <w:szCs w:val="15"/>
                <w:color w:val="auto"/>
              </w:rPr>
            </w:pPr>
          </w:p>
        </w:tc>
      </w:tr>
      <w:tr>
        <w:trPr>
          <w:trHeight w:val="217"/>
        </w:trPr>
        <w:tc>
          <w:tcPr>
            <w:tcW w:w="6220" w:type="dxa"/>
            <w:vAlign w:val="bottom"/>
            <w:gridSpan w:val="3"/>
            <w:shd w:val="clear" w:color="auto" w:fill="CCEEFF"/>
          </w:tcPr>
          <w:p>
            <w:pPr>
              <w:spacing w:after="0" w:line="217" w:lineRule="exact"/>
              <w:rPr>
                <w:sz w:val="20"/>
                <w:szCs w:val="20"/>
                <w:color w:val="auto"/>
              </w:rPr>
            </w:pPr>
            <w:r>
              <w:rPr>
                <w:rFonts w:ascii="Arial" w:cs="Arial" w:eastAsia="Arial" w:hAnsi="Arial"/>
                <w:sz w:val="15"/>
                <w:szCs w:val="15"/>
                <w:color w:val="auto"/>
              </w:rPr>
              <w:t>Felix J. Baker</w:t>
            </w:r>
            <w:r>
              <w:rPr>
                <w:rFonts w:ascii="Arial" w:cs="Arial" w:eastAsia="Arial" w:hAnsi="Arial"/>
                <w:sz w:val="25"/>
                <w:szCs w:val="25"/>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16,057,618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3,598,392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4,155,000</w:t>
            </w:r>
          </w:p>
        </w:tc>
        <w:tc>
          <w:tcPr>
            <w:tcW w:w="140" w:type="dxa"/>
            <w:vAlign w:val="bottom"/>
            <w:shd w:val="clear" w:color="auto" w:fill="CCEEFF"/>
          </w:tcPr>
          <w:p>
            <w:pPr>
              <w:spacing w:after="0"/>
              <w:rPr>
                <w:sz w:val="18"/>
                <w:szCs w:val="18"/>
                <w:color w:val="auto"/>
              </w:rPr>
            </w:pPr>
          </w:p>
        </w:tc>
      </w:tr>
      <w:tr>
        <w:trPr>
          <w:trHeight w:val="314"/>
        </w:trPr>
        <w:tc>
          <w:tcPr>
            <w:tcW w:w="6220" w:type="dxa"/>
            <w:vAlign w:val="bottom"/>
            <w:gridSpan w:val="3"/>
          </w:tcPr>
          <w:p>
            <w:pPr>
              <w:spacing w:after="0"/>
              <w:rPr>
                <w:sz w:val="20"/>
                <w:szCs w:val="20"/>
                <w:color w:val="auto"/>
              </w:rPr>
            </w:pPr>
            <w:r>
              <w:rPr>
                <w:rFonts w:ascii="Arial" w:cs="Arial" w:eastAsia="Arial" w:hAnsi="Arial"/>
                <w:sz w:val="16"/>
                <w:szCs w:val="16"/>
                <w:color w:val="auto"/>
              </w:rPr>
              <w:t>Thomas R. Malley</w:t>
            </w:r>
            <w:r>
              <w:rPr>
                <w:rFonts w:ascii="Arial" w:cs="Arial" w:eastAsia="Arial" w:hAnsi="Arial"/>
                <w:sz w:val="26"/>
                <w:szCs w:val="26"/>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71,967</w:t>
            </w:r>
          </w:p>
        </w:tc>
        <w:tc>
          <w:tcPr>
            <w:tcW w:w="14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9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3" w:lineRule="exact"/>
        <w:rPr>
          <w:sz w:val="20"/>
          <w:szCs w:val="20"/>
          <w:color w:val="auto"/>
        </w:rPr>
      </w:pPr>
    </w:p>
    <w:p>
      <w:pPr>
        <w:ind w:left="1620" w:hanging="480"/>
        <w:spacing w:after="0"/>
        <w:tabs>
          <w:tab w:leader="none" w:pos="162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Additional details regarding these shareholders and their equity holdings are provided under the caption "Principal Shareholders."</w:t>
      </w:r>
    </w:p>
    <w:p>
      <w:pPr>
        <w:spacing w:after="0" w:line="71"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Additional details regarding these officers' and directors' equity holdings are provided under the caption "Principal Shareholders."</w:t>
      </w:r>
    </w:p>
    <w:p>
      <w:pPr>
        <w:spacing w:after="0" w:line="71"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Dr. Baker is the beneficial owner of the preferred shares acquired by entities managed by Baker Bros. Advisors LLP. See "Principal Shareholders" for additional details.</w:t>
      </w:r>
    </w:p>
    <w:p>
      <w:pPr>
        <w:spacing w:after="0" w:line="71"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94"/>
        </w:numPr>
        <w:rPr>
          <w:rFonts w:ascii="Arial" w:cs="Arial" w:eastAsia="Arial" w:hAnsi="Arial"/>
          <w:sz w:val="19"/>
          <w:szCs w:val="19"/>
          <w:color w:val="auto"/>
          <w:vertAlign w:val="superscript"/>
        </w:rPr>
      </w:pPr>
      <w:r>
        <w:rPr>
          <w:rFonts w:ascii="Arial" w:cs="Arial" w:eastAsia="Arial" w:hAnsi="Arial"/>
          <w:sz w:val="13"/>
          <w:szCs w:val="13"/>
          <w:color w:val="auto"/>
        </w:rPr>
        <w:t>Mr. Malley is the beneficial owner of the preferred shares acquired by Mossrock Capital, LLC. See "Principal Shareholders" for additional details.</w:t>
      </w:r>
    </w:p>
    <w:p>
      <w:pPr>
        <w:spacing w:after="0" w:line="182" w:lineRule="exact"/>
        <w:rPr>
          <w:sz w:val="20"/>
          <w:szCs w:val="20"/>
          <w:color w:val="auto"/>
        </w:rPr>
      </w:pPr>
    </w:p>
    <w:p>
      <w:pPr>
        <w:ind w:right="760" w:firstLine="436"/>
        <w:spacing w:after="0" w:line="241" w:lineRule="auto"/>
        <w:rPr>
          <w:sz w:val="20"/>
          <w:szCs w:val="20"/>
          <w:color w:val="auto"/>
        </w:rPr>
      </w:pPr>
      <w:r>
        <w:rPr>
          <w:rFonts w:ascii="Arial" w:cs="Arial" w:eastAsia="Arial" w:hAnsi="Arial"/>
          <w:sz w:val="16"/>
          <w:szCs w:val="16"/>
          <w:color w:val="auto"/>
        </w:rPr>
        <w:t>Our directors, Felix J. Baker, Ph.D. and Stephen R. Biggar, M.D., Ph.D., are associated with 667, L.P. and Baker Brothers Life Sciences, L.P., which beneficially own more than 5% of our Class B common shares.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 Rights Agreement</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connection with our Series C preferred share financing, we entered into an amended and restated investors' rights agreement, or the investors' rights agreement, with holders of our preferred shares, including certain executive officers, holders of 5% of any class of our voting shares and entities affiliated with certain of our directors. The investors' rights agreement, among other things, grants these shareholders specified registration rights with respect to our Class A common shares, including common shares issued or issuable upon conversion of the preferred shares held by them. For more information regarding the registration rights provided in these agreements, please refer to the section entitled "Description of Share Capital — Registration Rights."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Agreement</w:t>
      </w:r>
    </w:p>
    <w:p>
      <w:pPr>
        <w:spacing w:after="0" w:line="210" w:lineRule="exact"/>
        <w:rPr>
          <w:sz w:val="20"/>
          <w:szCs w:val="20"/>
          <w:color w:val="auto"/>
        </w:rPr>
      </w:pPr>
    </w:p>
    <w:p>
      <w:pPr>
        <w:ind w:right="140" w:firstLine="436"/>
        <w:spacing w:after="0" w:line="262" w:lineRule="auto"/>
        <w:rPr>
          <w:sz w:val="20"/>
          <w:szCs w:val="20"/>
          <w:color w:val="auto"/>
        </w:rPr>
      </w:pPr>
      <w:r>
        <w:rPr>
          <w:rFonts w:ascii="Arial" w:cs="Arial" w:eastAsia="Arial" w:hAnsi="Arial"/>
          <w:sz w:val="15"/>
          <w:szCs w:val="15"/>
          <w:color w:val="auto"/>
        </w:rPr>
        <w:t>In connection with our Series C preferred share financing, we entered into a second amended and restated voting agreement in February 2018, or the voting agreement, with holders of our preferred shares, including certain executive officers, holders of 5% of our any class of our voting shares and entities affiliated with certain of our directors. Pursuant to the voting agreement, the preferred shareholders agreed to elect the following directors to serve as members on our board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8" w:name="page179"/>
    <w:bookmarkEnd w:id="1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directors: Sanj K. Patel, Felix J. Baker, Ph.D., Stephen R. Biggar, M.D., Ph.D., Barry D. Quart, Pharm.D., Thomas R. Malley, Tracey L. McCain and Kimberly</w:t>
      </w:r>
    </w:p>
    <w:p>
      <w:pPr>
        <w:spacing w:after="0" w:line="237" w:lineRule="auto"/>
        <w:rPr>
          <w:sz w:val="20"/>
          <w:szCs w:val="20"/>
          <w:color w:val="auto"/>
        </w:rPr>
      </w:pPr>
      <w:r>
        <w:rPr>
          <w:rFonts w:ascii="Arial" w:cs="Arial" w:eastAsia="Arial" w:hAnsi="Arial"/>
          <w:sz w:val="16"/>
          <w:szCs w:val="16"/>
          <w:color w:val="auto"/>
        </w:rPr>
        <w:t>J. Popovits. As of the date of this prospectus, each of these directors continues to serve on our board of directors. Pursuant to the voting agreement, Drs. Baker and Biggar were initially selected to serve on our board of directors as the directors designated by the holders of our preferred shares. Mr. Patel was initially selected to serve on our board of directors in his capacity as our Chief Executive Officer. Dr. Quart, Mr. Malley and Mses. McCain and Popovits were initially selected to serve on our board of directors as independent directors. The voting agreement will terminate upon the closing of this offering, and members previously elected to our board of directors pursuant to this agreement will continue to serve as directors until they have completed their term.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210" w:lineRule="exact"/>
        <w:rPr>
          <w:sz w:val="20"/>
          <w:szCs w:val="20"/>
          <w:color w:val="auto"/>
        </w:rPr>
      </w:pPr>
    </w:p>
    <w:p>
      <w:pPr>
        <w:ind w:right="120" w:firstLine="436"/>
        <w:spacing w:after="0" w:line="238" w:lineRule="auto"/>
        <w:rPr>
          <w:sz w:val="20"/>
          <w:szCs w:val="20"/>
          <w:color w:val="auto"/>
        </w:rPr>
      </w:pPr>
      <w:r>
        <w:rPr>
          <w:rFonts w:ascii="Arial" w:cs="Arial" w:eastAsia="Arial" w:hAnsi="Arial"/>
          <w:sz w:val="16"/>
          <w:szCs w:val="16"/>
          <w:color w:val="auto"/>
        </w:rPr>
        <w:t>We have entered into indemnification agreements with all of our directors and executive officers. These agreements, among other things, require us or will require us to indemnify each director (and in certain cases their related investment funds) and executive officer to the fullest extent permitted by Bermuda law, including indemnification of expenses such as attorneys' fees, judgments, fines and settlement amounts incurred by the director or executive officer in any action or proceeding, including any action or proceeding by or in right of the Company, arising out of such person's services as a director or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10" w:lineRule="exact"/>
        <w:rPr>
          <w:sz w:val="20"/>
          <w:szCs w:val="20"/>
          <w:color w:val="auto"/>
        </w:rPr>
      </w:pPr>
    </w:p>
    <w:p>
      <w:pPr>
        <w:ind w:right="460" w:firstLine="436"/>
        <w:spacing w:after="0" w:line="239" w:lineRule="auto"/>
        <w:rPr>
          <w:sz w:val="20"/>
          <w:szCs w:val="20"/>
          <w:color w:val="auto"/>
        </w:rPr>
      </w:pPr>
      <w:r>
        <w:rPr>
          <w:rFonts w:ascii="Arial" w:cs="Arial" w:eastAsia="Arial" w:hAnsi="Arial"/>
          <w:sz w:val="16"/>
          <w:szCs w:val="16"/>
          <w:color w:val="auto"/>
        </w:rPr>
        <w:t>In connection with this offering, we intend to amend the existing employment agreements with our named executive officers. The material terms of those arrangements are described in "Executive and Director Compensation — Executive Compensation Arrangements." In addition, we intend to amend existing employment agreements with certain of our officers as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Chris Heberlig</w:t>
      </w:r>
    </w:p>
    <w:p>
      <w:pPr>
        <w:spacing w:after="0" w:line="208" w:lineRule="exact"/>
        <w:rPr>
          <w:sz w:val="20"/>
          <w:szCs w:val="20"/>
          <w:color w:val="auto"/>
        </w:rPr>
      </w:pPr>
    </w:p>
    <w:p>
      <w:pPr>
        <w:ind w:firstLine="436"/>
        <w:spacing w:after="0" w:line="262" w:lineRule="auto"/>
        <w:rPr>
          <w:sz w:val="20"/>
          <w:szCs w:val="20"/>
          <w:color w:val="auto"/>
        </w:rPr>
      </w:pPr>
      <w:r>
        <w:rPr>
          <w:rFonts w:ascii="Arial" w:cs="Arial" w:eastAsia="Arial" w:hAnsi="Arial"/>
          <w:sz w:val="15"/>
          <w:szCs w:val="15"/>
          <w:color w:val="auto"/>
        </w:rPr>
        <w:t>Chris Heberlig serves as our Executive Vice President and Chief Financial Officer. Mr. Heberlig's employment agreement will provide for an annual base salary of $350,000, which may be changed from time to time in the discretion of our board of directors. Mr. Heberlig will be eligible to earn an annual discretionary cash bonus with a target of 35% of base salary based on our board of directors' assessment of his individual performance as well as overall company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Thomas Beetham</w:t>
      </w:r>
    </w:p>
    <w:p>
      <w:pPr>
        <w:spacing w:after="0" w:line="208" w:lineRule="exact"/>
        <w:rPr>
          <w:sz w:val="20"/>
          <w:szCs w:val="20"/>
          <w:color w:val="auto"/>
        </w:rPr>
      </w:pPr>
    </w:p>
    <w:p>
      <w:pPr>
        <w:ind w:right="120" w:firstLine="433"/>
        <w:spacing w:after="0" w:line="262" w:lineRule="auto"/>
        <w:rPr>
          <w:sz w:val="20"/>
          <w:szCs w:val="20"/>
          <w:color w:val="auto"/>
        </w:rPr>
      </w:pPr>
      <w:r>
        <w:rPr>
          <w:rFonts w:ascii="Arial" w:cs="Arial" w:eastAsia="Arial" w:hAnsi="Arial"/>
          <w:sz w:val="15"/>
          <w:szCs w:val="15"/>
          <w:color w:val="auto"/>
        </w:rPr>
        <w:t>Thomas Beetham serves as our Executive Vice President and Chief Legal Officer. Mr. Beetham's employment agreement will provide for an annual base salary of $375,000, which may be changed from time to time in the discretion of our board of directors. Mr. Beetham will be eligible to earn an annual discretionary cash bonus with a target of 35% of base salary based on our board of directors' assessment of his individual performance as well as overall company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Carsten Boess</w:t>
      </w: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Carsten Boess serves as our Executive Vice President, Corporate Affairs. Mr. Boess' employment agreement will provide for an annual base salary of</w:t>
      </w:r>
    </w:p>
    <w:p>
      <w:pPr>
        <w:ind w:right="180"/>
        <w:spacing w:after="0" w:line="241" w:lineRule="auto"/>
        <w:rPr>
          <w:sz w:val="20"/>
          <w:szCs w:val="20"/>
          <w:color w:val="auto"/>
        </w:rPr>
      </w:pPr>
      <w:r>
        <w:rPr>
          <w:rFonts w:ascii="Arial" w:cs="Arial" w:eastAsia="Arial" w:hAnsi="Arial"/>
          <w:sz w:val="16"/>
          <w:szCs w:val="16"/>
          <w:color w:val="auto"/>
        </w:rPr>
        <w:t>$400,000, which may be changed from time to time in the discretion of our board of directors. Mr. Boess will be eligible to earn an annual discretionary cash bonus with a target of 35% of base salary based on our board of directors' assessment of his individual performance as well as overall company performance.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9" w:name="page180"/>
    <w:bookmarkEnd w:id="1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Rasmus Holm-Jorgensen</w:t>
      </w:r>
    </w:p>
    <w:p>
      <w:pPr>
        <w:spacing w:after="0" w:line="20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Rasmus Holm-Jorgensen serves as our Senior Vice President, Chief Strategy and Portfolio Officer. Mr. Holm-Jorgensen's employment agreement will provide for an annual base salary of $337,740, which may be changed from time to time in the discretion of our board of directors. Mr. Holm-Jorgensen will be eligible to earn an annual discretionary cash bonus with a target of 30% of base salary based on our board of directors' assessment of his individual performance as well as overall company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Option Grants to Officers and Directors</w:t>
      </w:r>
    </w:p>
    <w:p>
      <w:pPr>
        <w:spacing w:after="0" w:line="210" w:lineRule="exact"/>
        <w:rPr>
          <w:sz w:val="20"/>
          <w:szCs w:val="20"/>
          <w:color w:val="auto"/>
        </w:rPr>
      </w:pPr>
    </w:p>
    <w:p>
      <w:pPr>
        <w:ind w:right="120" w:firstLine="436"/>
        <w:spacing w:after="0" w:line="237" w:lineRule="auto"/>
        <w:rPr>
          <w:sz w:val="20"/>
          <w:szCs w:val="20"/>
          <w:color w:val="auto"/>
        </w:rPr>
      </w:pPr>
      <w:r>
        <w:rPr>
          <w:rFonts w:ascii="Arial" w:cs="Arial" w:eastAsia="Arial" w:hAnsi="Arial"/>
          <w:sz w:val="16"/>
          <w:szCs w:val="16"/>
          <w:color w:val="auto"/>
        </w:rPr>
        <w:t>We have granted share options for our Class A common shares to our named executive officers and certain of our directors as more fully described in the section entitled "Executive and Director Compensation." In December 2015, we granted 125,941 share options each to Messrs. Heberlig, Beetham, and Boess and 75,565 share options to Mr. Holm-Jorgensen, each at an exercise price of $1.59 per share. In June 2017, we granted 62,475 share options to Mr. Heberlig, 66,135 share options to Mr. Beetham, 36,598 share options to Mr. Boess, and 40,689 share options to Mr. Holm-Jorgensen, each at an exercise price of $3.80. In March 2018, we granted 109,795 share options each to Messrs. Heberlig and Beetham, 9,149 share options to Mr. Boess, and 36,598 share options to Mr. Holm-Jorgensen, each at an exercise price of $10.36.</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Procedures for Related Person Transactions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board of directors adopted a written related person transaction policy, to be effective upon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considers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0" w:name="page181"/>
    <w:bookmarkEnd w:id="1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PRINCIPAL SHAREHOLDERS</w:t>
      </w:r>
    </w:p>
    <w:p>
      <w:pPr>
        <w:spacing w:after="0" w:line="210" w:lineRule="exact"/>
        <w:rPr>
          <w:sz w:val="20"/>
          <w:szCs w:val="20"/>
          <w:color w:val="auto"/>
        </w:rPr>
      </w:pPr>
    </w:p>
    <w:p>
      <w:pPr>
        <w:ind w:right="60" w:firstLine="433"/>
        <w:spacing w:after="0" w:line="241" w:lineRule="auto"/>
        <w:rPr>
          <w:sz w:val="20"/>
          <w:szCs w:val="20"/>
          <w:color w:val="auto"/>
        </w:rPr>
      </w:pPr>
      <w:r>
        <w:rPr>
          <w:rFonts w:ascii="Arial" w:cs="Arial" w:eastAsia="Arial" w:hAnsi="Arial"/>
          <w:sz w:val="16"/>
          <w:szCs w:val="16"/>
          <w:color w:val="auto"/>
        </w:rPr>
        <w:t>The following table sets forth information with respect to the beneficial ownership of our Class A common shares, Class A1 common shares, Class B common shares and Class B1 common shares, as of March 31, 2018, and as adjusted to reflect the sale of Class A common shares in this offering, by:</w:t>
      </w:r>
    </w:p>
    <w:p>
      <w:pPr>
        <w:spacing w:after="0" w:line="185" w:lineRule="exact"/>
        <w:rPr>
          <w:sz w:val="20"/>
          <w:szCs w:val="20"/>
          <w:color w:val="auto"/>
        </w:rPr>
      </w:pPr>
    </w:p>
    <w:p>
      <w:pPr>
        <w:ind w:left="960" w:hanging="481"/>
        <w:spacing w:after="0"/>
        <w:tabs>
          <w:tab w:leader="none" w:pos="9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Class A common shares or Class B common shares;</w:t>
      </w:r>
    </w:p>
    <w:p>
      <w:pPr>
        <w:spacing w:after="0" w:line="201" w:lineRule="exact"/>
        <w:rPr>
          <w:rFonts w:ascii="Arial" w:cs="Arial" w:eastAsia="Arial" w:hAnsi="Arial"/>
          <w:sz w:val="15"/>
          <w:szCs w:val="15"/>
          <w:color w:val="auto"/>
        </w:rPr>
      </w:pPr>
    </w:p>
    <w:p>
      <w:pPr>
        <w:ind w:left="960" w:hanging="481"/>
        <w:spacing w:after="0"/>
        <w:tabs>
          <w:tab w:leader="none" w:pos="9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of our named executive officers and directors;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9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number of shares beneficially owned by each shareholder is determined under rules issued by the SEC. Under these rules, beneficial ownership includes any shares over which the individual or entity has sole or shared voting power or investment power. Applicable percentage ownership is based on 6,270,569 Class A common shares outstanding, 12,995,954 Class A1 common shares outstanding, 4,638,855 Class B common shares outstanding, and 16,057,618 Class B1 common shares outstanding, each as of March 31, 2018, assuming the conversion of all outstanding preferred shares into 5,546,019 Class A common shares, 12,995,954 Class A1 common shares, 1,070,502 Class B common shares, and 16,057,618 Class B1 common shares in connection with this offering. In computing the number of shares beneficially owned by an individual or entity and the percentage ownership of that person, common shares subject to options or other rights held by such person that are currently exercisable or will become exercisable within 60 days of March 31, 2018 are considered outstanding, although these shares are not considered outstanding for purposes of computing the percentage ownership of any other person.</w:t>
      </w:r>
    </w:p>
    <w:p>
      <w:pPr>
        <w:spacing w:after="0" w:line="187" w:lineRule="exact"/>
        <w:rPr>
          <w:sz w:val="20"/>
          <w:szCs w:val="20"/>
          <w:color w:val="auto"/>
        </w:rPr>
      </w:pPr>
    </w:p>
    <w:p>
      <w:pPr>
        <w:ind w:right="180" w:firstLine="436"/>
        <w:spacing w:after="0" w:line="239" w:lineRule="auto"/>
        <w:rPr>
          <w:sz w:val="20"/>
          <w:szCs w:val="20"/>
          <w:color w:val="auto"/>
        </w:rPr>
      </w:pPr>
      <w:r>
        <w:rPr>
          <w:rFonts w:ascii="Arial" w:cs="Arial" w:eastAsia="Arial" w:hAnsi="Arial"/>
          <w:sz w:val="16"/>
          <w:szCs w:val="16"/>
          <w:color w:val="auto"/>
        </w:rPr>
        <w:t>Unless noted otherwise, the address of all listed shareholders is c/o Kiniksa Pharmaceuticals Corp., 100 Hayden Avenue, Lexington, Massachusetts 02421. Each of the shareholders listed has sole voting and investment power with respect to the shares beneficially owned by the shareholder unless noted otherwise, subject to community property laws where applicable.</w:t>
      </w:r>
    </w:p>
    <w:p>
      <w:pPr>
        <w:spacing w:after="0" w:line="186"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Certain of our existing shareholders, including shareholders affiliated with certain of our directors, have indicated an interest in purchasing an aggregate of approximately $50.0 million of Class A common shares in this offering at the initial public offering price per share. However, because indications of interest are not binding agreements or commitments to purchase, the underwriters may determine to sell more, less or no shares in this offering to any of these existing shareholders, or any of these existing shareholders may determine to purchase more, less or no shares in this offering. The underwriters will receive the same underwriting discount on any shares purchased by these existing shareholders as they will on any other shares sold to the public in this offering. The following table does not reflect any such purchases by these existing shareholders or their affiliated entities.</w:t>
      </w:r>
    </w:p>
    <w:p>
      <w:pPr>
        <w:spacing w:after="0" w:line="18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Our Class A1 common shares are convertible into Class A common shares at any time at the option of the holder, with prior notice to us, on a one-for-one basis, unless, immediately prior to or following such conversion, the holder and its affiliates beneficially own, or would beneficially own, more than 4.99% of the issued and outstanding Class A common shares. Accordingly, each holder of Class A1 common shares is deemed to be the beneficial owner of the number of Class A common shares that would result in such holder owning up to 4.99% of the issued and outstanding Class A common shares, in addition to any other Class A common shares beneficially owned by such holder.</w:t>
      </w:r>
    </w:p>
    <w:p>
      <w:pPr>
        <w:spacing w:after="0" w:line="189" w:lineRule="exact"/>
        <w:rPr>
          <w:sz w:val="20"/>
          <w:szCs w:val="20"/>
          <w:color w:val="auto"/>
        </w:rPr>
      </w:pPr>
    </w:p>
    <w:p>
      <w:pPr>
        <w:ind w:right="40" w:firstLine="436"/>
        <w:spacing w:after="0" w:line="241" w:lineRule="auto"/>
        <w:rPr>
          <w:sz w:val="20"/>
          <w:szCs w:val="20"/>
          <w:color w:val="auto"/>
        </w:rPr>
      </w:pPr>
      <w:r>
        <w:rPr>
          <w:rFonts w:ascii="Arial" w:cs="Arial" w:eastAsia="Arial" w:hAnsi="Arial"/>
          <w:sz w:val="16"/>
          <w:szCs w:val="16"/>
          <w:color w:val="auto"/>
        </w:rPr>
        <w:t>Our Class B common shares are convertible into Class A common shares or Class B1 common shares at any time at the option of the holder, with prior notice to us, on a one-for-one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81" w:name="page182"/>
    <w:bookmarkEnd w:id="1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basis. Accordingly, each holder of Class B common shares is deemed to be the beneficial owner of, in each case, an equal number of Class A common shares and Class B1 common shares, in addition to any other Class A common shares or Class B1 common shares beneficially owned by such holder.</w:t>
      </w:r>
    </w:p>
    <w:p>
      <w:pPr>
        <w:spacing w:after="0" w:line="185" w:lineRule="exact"/>
        <w:rPr>
          <w:sz w:val="20"/>
          <w:szCs w:val="20"/>
          <w:color w:val="auto"/>
        </w:rPr>
      </w:pPr>
    </w:p>
    <w:p>
      <w:pPr>
        <w:ind w:firstLine="436"/>
        <w:spacing w:after="0" w:line="257" w:lineRule="auto"/>
        <w:rPr>
          <w:sz w:val="20"/>
          <w:szCs w:val="20"/>
          <w:color w:val="auto"/>
        </w:rPr>
      </w:pPr>
      <w:r>
        <w:rPr>
          <w:rFonts w:ascii="Arial" w:cs="Arial" w:eastAsia="Arial" w:hAnsi="Arial"/>
          <w:sz w:val="15"/>
          <w:szCs w:val="15"/>
          <w:color w:val="auto"/>
        </w:rPr>
        <w:t>Our Class B1 common shares are convertible into Class A common shares or Class B common shares at any time at the option of the holder, with prior notice to us, on a one-for-one basis, unless, immediately prior to or following such conversion, the holder and its affiliates beneficially own, or would beneficially own, more than 4.99% of the issued and outstanding Class A common shares. Accordingly, each holder of Class B1 common shares is deemed to be the beneficial owner of the number of Class A common shares and Class B common shares, in each case, that would result in such holder owning up to 4.99% of the issued and outstanding Class A common shares, in addition to any other Class A common shares or Class B common shares beneficially owned by such holder.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82" w:name="page183"/>
    <w:bookmarkEnd w:id="182"/>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11"/>
          </w:tcPr>
          <w:p>
            <w:pPr>
              <w:ind w:left="160"/>
              <w:spacing w:after="0"/>
              <w:rPr>
                <w:sz w:val="20"/>
                <w:szCs w:val="20"/>
                <w:color w:val="auto"/>
              </w:rPr>
            </w:pPr>
            <w:r>
              <w:rPr>
                <w:rFonts w:ascii="Arial" w:cs="Arial" w:eastAsia="Arial" w:hAnsi="Arial"/>
                <w:sz w:val="13"/>
                <w:szCs w:val="13"/>
                <w:b w:val="1"/>
                <w:bCs w:val="1"/>
                <w:color w:val="auto"/>
              </w:rPr>
              <w:t>Beneficial Ownership Before the Offering</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11"/>
          </w:tcPr>
          <w:p>
            <w:pPr>
              <w:ind w:left="220"/>
              <w:spacing w:after="0"/>
              <w:rPr>
                <w:sz w:val="20"/>
                <w:szCs w:val="20"/>
                <w:color w:val="auto"/>
              </w:rPr>
            </w:pPr>
            <w:r>
              <w:rPr>
                <w:rFonts w:ascii="Arial" w:cs="Arial" w:eastAsia="Arial" w:hAnsi="Arial"/>
                <w:sz w:val="13"/>
                <w:szCs w:val="13"/>
                <w:b w:val="1"/>
                <w:bCs w:val="1"/>
                <w:color w:val="auto"/>
              </w:rPr>
              <w:t>Beneficial Ownership After the Offering</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4"/>
              </w:rPr>
              <w:t>%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89"/>
              </w:rPr>
              <w:t>Total</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6"/>
              </w:rPr>
              <w:t>Class A</w:t>
            </w:r>
          </w:p>
        </w:tc>
        <w:tc>
          <w:tcPr>
            <w:tcW w:w="1120" w:type="dxa"/>
            <w:vAlign w:val="bottom"/>
            <w:gridSpan w:val="4"/>
          </w:tcPr>
          <w:p>
            <w:pPr>
              <w:jc w:val="center"/>
              <w:ind w:right="140"/>
              <w:spacing w:after="0" w:line="145" w:lineRule="exact"/>
              <w:rPr>
                <w:sz w:val="20"/>
                <w:szCs w:val="20"/>
                <w:color w:val="auto"/>
              </w:rPr>
            </w:pPr>
            <w:r>
              <w:rPr>
                <w:rFonts w:ascii="Arial" w:cs="Arial" w:eastAsia="Arial" w:hAnsi="Arial"/>
                <w:sz w:val="13"/>
                <w:szCs w:val="13"/>
                <w:b w:val="1"/>
                <w:bCs w:val="1"/>
                <w:color w:val="auto"/>
                <w:w w:val="98"/>
              </w:rPr>
              <w:t>Class A1</w:t>
            </w: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6"/>
              </w:rPr>
              <w:t>Class B</w:t>
            </w:r>
          </w:p>
        </w:tc>
        <w:tc>
          <w:tcPr>
            <w:tcW w:w="1200" w:type="dxa"/>
            <w:vAlign w:val="bottom"/>
            <w:gridSpan w:val="5"/>
          </w:tcPr>
          <w:p>
            <w:pPr>
              <w:jc w:val="center"/>
              <w:ind w:right="100"/>
              <w:spacing w:after="0" w:line="145" w:lineRule="exact"/>
              <w:rPr>
                <w:sz w:val="20"/>
                <w:szCs w:val="20"/>
                <w:color w:val="auto"/>
              </w:rPr>
            </w:pPr>
            <w:r>
              <w:rPr>
                <w:rFonts w:ascii="Arial" w:cs="Arial" w:eastAsia="Arial" w:hAnsi="Arial"/>
                <w:sz w:val="13"/>
                <w:szCs w:val="13"/>
                <w:b w:val="1"/>
                <w:bCs w:val="1"/>
                <w:color w:val="auto"/>
                <w:w w:val="98"/>
              </w:rPr>
              <w:t>Class B1</w:t>
            </w:r>
          </w:p>
        </w:tc>
        <w:tc>
          <w:tcPr>
            <w:tcW w:w="6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8"/>
              </w:rPr>
              <w:t>Voting</w:t>
            </w:r>
          </w:p>
        </w:tc>
        <w:tc>
          <w:tcPr>
            <w:tcW w:w="112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rPr>
              <w:t>Class A</w:t>
            </w:r>
          </w:p>
        </w:tc>
        <w:tc>
          <w:tcPr>
            <w:tcW w:w="1140" w:type="dxa"/>
            <w:vAlign w:val="bottom"/>
            <w:gridSpan w:val="4"/>
          </w:tcPr>
          <w:p>
            <w:pPr>
              <w:ind w:left="240"/>
              <w:spacing w:after="0" w:line="145" w:lineRule="exact"/>
              <w:rPr>
                <w:sz w:val="20"/>
                <w:szCs w:val="20"/>
                <w:color w:val="auto"/>
              </w:rPr>
            </w:pPr>
            <w:r>
              <w:rPr>
                <w:rFonts w:ascii="Arial" w:cs="Arial" w:eastAsia="Arial" w:hAnsi="Arial"/>
                <w:sz w:val="13"/>
                <w:szCs w:val="13"/>
                <w:b w:val="1"/>
                <w:bCs w:val="1"/>
                <w:color w:val="auto"/>
              </w:rPr>
              <w:t>Class A1</w:t>
            </w: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6"/>
              </w:rPr>
              <w:t>Class B</w:t>
            </w:r>
          </w:p>
        </w:tc>
        <w:tc>
          <w:tcPr>
            <w:tcW w:w="1200" w:type="dxa"/>
            <w:vAlign w:val="bottom"/>
            <w:gridSpan w:val="5"/>
          </w:tcPr>
          <w:p>
            <w:pPr>
              <w:jc w:val="center"/>
              <w:ind w:right="140"/>
              <w:spacing w:after="0" w:line="145" w:lineRule="exact"/>
              <w:rPr>
                <w:sz w:val="20"/>
                <w:szCs w:val="20"/>
                <w:color w:val="auto"/>
              </w:rPr>
            </w:pPr>
            <w:r>
              <w:rPr>
                <w:rFonts w:ascii="Arial" w:cs="Arial" w:eastAsia="Arial" w:hAnsi="Arial"/>
                <w:sz w:val="13"/>
                <w:szCs w:val="13"/>
                <w:b w:val="1"/>
                <w:bCs w:val="1"/>
                <w:color w:val="auto"/>
                <w:w w:val="98"/>
              </w:rPr>
              <w:t>Class B1</w:t>
            </w:r>
          </w:p>
        </w:tc>
        <w:tc>
          <w:tcPr>
            <w:tcW w:w="62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3"/>
              </w:rPr>
              <w:t>Voting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9"/>
              </w:rPr>
              <w:t>common</w:t>
            </w:r>
          </w:p>
        </w:tc>
        <w:tc>
          <w:tcPr>
            <w:tcW w:w="112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5"/>
              </w:rPr>
              <w:t>common</w:t>
            </w: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9"/>
              </w:rPr>
              <w:t>common</w:t>
            </w:r>
          </w:p>
        </w:tc>
        <w:tc>
          <w:tcPr>
            <w:tcW w:w="1200" w:type="dxa"/>
            <w:vAlign w:val="bottom"/>
            <w:gridSpan w:val="5"/>
          </w:tcPr>
          <w:p>
            <w:pPr>
              <w:jc w:val="center"/>
              <w:ind w:right="100"/>
              <w:spacing w:after="0" w:line="145" w:lineRule="exact"/>
              <w:rPr>
                <w:sz w:val="20"/>
                <w:szCs w:val="20"/>
                <w:color w:val="auto"/>
              </w:rPr>
            </w:pPr>
            <w:r>
              <w:rPr>
                <w:rFonts w:ascii="Arial" w:cs="Arial" w:eastAsia="Arial" w:hAnsi="Arial"/>
                <w:sz w:val="13"/>
                <w:szCs w:val="13"/>
                <w:b w:val="1"/>
                <w:bCs w:val="1"/>
                <w:color w:val="auto"/>
                <w:w w:val="99"/>
              </w:rPr>
              <w:t>common</w:t>
            </w:r>
          </w:p>
        </w:tc>
        <w:tc>
          <w:tcPr>
            <w:tcW w:w="6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rPr>
              <w:t>Power</w:t>
            </w:r>
          </w:p>
        </w:tc>
        <w:tc>
          <w:tcPr>
            <w:tcW w:w="112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5"/>
              </w:rPr>
              <w:t>common</w:t>
            </w:r>
          </w:p>
        </w:tc>
        <w:tc>
          <w:tcPr>
            <w:tcW w:w="1140" w:type="dxa"/>
            <w:vAlign w:val="bottom"/>
            <w:gridSpan w:val="4"/>
          </w:tcPr>
          <w:p>
            <w:pPr>
              <w:ind w:left="240"/>
              <w:spacing w:after="0" w:line="145" w:lineRule="exact"/>
              <w:rPr>
                <w:sz w:val="20"/>
                <w:szCs w:val="20"/>
                <w:color w:val="auto"/>
              </w:rPr>
            </w:pPr>
            <w:r>
              <w:rPr>
                <w:rFonts w:ascii="Arial" w:cs="Arial" w:eastAsia="Arial" w:hAnsi="Arial"/>
                <w:sz w:val="13"/>
                <w:szCs w:val="13"/>
                <w:b w:val="1"/>
                <w:bCs w:val="1"/>
                <w:color w:val="auto"/>
              </w:rPr>
              <w:t>common</w:t>
            </w:r>
          </w:p>
        </w:tc>
        <w:tc>
          <w:tcPr>
            <w:tcW w:w="1140" w:type="dxa"/>
            <w:vAlign w:val="bottom"/>
            <w:gridSpan w:val="4"/>
          </w:tcPr>
          <w:p>
            <w:pPr>
              <w:jc w:val="center"/>
              <w:ind w:right="120"/>
              <w:spacing w:after="0" w:line="145" w:lineRule="exact"/>
              <w:rPr>
                <w:sz w:val="20"/>
                <w:szCs w:val="20"/>
                <w:color w:val="auto"/>
              </w:rPr>
            </w:pPr>
            <w:r>
              <w:rPr>
                <w:rFonts w:ascii="Arial" w:cs="Arial" w:eastAsia="Arial" w:hAnsi="Arial"/>
                <w:sz w:val="13"/>
                <w:szCs w:val="13"/>
                <w:b w:val="1"/>
                <w:bCs w:val="1"/>
                <w:color w:val="auto"/>
                <w:w w:val="99"/>
              </w:rPr>
              <w:t>common</w:t>
            </w:r>
          </w:p>
        </w:tc>
        <w:tc>
          <w:tcPr>
            <w:tcW w:w="1200" w:type="dxa"/>
            <w:vAlign w:val="bottom"/>
            <w:gridSpan w:val="5"/>
          </w:tcPr>
          <w:p>
            <w:pPr>
              <w:jc w:val="center"/>
              <w:ind w:right="140"/>
              <w:spacing w:after="0" w:line="145" w:lineRule="exact"/>
              <w:rPr>
                <w:sz w:val="20"/>
                <w:szCs w:val="20"/>
                <w:color w:val="auto"/>
              </w:rPr>
            </w:pPr>
            <w:r>
              <w:rPr>
                <w:rFonts w:ascii="Arial" w:cs="Arial" w:eastAsia="Arial" w:hAnsi="Arial"/>
                <w:sz w:val="13"/>
                <w:szCs w:val="13"/>
                <w:b w:val="1"/>
                <w:bCs w:val="1"/>
                <w:color w:val="auto"/>
                <w:w w:val="99"/>
              </w:rPr>
              <w:t>common</w:t>
            </w:r>
          </w:p>
        </w:tc>
        <w:tc>
          <w:tcPr>
            <w:tcW w:w="62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7"/>
              </w:rPr>
              <w:t>Power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5"/>
              </w:rPr>
              <w:t>shares</w:t>
            </w:r>
          </w:p>
        </w:tc>
        <w:tc>
          <w:tcPr>
            <w:tcW w:w="11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shares</w:t>
            </w:r>
          </w:p>
        </w:tc>
        <w:tc>
          <w:tcPr>
            <w:tcW w:w="760" w:type="dxa"/>
            <w:vAlign w:val="bottom"/>
            <w:gridSpan w:val="3"/>
          </w:tcPr>
          <w:p>
            <w:pPr>
              <w:jc w:val="center"/>
              <w:ind w:left="256"/>
              <w:spacing w:after="0"/>
              <w:rPr>
                <w:sz w:val="20"/>
                <w:szCs w:val="20"/>
                <w:color w:val="auto"/>
              </w:rPr>
            </w:pPr>
            <w:r>
              <w:rPr>
                <w:rFonts w:ascii="Arial" w:cs="Arial" w:eastAsia="Arial" w:hAnsi="Arial"/>
                <w:sz w:val="13"/>
                <w:szCs w:val="13"/>
                <w:b w:val="1"/>
                <w:bCs w:val="1"/>
                <w:color w:val="auto"/>
                <w:w w:val="95"/>
              </w:rPr>
              <w:t>shares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Before</w:t>
            </w:r>
          </w:p>
        </w:tc>
        <w:tc>
          <w:tcPr>
            <w:tcW w:w="11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5"/>
              </w:rPr>
              <w:t>shares</w:t>
            </w:r>
          </w:p>
        </w:tc>
        <w:tc>
          <w:tcPr>
            <w:tcW w:w="114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11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rPr>
              <w:t>shares</w:t>
            </w:r>
          </w:p>
        </w:tc>
        <w:tc>
          <w:tcPr>
            <w:tcW w:w="760" w:type="dxa"/>
            <w:vAlign w:val="bottom"/>
            <w:gridSpan w:val="3"/>
          </w:tcPr>
          <w:p>
            <w:pPr>
              <w:jc w:val="center"/>
              <w:ind w:left="256"/>
              <w:spacing w:after="0"/>
              <w:rPr>
                <w:sz w:val="20"/>
                <w:szCs w:val="20"/>
                <w:color w:val="auto"/>
              </w:rPr>
            </w:pPr>
            <w:r>
              <w:rPr>
                <w:rFonts w:ascii="Arial" w:cs="Arial" w:eastAsia="Arial" w:hAnsi="Arial"/>
                <w:sz w:val="13"/>
                <w:szCs w:val="13"/>
                <w:b w:val="1"/>
                <w:bCs w:val="1"/>
                <w:color w:val="auto"/>
                <w:w w:val="95"/>
              </w:rPr>
              <w:t>shares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After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center"/>
              <w:ind w:right="120"/>
              <w:spacing w:after="0" w:line="109" w:lineRule="exact"/>
              <w:rPr>
                <w:sz w:val="20"/>
                <w:szCs w:val="20"/>
                <w:color w:val="auto"/>
              </w:rPr>
            </w:pPr>
            <w:r>
              <w:rPr>
                <w:rFonts w:ascii="Arial" w:cs="Arial" w:eastAsia="Arial" w:hAnsi="Arial"/>
                <w:sz w:val="12"/>
                <w:szCs w:val="12"/>
                <w:b w:val="1"/>
                <w:bCs w:val="1"/>
                <w:color w:val="auto"/>
              </w:rPr>
              <w:t>the</w:t>
            </w: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center"/>
              <w:ind w:right="100"/>
              <w:spacing w:after="0" w:line="109" w:lineRule="exact"/>
              <w:rPr>
                <w:sz w:val="20"/>
                <w:szCs w:val="20"/>
                <w:color w:val="auto"/>
              </w:rPr>
            </w:pPr>
            <w:r>
              <w:rPr>
                <w:rFonts w:ascii="Arial" w:cs="Arial" w:eastAsia="Arial" w:hAnsi="Arial"/>
                <w:sz w:val="12"/>
                <w:szCs w:val="12"/>
                <w:b w:val="1"/>
                <w:bCs w:val="1"/>
                <w:color w:val="auto"/>
              </w:rPr>
              <w:t>the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8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6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Offering</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b w:val="1"/>
                <w:bCs w:val="1"/>
                <w:color w:val="auto"/>
              </w:rPr>
              <w:t>Shares</w:t>
            </w:r>
          </w:p>
        </w:tc>
        <w:tc>
          <w:tcPr>
            <w:tcW w:w="40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6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jc w:val="right"/>
              <w:ind w:right="5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Offering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Name of</w:t>
            </w: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b w:val="1"/>
                <w:bCs w:val="1"/>
                <w:color w:val="auto"/>
              </w:rPr>
              <w:t>Beneficial</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Owner:</w:t>
            </w: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2"/>
          </w:tcPr>
          <w:p>
            <w:pPr>
              <w:spacing w:after="0" w:line="133" w:lineRule="exact"/>
              <w:rPr>
                <w:sz w:val="20"/>
                <w:szCs w:val="20"/>
                <w:color w:val="auto"/>
              </w:rPr>
            </w:pPr>
            <w:r>
              <w:rPr>
                <w:rFonts w:ascii="Arial" w:cs="Arial" w:eastAsia="Arial" w:hAnsi="Arial"/>
                <w:sz w:val="13"/>
                <w:szCs w:val="13"/>
                <w:b w:val="1"/>
                <w:bCs w:val="1"/>
                <w:i w:val="1"/>
                <w:iCs w:val="1"/>
                <w:color w:val="auto"/>
              </w:rPr>
              <w:t>5% or Greater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i w:val="1"/>
                <w:iCs w:val="1"/>
                <w:color w:val="auto"/>
              </w:rPr>
              <w:t>Shareholders:</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ArrowMark</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Funds</w:t>
            </w:r>
            <w:r>
              <w:rPr>
                <w:rFonts w:ascii="Arial" w:cs="Arial" w:eastAsia="Arial" w:hAnsi="Arial"/>
                <w:sz w:val="19"/>
                <w:szCs w:val="19"/>
                <w:color w:val="auto"/>
                <w:vertAlign w:val="superscript"/>
              </w:rPr>
              <w:t>(1)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1,020,408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16.27%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1.94% 1,020,408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49"/>
        </w:trPr>
        <w:tc>
          <w:tcPr>
            <w:tcW w:w="1060" w:type="dxa"/>
            <w:vAlign w:val="bottom"/>
            <w:gridSpan w:val="3"/>
          </w:tcPr>
          <w:p>
            <w:pPr>
              <w:spacing w:after="0"/>
              <w:rPr>
                <w:sz w:val="20"/>
                <w:szCs w:val="20"/>
                <w:color w:val="auto"/>
              </w:rPr>
            </w:pPr>
            <w:r>
              <w:rPr>
                <w:rFonts w:ascii="Arial" w:cs="Arial" w:eastAsia="Arial" w:hAnsi="Arial"/>
                <w:sz w:val="13"/>
                <w:szCs w:val="13"/>
                <w:color w:val="auto"/>
              </w:rPr>
              <w:t>Sofinnova</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Venture</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40" w:type="dxa"/>
            <w:vAlign w:val="bottom"/>
            <w:gridSpan w:val="2"/>
          </w:tcPr>
          <w:p>
            <w:pPr>
              <w:ind w:left="60"/>
              <w:spacing w:after="0" w:line="116" w:lineRule="exact"/>
              <w:rPr>
                <w:sz w:val="20"/>
                <w:szCs w:val="20"/>
                <w:color w:val="auto"/>
              </w:rPr>
            </w:pPr>
            <w:r>
              <w:rPr>
                <w:rFonts w:ascii="Arial" w:cs="Arial" w:eastAsia="Arial" w:hAnsi="Arial"/>
                <w:sz w:val="13"/>
                <w:szCs w:val="13"/>
                <w:color w:val="auto"/>
              </w:rPr>
              <w:t>Partners X, L.P.</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gridSpan w:val="2"/>
          </w:tcPr>
          <w:p>
            <w:pPr>
              <w:ind w:left="80"/>
              <w:spacing w:after="0"/>
              <w:rPr>
                <w:sz w:val="20"/>
                <w:szCs w:val="20"/>
                <w:color w:val="auto"/>
              </w:rPr>
            </w:pPr>
            <w:r>
              <w:rPr>
                <w:rFonts w:ascii="Arial" w:cs="Arial" w:eastAsia="Arial" w:hAnsi="Arial"/>
                <w:sz w:val="10"/>
                <w:szCs w:val="10"/>
                <w:color w:val="auto"/>
              </w:rPr>
              <w:t>(2)</w:t>
            </w:r>
          </w:p>
        </w:tc>
        <w:tc>
          <w:tcPr>
            <w:tcW w:w="24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894,923</w:t>
            </w: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14.27%</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1.70%</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894,923</w:t>
            </w: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6.74%</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Cormorant</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Funds</w:t>
            </w:r>
            <w:r>
              <w:rPr>
                <w:rFonts w:ascii="Arial" w:cs="Arial" w:eastAsia="Arial" w:hAnsi="Arial"/>
                <w:sz w:val="19"/>
                <w:szCs w:val="19"/>
                <w:color w:val="auto"/>
                <w:vertAlign w:val="superscript"/>
              </w:rPr>
              <w:t>(3)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830,999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13.25%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830,999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49"/>
        </w:trPr>
        <w:tc>
          <w:tcPr>
            <w:tcW w:w="1060" w:type="dxa"/>
            <w:vAlign w:val="bottom"/>
            <w:gridSpan w:val="3"/>
          </w:tcPr>
          <w:p>
            <w:pPr>
              <w:spacing w:after="0"/>
              <w:rPr>
                <w:sz w:val="20"/>
                <w:szCs w:val="20"/>
                <w:color w:val="auto"/>
              </w:rPr>
            </w:pPr>
            <w:r>
              <w:rPr>
                <w:rFonts w:ascii="Arial" w:cs="Arial" w:eastAsia="Arial" w:hAnsi="Arial"/>
                <w:sz w:val="13"/>
                <w:szCs w:val="13"/>
                <w:color w:val="auto"/>
              </w:rPr>
              <w:t>Entities Affiliated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with Dr. Robert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Desnick</w:t>
            </w:r>
            <w:r>
              <w:rPr>
                <w:rFonts w:ascii="Arial" w:cs="Arial" w:eastAsia="Arial" w:hAnsi="Arial"/>
                <w:sz w:val="19"/>
                <w:szCs w:val="19"/>
                <w:color w:val="auto"/>
                <w:vertAlign w:val="superscript"/>
              </w:rPr>
              <w:t>(4)</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679,631</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10.84%</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214,101</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4.62%</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214,101</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4.95%</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679,631</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5.04%</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214,101</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4.62%</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214,101</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shd w:val="clear" w:color="auto" w:fill="CCEEFF"/>
          </w:tcPr>
          <w:p>
            <w:pPr>
              <w:spacing w:after="0" w:line="169" w:lineRule="exact"/>
              <w:rPr>
                <w:sz w:val="20"/>
                <w:szCs w:val="20"/>
                <w:color w:val="auto"/>
              </w:rPr>
            </w:pPr>
            <w:r>
              <w:rPr>
                <w:rFonts w:ascii="Arial" w:cs="Arial" w:eastAsia="Arial" w:hAnsi="Arial"/>
                <w:sz w:val="13"/>
                <w:szCs w:val="13"/>
                <w:color w:val="auto"/>
              </w:rPr>
              <w:t>Fidelity Funds</w:t>
            </w:r>
            <w:r>
              <w:rPr>
                <w:rFonts w:ascii="Arial" w:cs="Arial" w:eastAsia="Arial" w:hAnsi="Arial"/>
                <w:sz w:val="19"/>
                <w:szCs w:val="19"/>
                <w:color w:val="auto"/>
                <w:vertAlign w:val="superscript"/>
              </w:rPr>
              <w:t>(5)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639,230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10.19%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639,230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tcPr>
          <w:p>
            <w:pPr>
              <w:spacing w:after="0" w:line="169" w:lineRule="exact"/>
              <w:rPr>
                <w:sz w:val="20"/>
                <w:szCs w:val="20"/>
                <w:color w:val="auto"/>
              </w:rPr>
            </w:pPr>
            <w:r>
              <w:rPr>
                <w:rFonts w:ascii="Arial" w:cs="Arial" w:eastAsia="Arial" w:hAnsi="Arial"/>
                <w:sz w:val="13"/>
                <w:szCs w:val="13"/>
                <w:color w:val="auto"/>
                <w:w w:val="99"/>
              </w:rPr>
              <w:t>Venrock Funds</w:t>
            </w:r>
            <w:r>
              <w:rPr>
                <w:rFonts w:ascii="Arial" w:cs="Arial" w:eastAsia="Arial" w:hAnsi="Arial"/>
                <w:sz w:val="19"/>
                <w:szCs w:val="19"/>
                <w:color w:val="auto"/>
                <w:w w:val="99"/>
                <w:vertAlign w:val="superscript"/>
              </w:rPr>
              <w:t>(6)</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639,230</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10.19%</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1.21%</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639,230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4.82%</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Deerfield Special</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Situations</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Fund, L.P.</w:t>
            </w:r>
            <w:r>
              <w:rPr>
                <w:rFonts w:ascii="Arial" w:cs="Arial" w:eastAsia="Arial" w:hAnsi="Arial"/>
                <w:sz w:val="19"/>
                <w:szCs w:val="19"/>
                <w:color w:val="auto"/>
                <w:vertAlign w:val="superscript"/>
              </w:rPr>
              <w:t>(7)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383,538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6.12%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383,538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60" w:type="dxa"/>
            <w:vAlign w:val="bottom"/>
            <w:gridSpan w:val="3"/>
          </w:tcPr>
          <w:p>
            <w:pPr>
              <w:spacing w:after="0"/>
              <w:rPr>
                <w:sz w:val="20"/>
                <w:szCs w:val="20"/>
                <w:color w:val="auto"/>
              </w:rPr>
            </w:pPr>
            <w:r>
              <w:rPr>
                <w:rFonts w:ascii="Arial" w:cs="Arial" w:eastAsia="Arial" w:hAnsi="Arial"/>
                <w:sz w:val="13"/>
                <w:szCs w:val="13"/>
                <w:color w:val="auto"/>
              </w:rPr>
              <w:t>Entities managed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by Baker Bros.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Advisors LP</w:t>
            </w:r>
            <w:r>
              <w:rPr>
                <w:rFonts w:ascii="Arial" w:cs="Arial" w:eastAsia="Arial" w:hAnsi="Arial"/>
                <w:sz w:val="19"/>
                <w:szCs w:val="19"/>
                <w:color w:val="auto"/>
                <w:vertAlign w:val="superscript"/>
              </w:rPr>
              <w:t>(8)</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328,988</w:t>
            </w:r>
          </w:p>
        </w:tc>
        <w:tc>
          <w:tcPr>
            <w:tcW w:w="1140" w:type="dxa"/>
            <w:vAlign w:val="bottom"/>
            <w:gridSpan w:val="4"/>
          </w:tcPr>
          <w:p>
            <w:pPr>
              <w:jc w:val="right"/>
              <w:ind w:right="40"/>
              <w:spacing w:after="0"/>
              <w:rPr>
                <w:sz w:val="20"/>
                <w:szCs w:val="20"/>
                <w:color w:val="auto"/>
              </w:rPr>
            </w:pPr>
            <w:r>
              <w:rPr>
                <w:rFonts w:ascii="Arial" w:cs="Arial" w:eastAsia="Arial" w:hAnsi="Arial"/>
                <w:sz w:val="13"/>
                <w:szCs w:val="13"/>
                <w:color w:val="auto"/>
              </w:rPr>
              <w:t>4.99% 7,753,392</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59.66%</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328,988</w:t>
            </w:r>
          </w:p>
        </w:tc>
        <w:tc>
          <w:tcPr>
            <w:tcW w:w="1200" w:type="dxa"/>
            <w:vAlign w:val="bottom"/>
            <w:gridSpan w:val="4"/>
          </w:tcPr>
          <w:p>
            <w:pPr>
              <w:jc w:val="right"/>
              <w:ind w:right="40"/>
              <w:spacing w:after="0"/>
              <w:rPr>
                <w:sz w:val="20"/>
                <w:szCs w:val="20"/>
                <w:color w:val="auto"/>
              </w:rPr>
            </w:pPr>
            <w:r>
              <w:rPr>
                <w:rFonts w:ascii="Arial" w:cs="Arial" w:eastAsia="Arial" w:hAnsi="Arial"/>
                <w:sz w:val="13"/>
                <w:szCs w:val="13"/>
                <w:color w:val="auto"/>
              </w:rPr>
              <w:t>6.62% 16,057,618</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w w:val="95"/>
              </w:rPr>
              <w:t>77.59%</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696,246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4.99%</w:t>
            </w:r>
          </w:p>
        </w:tc>
        <w:tc>
          <w:tcPr>
            <w:tcW w:w="620" w:type="dxa"/>
            <w:vAlign w:val="bottom"/>
          </w:tcPr>
          <w:p>
            <w:pPr>
              <w:jc w:val="right"/>
              <w:spacing w:after="0"/>
              <w:rPr>
                <w:sz w:val="20"/>
                <w:szCs w:val="20"/>
                <w:color w:val="auto"/>
              </w:rPr>
            </w:pPr>
            <w:r>
              <w:rPr>
                <w:rFonts w:ascii="Arial" w:cs="Arial" w:eastAsia="Arial" w:hAnsi="Arial"/>
                <w:sz w:val="13"/>
                <w:szCs w:val="13"/>
                <w:color w:val="auto"/>
              </w:rPr>
              <w:t>7,753,392</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59.66%</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696,246</w:t>
            </w:r>
          </w:p>
        </w:tc>
        <w:tc>
          <w:tcPr>
            <w:tcW w:w="1200" w:type="dxa"/>
            <w:vAlign w:val="bottom"/>
            <w:gridSpan w:val="4"/>
          </w:tcPr>
          <w:p>
            <w:pPr>
              <w:jc w:val="right"/>
              <w:ind w:right="40"/>
              <w:spacing w:after="0"/>
              <w:rPr>
                <w:sz w:val="20"/>
                <w:szCs w:val="20"/>
                <w:color w:val="auto"/>
              </w:rPr>
            </w:pPr>
            <w:r>
              <w:rPr>
                <w:rFonts w:ascii="Arial" w:cs="Arial" w:eastAsia="Arial" w:hAnsi="Arial"/>
                <w:sz w:val="13"/>
                <w:szCs w:val="13"/>
                <w:color w:val="auto"/>
              </w:rPr>
              <w:t>13.05% 16,057,618</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w w:val="95"/>
              </w:rPr>
              <w:t>77.59%</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b w:val="1"/>
                <w:bCs w:val="1"/>
                <w:i w:val="1"/>
                <w:iCs w:val="1"/>
                <w:color w:val="auto"/>
              </w:rPr>
              <w:t>Officers and</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i w:val="1"/>
                <w:iCs w:val="1"/>
                <w:color w:val="auto"/>
              </w:rPr>
              <w:t>Directors:</w:t>
            </w: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tcPr>
          <w:p>
            <w:pPr>
              <w:spacing w:after="0" w:line="169" w:lineRule="exact"/>
              <w:rPr>
                <w:sz w:val="20"/>
                <w:szCs w:val="20"/>
                <w:color w:val="auto"/>
              </w:rPr>
            </w:pPr>
            <w:r>
              <w:rPr>
                <w:rFonts w:ascii="Arial" w:cs="Arial" w:eastAsia="Arial" w:hAnsi="Arial"/>
                <w:sz w:val="13"/>
                <w:szCs w:val="13"/>
                <w:color w:val="auto"/>
              </w:rPr>
              <w:t>Sanj K. Patel</w:t>
            </w:r>
            <w:r>
              <w:rPr>
                <w:rFonts w:ascii="Arial" w:cs="Arial" w:eastAsia="Arial" w:hAnsi="Arial"/>
                <w:sz w:val="19"/>
                <w:szCs w:val="19"/>
                <w:color w:val="auto"/>
                <w:vertAlign w:val="superscript"/>
              </w:rPr>
              <w:t>(9)</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2,227,979</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28.88%</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1,526,160</w:t>
            </w:r>
          </w:p>
        </w:tc>
        <w:tc>
          <w:tcPr>
            <w:tcW w:w="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32.90%</w:t>
            </w:r>
          </w:p>
        </w:tc>
        <w:tc>
          <w:tcPr>
            <w:tcW w:w="680" w:type="dxa"/>
            <w:vAlign w:val="bottom"/>
          </w:tcPr>
          <w:p>
            <w:pPr>
              <w:ind w:left="120"/>
              <w:spacing w:after="0"/>
              <w:rPr>
                <w:sz w:val="20"/>
                <w:szCs w:val="20"/>
                <w:color w:val="auto"/>
              </w:rPr>
            </w:pPr>
            <w:r>
              <w:rPr>
                <w:rFonts w:ascii="Arial" w:cs="Arial" w:eastAsia="Arial" w:hAnsi="Arial"/>
                <w:sz w:val="13"/>
                <w:szCs w:val="13"/>
                <w:color w:val="auto"/>
                <w:w w:val="93"/>
              </w:rPr>
              <w:t>1,526,160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7.37%</w:t>
            </w:r>
          </w:p>
        </w:tc>
        <w:tc>
          <w:tcPr>
            <w:tcW w:w="1280" w:type="dxa"/>
            <w:vAlign w:val="bottom"/>
            <w:gridSpan w:val="4"/>
          </w:tcPr>
          <w:p>
            <w:pPr>
              <w:jc w:val="right"/>
              <w:ind w:right="40"/>
              <w:spacing w:after="0"/>
              <w:rPr>
                <w:sz w:val="20"/>
                <w:szCs w:val="20"/>
                <w:color w:val="auto"/>
              </w:rPr>
            </w:pPr>
            <w:r>
              <w:rPr>
                <w:rFonts w:ascii="Arial" w:cs="Arial" w:eastAsia="Arial" w:hAnsi="Arial"/>
                <w:sz w:val="13"/>
                <w:szCs w:val="13"/>
                <w:color w:val="auto"/>
              </w:rPr>
              <w:t>29.66% 2,227,979</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14.71%</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1,526,160</w:t>
            </w:r>
          </w:p>
        </w:tc>
        <w:tc>
          <w:tcPr>
            <w:tcW w:w="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32.90%</w:t>
            </w:r>
          </w:p>
        </w:tc>
        <w:tc>
          <w:tcPr>
            <w:tcW w:w="680" w:type="dxa"/>
            <w:vAlign w:val="bottom"/>
          </w:tcPr>
          <w:p>
            <w:pPr>
              <w:jc w:val="right"/>
              <w:spacing w:after="0"/>
              <w:rPr>
                <w:sz w:val="20"/>
                <w:szCs w:val="20"/>
                <w:color w:val="auto"/>
              </w:rPr>
            </w:pPr>
            <w:r>
              <w:rPr>
                <w:rFonts w:ascii="Arial" w:cs="Arial" w:eastAsia="Arial" w:hAnsi="Arial"/>
                <w:sz w:val="13"/>
                <w:szCs w:val="13"/>
                <w:color w:val="auto"/>
              </w:rPr>
              <w:t>1,526,160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7.37%</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26.18%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Thomas</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Beetham</w:t>
            </w:r>
            <w:r>
              <w:rPr>
                <w:rFonts w:ascii="Arial" w:cs="Arial" w:eastAsia="Arial" w:hAnsi="Arial"/>
                <w:sz w:val="19"/>
                <w:szCs w:val="19"/>
                <w:color w:val="auto"/>
                <w:vertAlign w:val="superscript"/>
              </w:rPr>
              <w:t>(10)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580,330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414,157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414,157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8.02%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580,330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414,157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8.93%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414,157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tcPr>
          <w:p>
            <w:pPr>
              <w:spacing w:after="0" w:line="169" w:lineRule="exact"/>
              <w:rPr>
                <w:sz w:val="20"/>
                <w:szCs w:val="20"/>
                <w:color w:val="auto"/>
              </w:rPr>
            </w:pPr>
            <w:r>
              <w:rPr>
                <w:rFonts w:ascii="Arial" w:cs="Arial" w:eastAsia="Arial" w:hAnsi="Arial"/>
                <w:sz w:val="13"/>
                <w:szCs w:val="13"/>
                <w:color w:val="auto"/>
                <w:w w:val="94"/>
              </w:rPr>
              <w:t>Carsten Boess</w:t>
            </w:r>
            <w:r>
              <w:rPr>
                <w:rFonts w:ascii="Arial" w:cs="Arial" w:eastAsia="Arial" w:hAnsi="Arial"/>
                <w:sz w:val="19"/>
                <w:szCs w:val="19"/>
                <w:color w:val="auto"/>
                <w:w w:val="94"/>
                <w:vertAlign w:val="superscript"/>
              </w:rPr>
              <w:t>(11)</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639,208</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9.51%</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473,035</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10.20%</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473,035</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2.29%</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9.13%</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639,208</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4.62%</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473,035</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10.20%</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473,035</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2.29%</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8.06%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gridSpan w:val="2"/>
            <w:shd w:val="clear" w:color="auto" w:fill="CCEEFF"/>
          </w:tcPr>
          <w:p>
            <w:pPr>
              <w:spacing w:after="0" w:line="169" w:lineRule="exact"/>
              <w:rPr>
                <w:sz w:val="20"/>
                <w:szCs w:val="20"/>
                <w:color w:val="auto"/>
              </w:rPr>
            </w:pPr>
            <w:r>
              <w:rPr>
                <w:rFonts w:ascii="Arial" w:cs="Arial" w:eastAsia="Arial" w:hAnsi="Arial"/>
                <w:sz w:val="13"/>
                <w:szCs w:val="13"/>
                <w:color w:val="auto"/>
                <w:w w:val="97"/>
              </w:rPr>
              <w:t>Chris Heberlig</w:t>
            </w:r>
            <w:r>
              <w:rPr>
                <w:rFonts w:ascii="Arial" w:cs="Arial" w:eastAsia="Arial" w:hAnsi="Arial"/>
                <w:sz w:val="19"/>
                <w:szCs w:val="19"/>
                <w:color w:val="auto"/>
                <w:w w:val="97"/>
                <w:vertAlign w:val="superscript"/>
              </w:rPr>
              <w:t>(12)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607,093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440,920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440,920</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607,093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440,920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9.50%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440,920</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0" w:type="dxa"/>
            <w:vAlign w:val="bottom"/>
          </w:tcPr>
          <w:p>
            <w:pPr>
              <w:spacing w:after="0"/>
              <w:rPr>
                <w:sz w:val="1"/>
                <w:szCs w:val="1"/>
                <w:color w:val="auto"/>
              </w:rPr>
            </w:pPr>
          </w:p>
        </w:tc>
      </w:tr>
      <w:tr>
        <w:trPr>
          <w:trHeight w:val="142"/>
        </w:trPr>
        <w:tc>
          <w:tcPr>
            <w:tcW w:w="1060" w:type="dxa"/>
            <w:vAlign w:val="bottom"/>
            <w:gridSpan w:val="3"/>
          </w:tcPr>
          <w:p>
            <w:pPr>
              <w:spacing w:after="0" w:line="142" w:lineRule="exact"/>
              <w:rPr>
                <w:sz w:val="20"/>
                <w:szCs w:val="20"/>
                <w:color w:val="auto"/>
              </w:rPr>
            </w:pPr>
            <w:r>
              <w:rPr>
                <w:rFonts w:ascii="Arial" w:cs="Arial" w:eastAsia="Arial" w:hAnsi="Arial"/>
                <w:sz w:val="13"/>
                <w:szCs w:val="13"/>
                <w:color w:val="auto"/>
              </w:rPr>
              <w:t>Rasmus Holm-</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Jorgensen</w:t>
            </w:r>
            <w:r>
              <w:rPr>
                <w:rFonts w:ascii="Arial" w:cs="Arial" w:eastAsia="Arial" w:hAnsi="Arial"/>
                <w:sz w:val="19"/>
                <w:szCs w:val="19"/>
                <w:color w:val="auto"/>
                <w:vertAlign w:val="superscript"/>
              </w:rPr>
              <w:t>(13)</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457,868</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6.92%</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340,960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7.35%</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340,960</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1.65%</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6.60%</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457,868</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3.35%</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340,960</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7.35%</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340,960</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1.65%</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Stephen</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Mahoney</w:t>
            </w:r>
            <w:r>
              <w:rPr>
                <w:rFonts w:ascii="Arial" w:cs="Arial" w:eastAsia="Arial" w:hAnsi="Arial"/>
                <w:sz w:val="19"/>
                <w:szCs w:val="19"/>
                <w:color w:val="auto"/>
                <w:vertAlign w:val="superscript"/>
              </w:rPr>
              <w:t>(14)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858,798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12.44%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656,027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656,027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12.68%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858,798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656,027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9"/>
              </w:rPr>
              <w:t>14.14%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656,027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0" w:type="dxa"/>
            <w:vAlign w:val="bottom"/>
          </w:tcPr>
          <w:p>
            <w:pPr>
              <w:spacing w:after="0"/>
              <w:rPr>
                <w:sz w:val="1"/>
                <w:szCs w:val="1"/>
                <w:color w:val="auto"/>
              </w:rPr>
            </w:pPr>
          </w:p>
        </w:tc>
      </w:tr>
      <w:tr>
        <w:trPr>
          <w:trHeight w:val="142"/>
        </w:trPr>
        <w:tc>
          <w:tcPr>
            <w:tcW w:w="1060" w:type="dxa"/>
            <w:vAlign w:val="bottom"/>
            <w:gridSpan w:val="3"/>
          </w:tcPr>
          <w:p>
            <w:pPr>
              <w:spacing w:after="0" w:line="142" w:lineRule="exact"/>
              <w:rPr>
                <w:sz w:val="20"/>
                <w:szCs w:val="20"/>
                <w:color w:val="auto"/>
              </w:rPr>
            </w:pPr>
            <w:r>
              <w:rPr>
                <w:rFonts w:ascii="Arial" w:cs="Arial" w:eastAsia="Arial" w:hAnsi="Arial"/>
                <w:sz w:val="13"/>
                <w:szCs w:val="13"/>
                <w:color w:val="auto"/>
              </w:rPr>
              <w:t>John F. Paolini,</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M.D., Ph.D.</w:t>
            </w:r>
            <w:r>
              <w:rPr>
                <w:rFonts w:ascii="Arial" w:cs="Arial" w:eastAsia="Arial" w:hAnsi="Arial"/>
                <w:sz w:val="19"/>
                <w:szCs w:val="19"/>
                <w:color w:val="auto"/>
                <w:vertAlign w:val="superscript"/>
              </w:rPr>
              <w:t>(15)</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99,563</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1.56%</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99,563</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Felix J. Baker,</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Ph.D.</w:t>
            </w:r>
            <w:r>
              <w:rPr>
                <w:rFonts w:ascii="Arial" w:cs="Arial" w:eastAsia="Arial" w:hAnsi="Arial"/>
                <w:sz w:val="19"/>
                <w:szCs w:val="19"/>
                <w:color w:val="auto"/>
                <w:vertAlign w:val="superscript"/>
              </w:rPr>
              <w:t>(8)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328,988</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4.99% 7,753,392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59.66%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328,988</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6.62% 16,057,618</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5"/>
              </w:rPr>
              <w:t>77.59%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696,246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7,753,392</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59.66%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696,246</w:t>
            </w: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13.05% 16,057,618</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5"/>
              </w:rPr>
              <w:t>77.59%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60" w:type="dxa"/>
            <w:vAlign w:val="bottom"/>
            <w:gridSpan w:val="3"/>
          </w:tcPr>
          <w:p>
            <w:pPr>
              <w:spacing w:after="0"/>
              <w:rPr>
                <w:sz w:val="20"/>
                <w:szCs w:val="20"/>
                <w:color w:val="auto"/>
              </w:rPr>
            </w:pPr>
            <w:r>
              <w:rPr>
                <w:rFonts w:ascii="Arial" w:cs="Arial" w:eastAsia="Arial" w:hAnsi="Arial"/>
                <w:sz w:val="13"/>
                <w:szCs w:val="13"/>
                <w:color w:val="auto"/>
              </w:rPr>
              <w:t>Stephen R.</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Biggar, M.D.,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40" w:type="dxa"/>
            <w:vAlign w:val="bottom"/>
            <w:gridSpan w:val="2"/>
          </w:tcPr>
          <w:p>
            <w:pPr>
              <w:ind w:left="60"/>
              <w:spacing w:after="0" w:line="141" w:lineRule="exact"/>
              <w:rPr>
                <w:sz w:val="20"/>
                <w:szCs w:val="20"/>
                <w:color w:val="auto"/>
              </w:rPr>
            </w:pPr>
            <w:r>
              <w:rPr>
                <w:rFonts w:ascii="Arial" w:cs="Arial" w:eastAsia="Arial" w:hAnsi="Arial"/>
                <w:sz w:val="13"/>
                <w:szCs w:val="13"/>
                <w:color w:val="auto"/>
              </w:rPr>
              <w:t>Ph.D.</w:t>
            </w:r>
          </w:p>
        </w:tc>
        <w:tc>
          <w:tcPr>
            <w:tcW w:w="64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Thomas R.</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shd w:val="clear" w:color="auto" w:fill="CCEEFF"/>
          </w:tcPr>
          <w:p>
            <w:pPr>
              <w:ind w:left="60"/>
              <w:spacing w:after="0" w:line="172" w:lineRule="exact"/>
              <w:rPr>
                <w:sz w:val="20"/>
                <w:szCs w:val="20"/>
                <w:color w:val="auto"/>
              </w:rPr>
            </w:pPr>
            <w:r>
              <w:rPr>
                <w:rFonts w:ascii="Arial" w:cs="Arial" w:eastAsia="Arial" w:hAnsi="Arial"/>
                <w:sz w:val="13"/>
                <w:szCs w:val="13"/>
                <w:color w:val="auto"/>
              </w:rPr>
              <w:t>Malley</w:t>
            </w:r>
            <w:r>
              <w:rPr>
                <w:rFonts w:ascii="Arial" w:cs="Arial" w:eastAsia="Arial" w:hAnsi="Arial"/>
                <w:sz w:val="19"/>
                <w:szCs w:val="19"/>
                <w:color w:val="auto"/>
                <w:vertAlign w:val="superscript"/>
              </w:rPr>
              <w:t>(16)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86,604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86,604</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060" w:type="dxa"/>
            <w:vAlign w:val="bottom"/>
            <w:gridSpan w:val="3"/>
          </w:tcPr>
          <w:p>
            <w:pPr>
              <w:spacing w:after="0" w:line="145" w:lineRule="exact"/>
              <w:rPr>
                <w:sz w:val="20"/>
                <w:szCs w:val="20"/>
                <w:color w:val="auto"/>
              </w:rPr>
            </w:pPr>
            <w:r>
              <w:rPr>
                <w:rFonts w:ascii="Arial" w:cs="Arial" w:eastAsia="Arial" w:hAnsi="Arial"/>
                <w:sz w:val="13"/>
                <w:szCs w:val="13"/>
                <w:color w:val="auto"/>
              </w:rPr>
              <w:t>Tracey L. McCain</w:t>
            </w:r>
          </w:p>
        </w:tc>
        <w:tc>
          <w:tcPr>
            <w:tcW w:w="6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Kimberly J.</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40" w:type="dxa"/>
            <w:vAlign w:val="bottom"/>
            <w:gridSpan w:val="2"/>
            <w:shd w:val="clear" w:color="auto" w:fill="CCEEFF"/>
          </w:tcPr>
          <w:p>
            <w:pPr>
              <w:ind w:left="60"/>
              <w:spacing w:after="0" w:line="141" w:lineRule="exact"/>
              <w:rPr>
                <w:sz w:val="20"/>
                <w:szCs w:val="20"/>
                <w:color w:val="auto"/>
              </w:rPr>
            </w:pPr>
            <w:r>
              <w:rPr>
                <w:rFonts w:ascii="Arial" w:cs="Arial" w:eastAsia="Arial" w:hAnsi="Arial"/>
                <w:sz w:val="13"/>
                <w:szCs w:val="13"/>
                <w:color w:val="auto"/>
              </w:rPr>
              <w:t>Popovits</w:t>
            </w:r>
          </w:p>
        </w:tc>
        <w:tc>
          <w:tcPr>
            <w:tcW w:w="64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060" w:type="dxa"/>
            <w:vAlign w:val="bottom"/>
            <w:gridSpan w:val="3"/>
          </w:tcPr>
          <w:p>
            <w:pPr>
              <w:spacing w:after="0" w:line="142" w:lineRule="exact"/>
              <w:rPr>
                <w:sz w:val="20"/>
                <w:szCs w:val="20"/>
                <w:color w:val="auto"/>
              </w:rPr>
            </w:pPr>
            <w:r>
              <w:rPr>
                <w:rFonts w:ascii="Arial" w:cs="Arial" w:eastAsia="Arial" w:hAnsi="Arial"/>
                <w:sz w:val="13"/>
                <w:szCs w:val="13"/>
                <w:color w:val="auto"/>
              </w:rPr>
              <w:t>Barry D. Quart,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2"/>
          </w:tcPr>
          <w:p>
            <w:pPr>
              <w:ind w:left="60"/>
              <w:spacing w:after="0" w:line="172" w:lineRule="exact"/>
              <w:rPr>
                <w:sz w:val="20"/>
                <w:szCs w:val="20"/>
                <w:color w:val="auto"/>
              </w:rPr>
            </w:pPr>
            <w:r>
              <w:rPr>
                <w:rFonts w:ascii="Arial" w:cs="Arial" w:eastAsia="Arial" w:hAnsi="Arial"/>
                <w:sz w:val="13"/>
                <w:szCs w:val="13"/>
                <w:color w:val="auto"/>
              </w:rPr>
              <w:t>Pham. D.</w:t>
            </w:r>
            <w:r>
              <w:rPr>
                <w:rFonts w:ascii="Arial" w:cs="Arial" w:eastAsia="Arial" w:hAnsi="Arial"/>
                <w:sz w:val="19"/>
                <w:szCs w:val="19"/>
                <w:color w:val="auto"/>
                <w:vertAlign w:val="superscript"/>
              </w:rPr>
              <w:t>(17)</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14,181</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14,181</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b w:val="1"/>
                <w:bCs w:val="1"/>
                <w:color w:val="auto"/>
              </w:rPr>
              <w:t>All executive</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b w:val="1"/>
                <w:bCs w:val="1"/>
                <w:color w:val="auto"/>
              </w:rPr>
              <w:t>officers and</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b w:val="1"/>
                <w:bCs w:val="1"/>
                <w:color w:val="auto"/>
              </w:rPr>
              <w:t>directors as a</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3"/>
                <w:szCs w:val="13"/>
                <w:b w:val="1"/>
                <w:bCs w:val="1"/>
                <w:color w:val="auto"/>
              </w:rPr>
              <w:t>group</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3"/>
                <w:szCs w:val="13"/>
                <w:b w:val="1"/>
                <w:bCs w:val="1"/>
                <w:color w:val="auto"/>
                <w:w w:val="96"/>
              </w:rPr>
              <w:t>(13 persons)</w:t>
            </w:r>
            <w:r>
              <w:rPr>
                <w:rFonts w:ascii="Arial" w:cs="Arial" w:eastAsia="Arial" w:hAnsi="Arial"/>
                <w:sz w:val="19"/>
                <w:szCs w:val="19"/>
                <w:b w:val="1"/>
                <w:bCs w:val="1"/>
                <w:color w:val="auto"/>
                <w:w w:val="96"/>
                <w:vertAlign w:val="superscript"/>
              </w:rPr>
              <w:t>(18)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4,803,537</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47.83% 7,753,392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59.66% 3,037,264</w:t>
            </w:r>
          </w:p>
        </w:tc>
        <w:tc>
          <w:tcPr>
            <w:tcW w:w="4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65.47% 16,057,618</w:t>
            </w:r>
          </w:p>
        </w:tc>
        <w:tc>
          <w:tcPr>
            <w:tcW w:w="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77.59%</w:t>
            </w: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59.01% 5,170,795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30.34%</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7,753,392</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59.66% 3,037,264</w:t>
            </w:r>
          </w:p>
        </w:tc>
        <w:tc>
          <w:tcPr>
            <w:tcW w:w="4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65.47% 16,057,618</w:t>
            </w:r>
          </w:p>
        </w:tc>
        <w:tc>
          <w:tcPr>
            <w:tcW w:w="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95"/>
              </w:rPr>
              <w:t>77.59%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52.09%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84" w:hanging="484"/>
        <w:spacing w:after="0"/>
        <w:tabs>
          <w:tab w:leader="none" w:pos="484"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beneficial ownership less than 1%</w:t>
      </w:r>
    </w:p>
    <w:p>
      <w:pPr>
        <w:spacing w:after="0" w:line="140" w:lineRule="exact"/>
        <w:rPr>
          <w:sz w:val="20"/>
          <w:szCs w:val="20"/>
          <w:color w:val="auto"/>
        </w:rPr>
      </w:pPr>
    </w:p>
    <w:p>
      <w:pPr>
        <w:ind w:left="484" w:right="140" w:hanging="484"/>
        <w:spacing w:after="0" w:line="255" w:lineRule="auto"/>
        <w:tabs>
          <w:tab w:leader="none" w:pos="484" w:val="left"/>
        </w:tabs>
        <w:numPr>
          <w:ilvl w:val="0"/>
          <w:numId w:val="97"/>
        </w:numPr>
        <w:rPr>
          <w:rFonts w:ascii="Arial" w:cs="Arial" w:eastAsia="Arial" w:hAnsi="Arial"/>
          <w:sz w:val="12"/>
          <w:szCs w:val="12"/>
          <w:color w:val="auto"/>
        </w:rPr>
      </w:pPr>
      <w:r>
        <w:rPr>
          <w:rFonts w:ascii="Arial" w:cs="Arial" w:eastAsia="Arial" w:hAnsi="Arial"/>
          <w:sz w:val="12"/>
          <w:szCs w:val="12"/>
          <w:color w:val="auto"/>
        </w:rPr>
        <w:t>Consists of (a) 173,010 Class A common shares held directly by ArrowMark Fundamental Opportunity Fund, L.P. ("Opportunity Fund"), (b) 289,127 Class A common shares held directly by Meridian Small Cap Growth Fund ("Meridian"), (c) 224,726 Class A common shares held directly by Meridian Growth Fund ("Meridian Growth"), (d) 52,034 Class A common shares held directly by Lookfar Investments LLC ("Lookfar"), (e) 93,490 common shares held directly by Iron Horse Investments LLC ("Iron Horse"), (f) 185,279 common shares held directly by THB Iron Rose LLC ("Rose"), and (g) 2,741 Class A common shares held directly by THB Iron Rose LLC, Life Science Portfolio ("Life Science") (collectively, the "ArrowMark Funds"). ArrowMark Partners GP, LLC ("ArrowMark GP") is the general partner of Opportunity Fund and David Corkins is the managing member of ArrowMark GP. ArrowMark Colorado Holdings LLC ("ArrowMark Colorado") is investment advisor to Meridian, Meridian Growth, Lookfar, Iron Horse, Rose and Life Science (collectively, the "ArrowMark Colorado Funds"). Mr. Corkins is a managing member of ArrowMark Colorado and Mr. Yao is a portfolio manager of ArrowMark Colorado. Mr. Corkins may be considered the beneficial owner of the shares held by the ArrowMark Funds and Mr. Yao may be considered the beneficial owner of the shares held by ArrowMark Colorado. The principal business address of the ArrowMark Funds is 100 Fillmore Street, Suite 325, Denver, Colorado 80206.</w:t>
      </w:r>
    </w:p>
    <w:p>
      <w:pPr>
        <w:spacing w:after="0" w:line="129" w:lineRule="exact"/>
        <w:rPr>
          <w:rFonts w:ascii="Arial" w:cs="Arial" w:eastAsia="Arial" w:hAnsi="Arial"/>
          <w:sz w:val="12"/>
          <w:szCs w:val="12"/>
          <w:color w:val="auto"/>
        </w:rPr>
      </w:pPr>
    </w:p>
    <w:p>
      <w:pPr>
        <w:ind w:left="484" w:right="140" w:hanging="484"/>
        <w:spacing w:after="0" w:line="236" w:lineRule="auto"/>
        <w:tabs>
          <w:tab w:leader="none" w:pos="484" w:val="left"/>
        </w:tabs>
        <w:numPr>
          <w:ilvl w:val="0"/>
          <w:numId w:val="97"/>
        </w:numPr>
        <w:rPr>
          <w:rFonts w:ascii="Arial" w:cs="Arial" w:eastAsia="Arial" w:hAnsi="Arial"/>
          <w:sz w:val="13"/>
          <w:szCs w:val="13"/>
          <w:color w:val="auto"/>
        </w:rPr>
      </w:pPr>
      <w:r>
        <w:rPr>
          <w:rFonts w:ascii="Arial" w:cs="Arial" w:eastAsia="Arial" w:hAnsi="Arial"/>
          <w:sz w:val="13"/>
          <w:szCs w:val="13"/>
          <w:color w:val="auto"/>
        </w:rPr>
        <w:t>Sofinnova Management IX, L.L.C. ("Sofinnova Management") is the general partner of Sofinnova Venture Partners X, L.P. ("Sofinnova X") and Anand Mehra, Michael Powell and James Healy are the managing members of Sofinnova Management. Sofinnova Management, Anand Mehra (a member of our board), Michael Powell and James Healy may be deemed to beneficially own the shares owned by Sofinnova X. Such entities and individuals disclaim beneficial ownership over all shares except to the extent of any pecuniary interest therein. The address for Sofinnova X and Sofinnova Management is 3000 Sand Hill Road, Building 4, Suite 250, Menlo Park, California 94025.</w:t>
      </w:r>
    </w:p>
    <w:p>
      <w:pPr>
        <w:spacing w:after="0" w:line="135" w:lineRule="exact"/>
        <w:rPr>
          <w:rFonts w:ascii="Arial" w:cs="Arial" w:eastAsia="Arial" w:hAnsi="Arial"/>
          <w:sz w:val="13"/>
          <w:szCs w:val="13"/>
          <w:color w:val="auto"/>
        </w:rPr>
      </w:pPr>
    </w:p>
    <w:p>
      <w:pPr>
        <w:ind w:left="484" w:right="160" w:hanging="484"/>
        <w:spacing w:after="0" w:line="257" w:lineRule="auto"/>
        <w:tabs>
          <w:tab w:leader="none" w:pos="484" w:val="left"/>
        </w:tabs>
        <w:numPr>
          <w:ilvl w:val="0"/>
          <w:numId w:val="97"/>
        </w:numPr>
        <w:rPr>
          <w:rFonts w:ascii="Arial" w:cs="Arial" w:eastAsia="Arial" w:hAnsi="Arial"/>
          <w:sz w:val="12"/>
          <w:szCs w:val="12"/>
          <w:color w:val="auto"/>
        </w:rPr>
      </w:pPr>
      <w:r>
        <w:rPr>
          <w:rFonts w:ascii="Arial" w:cs="Arial" w:eastAsia="Arial" w:hAnsi="Arial"/>
          <w:sz w:val="12"/>
          <w:szCs w:val="12"/>
          <w:color w:val="auto"/>
        </w:rPr>
        <w:t>Consists of (a) 640,617 Class A common shares held directly by Cormorant Private Healthcare Fund I, L.P. ("Cormorant I"), (b) 161,962 Class A common shares held directly by Cormorant Global Healthcare Master Fund, LP ("Cormorant Master Fund"); and (c) 28,420 Class A common shares held directly by CRMA SPV, L.P. ("CRMA" and with Cormorant I and Cormorant Master Fund, the "Cormorant Funds"). Cormorant Global Healthcare GP, LLC ("Global GP") is the general partner of Cormorant Master Fund, Cormorant Private Healthcare GP, LLC ("Private GP") is the general partner of Cormorant I. Bihua Chen is the sole managing member of both Global GP and Private GP. Cormorant Asset Management LLP ("Cormorant Management") serves as the investment manager to CRMA, and Ms. Chen is the sole managing member of Cormorant Asset Management GP, LLC. Ms. Chen may be deemed to beneficially own the shares held by the Cormorant Funds. The address of the Cormorant Funds, Global GP, Private GP, Cormorant Management, and Ms. Chen is 200 Clarendon Street, 52nd Floor, Boston, MA 02116.</w:t>
      </w:r>
    </w:p>
    <w:p>
      <w:pPr>
        <w:spacing w:after="0" w:line="126" w:lineRule="exact"/>
        <w:rPr>
          <w:rFonts w:ascii="Arial" w:cs="Arial" w:eastAsia="Arial" w:hAnsi="Arial"/>
          <w:sz w:val="12"/>
          <w:szCs w:val="12"/>
          <w:color w:val="auto"/>
        </w:rPr>
      </w:pPr>
    </w:p>
    <w:p>
      <w:pPr>
        <w:ind w:left="484" w:right="140" w:hanging="484"/>
        <w:spacing w:after="0" w:line="236" w:lineRule="auto"/>
        <w:tabs>
          <w:tab w:leader="none" w:pos="484"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(a) 384,666 Class A common shares held by Edward Schuchman, Ph.D., as the trustee for the Desnick / Herzig 2012 GST Trust UAD 10/23/12 ("Trust") and New Direction IRA, Inc. FBO Robert Desnick Roth IRA ("New Direction"), (b) 214,101 Class B common shares held directly by New Direction and (c) 3,659 Class A common shares that Dr. Desnick has the right to acquire within 60 days following March 31, 2018 pursuant to the exercise of share options. Dr. Desnick directs the voting and investment of the shares held by Trust and New Direction and may be deemed to beneficially own the shares owned by Trust and New Direction.</w:t>
      </w:r>
    </w:p>
    <w:p>
      <w:pPr>
        <w:sectPr>
          <w:pgSz w:w="11900" w:h="16838" w:orient="portrait"/>
          <w:cols w:equalWidth="0" w:num="1">
            <w:col w:w="11524"/>
          </w:cols>
          <w:pgMar w:left="236" w:top="142" w:right="139" w:bottom="1440" w:gutter="0" w:footer="0" w:header="0"/>
        </w:sectPr>
      </w:pPr>
    </w:p>
    <w:p>
      <w:pPr>
        <w:spacing w:after="0" w:line="183" w:lineRule="exact"/>
        <w:rPr>
          <w:sz w:val="20"/>
          <w:szCs w:val="20"/>
          <w:color w:val="auto"/>
        </w:rPr>
      </w:pPr>
    </w:p>
    <w:p>
      <w:pPr>
        <w:jc w:val="center"/>
        <w:ind w:right="96"/>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726630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524"/>
          </w:cols>
          <w:pgMar w:left="236" w:top="142" w:right="139" w:bottom="1440" w:gutter="0" w:footer="0" w:header="0"/>
          <w:type w:val="continuous"/>
        </w:sectPr>
      </w:pPr>
    </w:p>
    <w:bookmarkStart w:id="183" w:name="page184"/>
    <w:bookmarkEnd w:id="183"/>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484" w:hanging="484"/>
        <w:spacing w:after="0" w:line="233"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304,279 Class A common shares held by Fidelity Mt. Vernon Street Trust: Fidelity Growth Company Fund, whose address is 525 William Penn Place Run Rm 040, Pittsburgh, PA 15259, ("Fidelity Growth Fund"), (b) 244,7213 Class A common shares held by Fidelity Growth Company Commingled Pool, whose address is c/o Brown Brothers Harriman &amp; Co., 140 Broadway, New York, NY 10005, ("Fidelity Commingled Fund"), and (c) 90,238 Class A common shares held by Fidelity Mt. Vernon Street Trust: Fidelity Series Growth Company Fund, whose address is PO Box 5756, Boston, MA 02206 (together with Fidelity Growth Fund and Fidelity Commingled Fund, the "Fidelity Growth Funds"). These accounts are managed by direct or indirect subsidiaries of FMR LLC.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140" w:lineRule="exact"/>
        <w:rPr>
          <w:rFonts w:ascii="Arial" w:cs="Arial" w:eastAsia="Arial" w:hAnsi="Arial"/>
          <w:sz w:val="13"/>
          <w:szCs w:val="13"/>
          <w:color w:val="auto"/>
        </w:rPr>
      </w:pPr>
    </w:p>
    <w:p>
      <w:pPr>
        <w:ind w:left="484" w:right="40"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454,812 Class A common shares held directly by Venrock Healthcare Capital Partners II, L.P. ("VHCP II") and (b) 184,418 Class A common shares held directly by VHCP Co-Investment Holdings II, LLC ("Co-Invest II"). VHCP Management II, LLC ("VHCP Management II") is the general partner of VHCP II and the manager of Co-Invest II and may be deemed to beneficially own these shares. Drs. Bong Koh and Nimish Shah are the managing members of VHCP Management II and may be deemed to beneficially own the shares. Drs. Koh and Shah and VHCP Management II expressly disclaim beneficial ownership over the shares except to the extent of their indirect pecuniary interests therein. The address for VHCP II, Co-Invest and Drs. Koh and Shah is 530 Fifth Avenue, 22</w:t>
      </w:r>
      <w:r>
        <w:rPr>
          <w:rFonts w:ascii="Arial" w:cs="Arial" w:eastAsia="Arial" w:hAnsi="Arial"/>
          <w:sz w:val="19"/>
          <w:szCs w:val="19"/>
          <w:color w:val="auto"/>
          <w:vertAlign w:val="superscript"/>
        </w:rPr>
        <w:t>nd</w:t>
      </w:r>
      <w:r>
        <w:rPr>
          <w:rFonts w:ascii="Arial" w:cs="Arial" w:eastAsia="Arial" w:hAnsi="Arial"/>
          <w:sz w:val="13"/>
          <w:szCs w:val="13"/>
          <w:color w:val="auto"/>
        </w:rPr>
        <w:t xml:space="preserve"> Floor, New York, NY 10036.</w:t>
      </w:r>
    </w:p>
    <w:p>
      <w:pPr>
        <w:spacing w:after="0" w:line="76" w:lineRule="exact"/>
        <w:rPr>
          <w:rFonts w:ascii="Arial" w:cs="Arial" w:eastAsia="Arial" w:hAnsi="Arial"/>
          <w:sz w:val="13"/>
          <w:szCs w:val="13"/>
          <w:color w:val="auto"/>
        </w:rPr>
      </w:pPr>
    </w:p>
    <w:p>
      <w:pPr>
        <w:ind w:left="484" w:right="20" w:hanging="484"/>
        <w:spacing w:after="0" w:line="236"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Deerfield Mgmt, L.P. is the general partner of Deerfield Special Situations Fund, L.P. (the "Fund"). Deerfield Management Company, L.P. is the investment manager of the Fund. James E. Flynn is the sole member of the general partner of each of Deerfield Mgmt, L.P. and Deerfield Management Company, L.P. Deerfield Mgmt, L.P., Deerfield Management and Mr. Flynn may be deemed to be the beneficial owners of the shares owned by Fund. Deerfield Mgmt, L.P., Deerfield Management Company, L.P. and Mr. Flynn disclaim beneficial ownership of such shares except to the extent of its or his pecuniary interest therein. The address for the Fund is 780 Third Avenue, 37th Floor, New York, NY 10017.</w:t>
      </w:r>
    </w:p>
    <w:p>
      <w:pPr>
        <w:spacing w:after="0" w:line="135" w:lineRule="exact"/>
        <w:rPr>
          <w:rFonts w:ascii="Arial" w:cs="Arial" w:eastAsia="Arial" w:hAnsi="Arial"/>
          <w:sz w:val="13"/>
          <w:szCs w:val="13"/>
          <w:color w:val="auto"/>
        </w:rPr>
      </w:pPr>
    </w:p>
    <w:p>
      <w:pPr>
        <w:ind w:left="484" w:right="20" w:hanging="484"/>
        <w:spacing w:after="0" w:line="222"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7,018,874 Class A1 common shares held directly by Baker Brothers Life Sciences, L.P. ("BBLS"), (b) 734,581 Class A1 common shares held by 667, L.P. ("667" and with BBLS, the "Baker Funds"), (c) 14,658,102 Class B1 common shares held directly by BBLS, and (d) 1,399,516 Class B1 common shares held directly by 667. Baker Bros. Advisors LP ("Advisors") is the management company and investment advisor to BBLS and 667. Felix J. Baker is a managing member of Advisors and may be deemed to beneficially own the shares owned by the Baker Funds. Dr. Baker disclaims beneficial ownership of such shares except to the extent of any pecuniary interest therein. The address for the Baker Funds is 860 Washington Street, 3</w:t>
      </w:r>
      <w:r>
        <w:rPr>
          <w:rFonts w:ascii="Arial" w:cs="Arial" w:eastAsia="Arial" w:hAnsi="Arial"/>
          <w:sz w:val="19"/>
          <w:szCs w:val="19"/>
          <w:color w:val="auto"/>
          <w:vertAlign w:val="superscript"/>
        </w:rPr>
        <w:t>rd</w:t>
      </w:r>
      <w:r>
        <w:rPr>
          <w:rFonts w:ascii="Arial" w:cs="Arial" w:eastAsia="Arial" w:hAnsi="Arial"/>
          <w:sz w:val="13"/>
          <w:szCs w:val="13"/>
          <w:color w:val="auto"/>
        </w:rPr>
        <w:t xml:space="preserve"> Floor, New York, NY 10014 .</w:t>
      </w:r>
    </w:p>
    <w:p>
      <w:pPr>
        <w:spacing w:after="0" w:line="132" w:lineRule="exact"/>
        <w:rPr>
          <w:rFonts w:ascii="Arial" w:cs="Arial" w:eastAsia="Arial" w:hAnsi="Arial"/>
          <w:sz w:val="13"/>
          <w:szCs w:val="13"/>
          <w:color w:val="auto"/>
        </w:rPr>
      </w:pPr>
    </w:p>
    <w:p>
      <w:pPr>
        <w:ind w:left="484"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245,685 Class A common shares held directly by Mr. Patel and 109,795 Class A common shares held by Mr. Patel as trustee for the Manisha S. Patel 2016 Irrevocable Trust,</w:t>
      </w:r>
    </w:p>
    <w:p>
      <w:pPr>
        <w:ind w:left="484"/>
        <w:spacing w:after="0"/>
        <w:rPr>
          <w:rFonts w:ascii="Arial" w:cs="Arial" w:eastAsia="Arial" w:hAnsi="Arial"/>
          <w:sz w:val="13"/>
          <w:szCs w:val="13"/>
          <w:color w:val="auto"/>
        </w:rPr>
      </w:pPr>
      <w:r>
        <w:rPr>
          <w:rFonts w:ascii="Arial" w:cs="Arial" w:eastAsia="Arial" w:hAnsi="Arial"/>
          <w:sz w:val="13"/>
          <w:szCs w:val="13"/>
          <w:color w:val="auto"/>
        </w:rPr>
        <w:t>(b) 1,526,160 Class B common shares, and (c) 346,339 Class A common shares that Mr. Patel has the right to acquire within 60 days following March 31, 2018 pursuant to the exercise of share options.</w:t>
      </w:r>
    </w:p>
    <w:p>
      <w:pPr>
        <w:spacing w:after="0" w:line="135" w:lineRule="exact"/>
        <w:rPr>
          <w:rFonts w:ascii="Arial" w:cs="Arial" w:eastAsia="Arial" w:hAnsi="Arial"/>
          <w:sz w:val="13"/>
          <w:szCs w:val="13"/>
          <w:color w:val="auto"/>
        </w:rPr>
      </w:pPr>
    </w:p>
    <w:p>
      <w:pPr>
        <w:ind w:left="484" w:right="80"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79,589 Class A common shares, (b) 414,157 Class B common shares and (c) 86,584 Class A common shares that Mr. Beetham has the right to acquire within 60 days following March 31, 2018 pursuant to the exercise of share options.</w:t>
      </w:r>
    </w:p>
    <w:p>
      <w:pPr>
        <w:spacing w:after="0" w:line="135" w:lineRule="exact"/>
        <w:rPr>
          <w:rFonts w:ascii="Arial" w:cs="Arial" w:eastAsia="Arial" w:hAnsi="Arial"/>
          <w:sz w:val="13"/>
          <w:szCs w:val="13"/>
          <w:color w:val="auto"/>
        </w:rPr>
      </w:pPr>
    </w:p>
    <w:p>
      <w:pPr>
        <w:ind w:left="484" w:right="200"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79,589 Class A common shares, (b) 473,035 Class B common shares, and (c) 86,584 Class A common shares that Mr. Boess has the right to acquire within 60 days following March 31, 2018 pursuant to the exercise of share options.</w:t>
      </w:r>
    </w:p>
    <w:p>
      <w:pPr>
        <w:spacing w:after="0" w:line="135" w:lineRule="exact"/>
        <w:rPr>
          <w:rFonts w:ascii="Arial" w:cs="Arial" w:eastAsia="Arial" w:hAnsi="Arial"/>
          <w:sz w:val="13"/>
          <w:szCs w:val="13"/>
          <w:color w:val="auto"/>
        </w:rPr>
      </w:pPr>
    </w:p>
    <w:p>
      <w:pPr>
        <w:ind w:left="484" w:right="120" w:hanging="484"/>
        <w:spacing w:after="0" w:line="237"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42,991 Class A common shares held directly by Mr. Heberlig and 36,598 Class A common shares held by Sandra C. Heberlig, Mr. Heberlig's spouse, as trustee for the Christopher J. Heberlig 2017 Irrevocable Trust, (b) 440,920 Class B common shares, and (c) 86,584 Class A common shares that Mr. Heberlig has the right to acquire within 60 days following March 31, 2018 pursuant to the exercise of share options.</w:t>
      </w:r>
    </w:p>
    <w:p>
      <w:pPr>
        <w:spacing w:after="0" w:line="136" w:lineRule="exact"/>
        <w:rPr>
          <w:rFonts w:ascii="Arial" w:cs="Arial" w:eastAsia="Arial" w:hAnsi="Arial"/>
          <w:sz w:val="13"/>
          <w:szCs w:val="13"/>
          <w:color w:val="auto"/>
        </w:rPr>
      </w:pPr>
    </w:p>
    <w:p>
      <w:pPr>
        <w:ind w:left="484" w:right="140"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64,949 Class A common shares, (b) 340,960 Class B common shares, and (c) 51,959 Class A common shares that Mr. Holm-Jorgensen has the right to acquire within 60 days following March 31, 2018 pursuant to the exercise of share options.</w:t>
      </w:r>
    </w:p>
    <w:p>
      <w:pPr>
        <w:spacing w:after="0" w:line="135" w:lineRule="exact"/>
        <w:rPr>
          <w:rFonts w:ascii="Arial" w:cs="Arial" w:eastAsia="Arial" w:hAnsi="Arial"/>
          <w:sz w:val="13"/>
          <w:szCs w:val="13"/>
          <w:color w:val="auto"/>
        </w:rPr>
      </w:pPr>
    </w:p>
    <w:p>
      <w:pPr>
        <w:ind w:left="484" w:right="20" w:hanging="484"/>
        <w:spacing w:after="0" w:line="237"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79,589 Class A common shares held directly by Mr. Mahoney and 36,598 Class A common shares held by Krisha S. Mahoney, Mr. Mahoney's spouse, as trustee for the Stephen F. Mahoney 2016 Irrevocable Trust, (b) 656,027 Class B common shares, and (c) 86,584 Class A common shares that Mr. Mahoney has the right to acquire within 60 days following March 31, 2018 pursuant to the exercise of share options.</w:t>
      </w:r>
    </w:p>
    <w:p>
      <w:pPr>
        <w:spacing w:after="0" w:line="136" w:lineRule="exact"/>
        <w:rPr>
          <w:rFonts w:ascii="Arial" w:cs="Arial" w:eastAsia="Arial" w:hAnsi="Arial"/>
          <w:sz w:val="13"/>
          <w:szCs w:val="13"/>
          <w:color w:val="auto"/>
        </w:rPr>
      </w:pPr>
    </w:p>
    <w:p>
      <w:pPr>
        <w:ind w:left="484"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Includes 99,563 Class A common shares that Dr. Paolini has the right to acquire within 60 days following March 31, 2018 pursuant to the exercise of share options.</w:t>
      </w:r>
    </w:p>
    <w:p>
      <w:pPr>
        <w:spacing w:after="0" w:line="139" w:lineRule="exact"/>
        <w:rPr>
          <w:rFonts w:ascii="Arial" w:cs="Arial" w:eastAsia="Arial" w:hAnsi="Arial"/>
          <w:sz w:val="13"/>
          <w:szCs w:val="13"/>
          <w:color w:val="auto"/>
        </w:rPr>
      </w:pPr>
    </w:p>
    <w:p>
      <w:pPr>
        <w:ind w:left="484" w:right="300" w:hanging="484"/>
        <w:spacing w:after="0" w:line="237" w:lineRule="auto"/>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71,967 common shares held by Mossrock Capital, LLC ("Mossrock") and (b) 14,637 Class A common shares that Mr. Malley has the right to acquire within 60 days following March 31, 2018 pursuant to the exercise of share options. Mr. Malley is the president of Mossrock and may be deemed to beneficially own the shares owned by Mossrock. The address of Mossrock is 19 Martin Lane, Englewood, CO 80113.</w:t>
      </w:r>
    </w:p>
    <w:p>
      <w:pPr>
        <w:spacing w:after="0" w:line="136" w:lineRule="exact"/>
        <w:rPr>
          <w:rFonts w:ascii="Arial" w:cs="Arial" w:eastAsia="Arial" w:hAnsi="Arial"/>
          <w:sz w:val="13"/>
          <w:szCs w:val="13"/>
          <w:color w:val="auto"/>
        </w:rPr>
      </w:pPr>
    </w:p>
    <w:p>
      <w:pPr>
        <w:ind w:left="484"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Includes 14,181 Class A common shares that Dr. Quart has the right to acquire within 60 days following March 31, 2018 pursuant to the exercise of share options.</w:t>
      </w:r>
    </w:p>
    <w:p>
      <w:pPr>
        <w:spacing w:after="0" w:line="140" w:lineRule="exact"/>
        <w:rPr>
          <w:rFonts w:ascii="Arial" w:cs="Arial" w:eastAsia="Arial" w:hAnsi="Arial"/>
          <w:sz w:val="13"/>
          <w:szCs w:val="13"/>
          <w:color w:val="auto"/>
        </w:rPr>
      </w:pPr>
    </w:p>
    <w:p>
      <w:pPr>
        <w:ind w:left="484" w:right="240" w:hanging="484"/>
        <w:spacing w:after="0"/>
        <w:tabs>
          <w:tab w:leader="none" w:pos="484"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 702,812 Class A common shares, (b) 7,753,392 Class A1 common shares, (c) 3,037,264 Class B common shares, (d)16,057,618 Class B1 common shares, and (e) 734,473 Class A common shares that all officers and directors as a group have the right to acquire within 60 days following March 31, 2018 pursuant to the exercise of share options.</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184" w:name="page185"/>
    <w:bookmarkEnd w:id="1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DESCRIPTION OF SHARE CAPITAL</w:t>
      </w:r>
    </w:p>
    <w:p>
      <w:pPr>
        <w:spacing w:after="0" w:line="194" w:lineRule="exact"/>
        <w:rPr>
          <w:sz w:val="20"/>
          <w:szCs w:val="20"/>
          <w:color w:val="auto"/>
        </w:rPr>
      </w:pPr>
    </w:p>
    <w:p>
      <w:pPr>
        <w:ind w:right="360" w:firstLine="436"/>
        <w:spacing w:after="0" w:line="249" w:lineRule="auto"/>
        <w:rPr>
          <w:sz w:val="20"/>
          <w:szCs w:val="20"/>
          <w:color w:val="auto"/>
        </w:rPr>
      </w:pPr>
      <w:r>
        <w:rPr>
          <w:rFonts w:ascii="Arial" w:cs="Arial" w:eastAsia="Arial" w:hAnsi="Arial"/>
          <w:sz w:val="16"/>
          <w:szCs w:val="16"/>
          <w:i w:val="1"/>
          <w:iCs w:val="1"/>
          <w:color w:val="auto"/>
        </w:rPr>
        <w:t>The following description of our share capital and provisions of our memorandum of association and amended and restated bye-laws are summaries. You should also refer to our memorandum of association and amended and restated bye-laws, which are filed as exhibits to the registration statement of which this prospectus is part.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0" w:lineRule="exact"/>
        <w:rPr>
          <w:sz w:val="20"/>
          <w:szCs w:val="20"/>
          <w:color w:val="auto"/>
        </w:rPr>
      </w:pPr>
    </w:p>
    <w:p>
      <w:pPr>
        <w:ind w:right="300" w:firstLine="436"/>
        <w:spacing w:after="0" w:line="239" w:lineRule="auto"/>
        <w:rPr>
          <w:sz w:val="20"/>
          <w:szCs w:val="20"/>
          <w:color w:val="auto"/>
        </w:rPr>
      </w:pPr>
      <w:r>
        <w:rPr>
          <w:rFonts w:ascii="Arial" w:cs="Arial" w:eastAsia="Arial" w:hAnsi="Arial"/>
          <w:sz w:val="16"/>
          <w:szCs w:val="16"/>
          <w:color w:val="auto"/>
        </w:rPr>
        <w:t>We are an exempted company incorporated under the laws of Bermuda. We are registered with the Registrar of Companies in Bermuda under registration number 50484. We were incorporated on July 21, 2015. Our registered office is located in Bermuda at Clarendon House, 2 Church Street, Hamilton HM11, Bermuda.</w:t>
      </w:r>
    </w:p>
    <w:p>
      <w:pPr>
        <w:spacing w:after="0" w:line="186" w:lineRule="exact"/>
        <w:rPr>
          <w:sz w:val="20"/>
          <w:szCs w:val="20"/>
          <w:color w:val="auto"/>
        </w:rPr>
      </w:pPr>
    </w:p>
    <w:p>
      <w:pPr>
        <w:ind w:right="300" w:firstLine="433"/>
        <w:spacing w:after="0" w:line="241" w:lineRule="auto"/>
        <w:rPr>
          <w:sz w:val="20"/>
          <w:szCs w:val="20"/>
          <w:color w:val="auto"/>
        </w:rPr>
      </w:pPr>
      <w:r>
        <w:rPr>
          <w:rFonts w:ascii="Arial" w:cs="Arial" w:eastAsia="Arial" w:hAnsi="Arial"/>
          <w:sz w:val="16"/>
          <w:szCs w:val="16"/>
          <w:color w:val="auto"/>
        </w:rPr>
        <w:t>The objects of our business are unrestricted, and we have the capacity of a natural person. We can therefore undertake activities without restriction on our capacity.</w:t>
      </w:r>
    </w:p>
    <w:p>
      <w:pPr>
        <w:spacing w:after="0" w:line="185" w:lineRule="exact"/>
        <w:rPr>
          <w:sz w:val="20"/>
          <w:szCs w:val="20"/>
          <w:color w:val="auto"/>
        </w:rPr>
      </w:pPr>
    </w:p>
    <w:p>
      <w:pPr>
        <w:ind w:right="260" w:firstLine="436"/>
        <w:spacing w:after="0" w:line="241" w:lineRule="auto"/>
        <w:rPr>
          <w:sz w:val="20"/>
          <w:szCs w:val="20"/>
          <w:color w:val="auto"/>
        </w:rPr>
      </w:pPr>
      <w:r>
        <w:rPr>
          <w:rFonts w:ascii="Arial" w:cs="Arial" w:eastAsia="Arial" w:hAnsi="Arial"/>
          <w:sz w:val="16"/>
          <w:szCs w:val="16"/>
          <w:color w:val="auto"/>
        </w:rPr>
        <w:t>Our board of directors and shareholders have approved certain amendments to our bye-laws that will become effective immediately following the closing of this offering. The following description assumes that such amendments have become effective.</w:t>
      </w:r>
    </w:p>
    <w:p>
      <w:pPr>
        <w:spacing w:after="0" w:line="185" w:lineRule="exact"/>
        <w:rPr>
          <w:sz w:val="20"/>
          <w:szCs w:val="20"/>
          <w:color w:val="auto"/>
        </w:rPr>
      </w:pPr>
    </w:p>
    <w:p>
      <w:pPr>
        <w:ind w:right="100" w:firstLine="436"/>
        <w:spacing w:after="0" w:line="239" w:lineRule="auto"/>
        <w:rPr>
          <w:sz w:val="20"/>
          <w:szCs w:val="20"/>
          <w:color w:val="auto"/>
        </w:rPr>
      </w:pPr>
      <w:r>
        <w:rPr>
          <w:rFonts w:ascii="Arial" w:cs="Arial" w:eastAsia="Arial" w:hAnsi="Arial"/>
          <w:sz w:val="16"/>
          <w:szCs w:val="16"/>
          <w:color w:val="auto"/>
        </w:rPr>
        <w:t>Since our incorporation, other than a subdivision of our designated and issued share capital, there have been no material changes to our share capital, mergers, amalgamations or consolidations of us or any of our subsidiaries, no material changes in the mode of conducting our business, no material changes in the types of products produced or services rendered. There have been no bankruptcy, receivership or similar proceedings with respect to us or our subsidiaries.</w:t>
      </w:r>
    </w:p>
    <w:p>
      <w:pPr>
        <w:spacing w:after="0" w:line="186" w:lineRule="exact"/>
        <w:rPr>
          <w:sz w:val="20"/>
          <w:szCs w:val="20"/>
          <w:color w:val="auto"/>
        </w:rPr>
      </w:pPr>
    </w:p>
    <w:p>
      <w:pPr>
        <w:ind w:right="340" w:firstLine="433"/>
        <w:spacing w:after="0" w:line="241" w:lineRule="auto"/>
        <w:rPr>
          <w:sz w:val="20"/>
          <w:szCs w:val="20"/>
          <w:color w:val="auto"/>
        </w:rPr>
      </w:pPr>
      <w:r>
        <w:rPr>
          <w:rFonts w:ascii="Arial" w:cs="Arial" w:eastAsia="Arial" w:hAnsi="Arial"/>
          <w:sz w:val="16"/>
          <w:szCs w:val="16"/>
          <w:color w:val="auto"/>
        </w:rPr>
        <w:t>There have been no public takeover offers by third parties for our shares nor any public takeover offers by us for the shares of another company that have occurred during the last or current financial years.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w:t>
      </w:r>
    </w:p>
    <w:p>
      <w:pPr>
        <w:spacing w:after="0" w:line="210" w:lineRule="exact"/>
        <w:rPr>
          <w:sz w:val="20"/>
          <w:szCs w:val="20"/>
          <w:color w:val="auto"/>
        </w:rPr>
      </w:pPr>
    </w:p>
    <w:p>
      <w:pPr>
        <w:ind w:right="520" w:firstLine="436"/>
        <w:spacing w:after="0" w:line="239" w:lineRule="auto"/>
        <w:rPr>
          <w:sz w:val="20"/>
          <w:szCs w:val="20"/>
          <w:color w:val="auto"/>
        </w:rPr>
      </w:pPr>
      <w:r>
        <w:rPr>
          <w:rFonts w:ascii="Arial" w:cs="Arial" w:eastAsia="Arial" w:hAnsi="Arial"/>
          <w:sz w:val="16"/>
          <w:szCs w:val="16"/>
          <w:color w:val="auto"/>
        </w:rPr>
        <w:t>Following this offering, our authorized share capital will consist of 200,000,000 shares, par value $0.000273235 per share, and there will be 13,270,569 Class A common shares, 4,638,855 Class B common shares, 12,995,954 Class A1 common shares and 16,057,618 Class B1 common shares issued and outstanding.</w:t>
      </w:r>
    </w:p>
    <w:p>
      <w:pPr>
        <w:spacing w:after="0" w:line="186" w:lineRule="exact"/>
        <w:rPr>
          <w:sz w:val="20"/>
          <w:szCs w:val="20"/>
          <w:color w:val="auto"/>
        </w:rPr>
      </w:pPr>
    </w:p>
    <w:p>
      <w:pPr>
        <w:ind w:right="120" w:firstLine="436"/>
        <w:spacing w:after="0" w:line="239" w:lineRule="auto"/>
        <w:rPr>
          <w:sz w:val="20"/>
          <w:szCs w:val="20"/>
          <w:color w:val="auto"/>
        </w:rPr>
      </w:pPr>
      <w:r>
        <w:rPr>
          <w:rFonts w:ascii="Arial" w:cs="Arial" w:eastAsia="Arial" w:hAnsi="Arial"/>
          <w:sz w:val="16"/>
          <w:szCs w:val="16"/>
          <w:color w:val="auto"/>
        </w:rPr>
        <w:t>Pursuant to our amended and restated bye-laws, subject to the requirements of Nasdaq and subject to any resolution of the shareholders to the contrary, our board of directors is authorized to issue any of our designated but unissued shares. There are no limitations on the right of non-Bermudians or non-residents of Bermuda to hold or vote our shares.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Shares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Following this offering, we will have four classes of shares: Class A, Class A1, Class B and Class B1. Class A and Class B common shares are voting common shares, or together the voting common shares, and Class A1 and Class B1 are non-voting common shares. Except as described in this prospectus with respect to voting rights conversion and transferability each common share will have the same rights and powers of, rank equally to, share ratably with and will be identical in all respects and as to all matters with each other common share. 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preferred shares. None of our common shares have pre-emptive, redemption or sinking fund rights.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5" w:name="page186"/>
    <w:bookmarkEnd w:id="1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Common Shares</w:t>
      </w:r>
    </w:p>
    <w:p>
      <w:pPr>
        <w:spacing w:after="0" w:line="208" w:lineRule="exact"/>
        <w:rPr>
          <w:sz w:val="20"/>
          <w:szCs w:val="20"/>
          <w:color w:val="auto"/>
        </w:rPr>
      </w:pPr>
    </w:p>
    <w:p>
      <w:pPr>
        <w:ind w:right="380" w:firstLine="433"/>
        <w:spacing w:after="0" w:line="241" w:lineRule="auto"/>
        <w:rPr>
          <w:sz w:val="20"/>
          <w:szCs w:val="20"/>
          <w:color w:val="auto"/>
        </w:rPr>
      </w:pPr>
      <w:r>
        <w:rPr>
          <w:rFonts w:ascii="Arial" w:cs="Arial" w:eastAsia="Arial" w:hAnsi="Arial"/>
          <w:sz w:val="16"/>
          <w:szCs w:val="16"/>
          <w:color w:val="auto"/>
        </w:rPr>
        <w:t>The shares being offered in this offering are our Class A common shares. As of March 31, 2018, there were 724,550 Class A common shares issued and outstanding. All Class A common shares are fully paid and non-assessable.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B Common Shares</w:t>
      </w:r>
    </w:p>
    <w:p>
      <w:pPr>
        <w:spacing w:after="0" w:line="208" w:lineRule="exact"/>
        <w:rPr>
          <w:sz w:val="20"/>
          <w:szCs w:val="20"/>
          <w:color w:val="auto"/>
        </w:rPr>
      </w:pPr>
    </w:p>
    <w:p>
      <w:pPr>
        <w:ind w:firstLine="427"/>
        <w:spacing w:after="0" w:line="238" w:lineRule="auto"/>
        <w:rPr>
          <w:sz w:val="20"/>
          <w:szCs w:val="20"/>
          <w:color w:val="auto"/>
        </w:rPr>
      </w:pPr>
      <w:r>
        <w:rPr>
          <w:rFonts w:ascii="Arial" w:cs="Arial" w:eastAsia="Arial" w:hAnsi="Arial"/>
          <w:sz w:val="16"/>
          <w:szCs w:val="16"/>
          <w:color w:val="auto"/>
        </w:rPr>
        <w:t>As of March 31, 2018, there were 3,568,353 Class B common shares outstanding. Each holder of Class B common shares may convert any portion of its Class B common shares into Class A common shares or Class B1 common shares at any time. In addition, each Class B common share automatically converts into one Class A common share upon transfer, except for transfers to or between affiliated holders. Our Class B common shares also have greater voting power than our Class A common shares, as described in "— Voting Rights."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A1 Common Shares</w:t>
      </w:r>
    </w:p>
    <w:p>
      <w:pPr>
        <w:spacing w:after="0" w:line="208" w:lineRule="exact"/>
        <w:rPr>
          <w:sz w:val="20"/>
          <w:szCs w:val="20"/>
          <w:color w:val="auto"/>
        </w:rPr>
      </w:pPr>
    </w:p>
    <w:p>
      <w:pPr>
        <w:ind w:right="40" w:firstLine="427"/>
        <w:spacing w:after="0" w:line="237" w:lineRule="auto"/>
        <w:rPr>
          <w:sz w:val="20"/>
          <w:szCs w:val="20"/>
          <w:color w:val="auto"/>
        </w:rPr>
      </w:pPr>
      <w:r>
        <w:rPr>
          <w:rFonts w:ascii="Arial" w:cs="Arial" w:eastAsia="Arial" w:hAnsi="Arial"/>
          <w:sz w:val="16"/>
          <w:szCs w:val="16"/>
          <w:color w:val="auto"/>
        </w:rPr>
        <w:t>As of March 31, 2018, there were no Class A1 common shares issued and outstanding. No Class A1 common shares may be issued until the effectiveness of the registration statement of which this prospectus forms a part. Following this offering, each holder of Class A1 common shares may elect to convert any portion of its Class A1 common shares into voting Class A common shares at any time, unless, immediately prior to or following such conversion, the holder and its affiliates beneficially own or would beneficially own more than 4.99% of the issued and outstanding Class A common shares or any other class of equity security (other than an exempted security) that is registered pursuant to Section 12 of the Exchange Act. A holder of Class A1 common shares may increase, decrease or waive this limitation on ownership by providing us with 61-days' notice. In addition, each Class A1 common share automatically converts into one Class A common share upon transfer, except for transfers to or between affiliated 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B1 Common Shares</w:t>
      </w:r>
    </w:p>
    <w:p>
      <w:pPr>
        <w:spacing w:after="0" w:line="208" w:lineRule="exact"/>
        <w:rPr>
          <w:sz w:val="20"/>
          <w:szCs w:val="20"/>
          <w:color w:val="auto"/>
        </w:rPr>
      </w:pPr>
    </w:p>
    <w:p>
      <w:pPr>
        <w:ind w:right="40" w:firstLine="427"/>
        <w:spacing w:after="0" w:line="237" w:lineRule="auto"/>
        <w:rPr>
          <w:sz w:val="20"/>
          <w:szCs w:val="20"/>
          <w:color w:val="auto"/>
        </w:rPr>
      </w:pPr>
      <w:r>
        <w:rPr>
          <w:rFonts w:ascii="Arial" w:cs="Arial" w:eastAsia="Arial" w:hAnsi="Arial"/>
          <w:sz w:val="16"/>
          <w:szCs w:val="16"/>
          <w:color w:val="auto"/>
        </w:rPr>
        <w:t>As of March 31, 2018, there were no Class B1 common shares issued and outstanding. No Class B1 common shares may be issued until the effectiveness of the registration statement of which this prospectus forms a part. Following this offering, each holder of Class B1 common shares may elect to convert any portion of its Class B1 common shares into Class A common shares or Class B common shares at any time, unless, immediately prior to or following such conversion, the holder and its affiliates beneficially own or would beneficially own more than 4.99% of the issued and outstanding Class A common shares or any other class of equity security (other than an exempted security) that is registered pursuant to Section 12 of the Exchange Act. A holder of Class B1 common shares may increase, decrease or waive this limitation on ownership by providing us with 61-days' notice. In addition, each Class B1 common share automatically converts into one Class A common share upon transfer, except for transfers to or between affiliated 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Shares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Under Bermuda law and our amended and restated bye-laws, our board of directors is authorized to issue preferred shares in one or more series without shareholder approval. Our board of directors has the discretion under the bye-laws to determine the rights, preferences, privileges and restrictions, including voting rights, dividend rights, conversion rights, redemption privileges and liquidation preferences, of each series of preferred shares, without any further shareholder approval. The rights with respect to a series of preferred shares may be greater than the rights attached to our Class A common shares. It is not possible to state the actual effect of the issuance of any preferred shares on the rights of holders of our common shares until our board of directors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86" w:name="page187"/>
    <w:bookmarkEnd w:id="1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520"/>
        <w:spacing w:after="0" w:line="241" w:lineRule="auto"/>
        <w:rPr>
          <w:sz w:val="20"/>
          <w:szCs w:val="20"/>
          <w:color w:val="auto"/>
        </w:rPr>
      </w:pPr>
      <w:r>
        <w:rPr>
          <w:rFonts w:ascii="Arial" w:cs="Arial" w:eastAsia="Arial" w:hAnsi="Arial"/>
          <w:sz w:val="16"/>
          <w:szCs w:val="16"/>
          <w:color w:val="auto"/>
        </w:rPr>
        <w:t>determines the specific rights attached to those preferred shares. The effect of issuing preferred shares could include, among other things, one or more of the following:</w:t>
      </w:r>
    </w:p>
    <w:p>
      <w:pPr>
        <w:spacing w:after="0" w:line="185" w:lineRule="exact"/>
        <w:rPr>
          <w:sz w:val="20"/>
          <w:szCs w:val="20"/>
          <w:color w:val="auto"/>
        </w:rPr>
      </w:pPr>
    </w:p>
    <w:p>
      <w:pPr>
        <w:ind w:left="960" w:hanging="481"/>
        <w:spacing w:after="0"/>
        <w:tabs>
          <w:tab w:leader="none" w:pos="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restricting dividends in respect of our Class A common shares;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diluting the voting power of our Class A common shares or providing that holders of preferred shares have the right to vote on matters as a class;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impairing the liquidation rights of our common shares; or</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delaying or preventing a change of control of us.</w:t>
      </w:r>
    </w:p>
    <w:p>
      <w:pPr>
        <w:spacing w:after="0" w:line="190" w:lineRule="exact"/>
        <w:rPr>
          <w:sz w:val="20"/>
          <w:szCs w:val="20"/>
          <w:color w:val="auto"/>
        </w:rPr>
      </w:pPr>
    </w:p>
    <w:p>
      <w:pPr>
        <w:ind w:right="160" w:firstLine="436"/>
        <w:spacing w:after="0" w:line="241" w:lineRule="auto"/>
        <w:rPr>
          <w:sz w:val="20"/>
          <w:szCs w:val="20"/>
          <w:color w:val="auto"/>
        </w:rPr>
      </w:pPr>
      <w:r>
        <w:rPr>
          <w:rFonts w:ascii="Arial" w:cs="Arial" w:eastAsia="Arial" w:hAnsi="Arial"/>
          <w:sz w:val="16"/>
          <w:szCs w:val="16"/>
          <w:color w:val="auto"/>
        </w:rPr>
        <w:t>Upon the consummation of this offering, there will be no preferred shares outstanding, and we have no present plans to issue any preferred shares following the offering.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Unless a different majority is required by Bermuda law or by our amended and restated bye-laws, resolutions to be approved by holders of voting common shares require approval by a simple majority of votes cast at a meeting at which a quorum is present. Holders of our voting common shares vote together as a single class on all matters presented to the shareholders for their vote or approval, including the election of directors. Any individual who is a shareholder and who is present and entitled to vote at a meeting may vote in person, as may any corporate shareholder that is represented by a duly authorized representative at a meeting of shareholders. Our amended and restated bye-laws also permit attendance at general meetings by proxy, provided the instrument appointing the proxy is in the form specified in the bye-laws or such other form as the board of directors may determine.</w:t>
      </w:r>
    </w:p>
    <w:p>
      <w:pPr>
        <w:spacing w:after="0" w:line="18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Each Class A common share is entitled to one vote per share and each Class B common share is entitled to ten votes per share. Each Class A1 common share and Class B1 common share is non-voting. Immediately following this offering, the holders of Class A common shares will account for 22.2% of our aggregate voting power and the holders of Class B common shares will account for the remaining 77.8% of our aggregate voting power. Our bye-laws will generally provide that holders of our voting common shares are entitled to vote, on a non-cumulative basis, at all annual general and special general meetings of shareholders with respect to matters on which voting common shares are eligible to vote. However, these percentages may change depending on any conversion of Class A1 and Class B1 common shares into voting common shares, to the extent any are issued, and any conversion of Class B common shares into Class A common shares. See " — Common Shares"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210"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Under Bermuda law and our amended and restated bye-laws, we may not declare or pay dividends if there are reasonable grounds for believing that: (i) we would after the payment be unable to pay our liabilities as they become due; or (ii) that the realizable value of our assets would thereby be less than our liabilities. Under our bye-laws, each common share is entitled to dividends if, as and when dividends are declared by our board of directors, subject to any preferred dividend right of the holders of any preferred shares. There are no restrictions on our ability to transfer funds (other than funds denominated in Bermuda dollars) in and out of Bermuda or to pay dividends to U.S. residents who are holders of our common shares.</w:t>
      </w:r>
    </w:p>
    <w:p>
      <w:pPr>
        <w:spacing w:after="0" w:line="189" w:lineRule="exact"/>
        <w:rPr>
          <w:sz w:val="20"/>
          <w:szCs w:val="20"/>
          <w:color w:val="auto"/>
        </w:rPr>
      </w:pPr>
    </w:p>
    <w:p>
      <w:pPr>
        <w:ind w:right="360" w:firstLine="436"/>
        <w:spacing w:after="0" w:line="241" w:lineRule="auto"/>
        <w:rPr>
          <w:sz w:val="20"/>
          <w:szCs w:val="20"/>
          <w:color w:val="auto"/>
        </w:rPr>
      </w:pPr>
      <w:r>
        <w:rPr>
          <w:rFonts w:ascii="Arial" w:cs="Arial" w:eastAsia="Arial" w:hAnsi="Arial"/>
          <w:sz w:val="16"/>
          <w:szCs w:val="16"/>
          <w:color w:val="auto"/>
        </w:rPr>
        <w:t>We intend to retain future earnings, if any, to finance the operation and expansion of our business and do not anticipate paying any cash dividends on our Class A common shares in the foreseeable future. Any future determination related to our dividend policy will be made at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7" w:name="page188"/>
    <w:bookmarkEnd w:id="1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320"/>
        <w:spacing w:after="0" w:line="241" w:lineRule="auto"/>
        <w:rPr>
          <w:sz w:val="20"/>
          <w:szCs w:val="20"/>
          <w:color w:val="auto"/>
        </w:rPr>
      </w:pPr>
      <w:r>
        <w:rPr>
          <w:rFonts w:ascii="Arial" w:cs="Arial" w:eastAsia="Arial" w:hAnsi="Arial"/>
          <w:sz w:val="16"/>
          <w:szCs w:val="16"/>
          <w:color w:val="auto"/>
        </w:rPr>
        <w:t>discretion of our board of directors after considering our financial condition, results of operations, capital requirements, business prospects and other factors the board of directors deems relevant.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a holding company and have no direct operations. As a result, we will depend upon distributions from our subsidiaries to pay any dividends.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Variation of Rights</w:t>
      </w:r>
    </w:p>
    <w:p>
      <w:pPr>
        <w:spacing w:after="0" w:line="210" w:lineRule="exact"/>
        <w:rPr>
          <w:sz w:val="20"/>
          <w:szCs w:val="20"/>
          <w:color w:val="auto"/>
        </w:rPr>
      </w:pPr>
    </w:p>
    <w:p>
      <w:pPr>
        <w:ind w:firstLine="436"/>
        <w:spacing w:after="0" w:line="255" w:lineRule="auto"/>
        <w:rPr>
          <w:sz w:val="20"/>
          <w:szCs w:val="20"/>
          <w:color w:val="auto"/>
        </w:rPr>
      </w:pPr>
      <w:r>
        <w:rPr>
          <w:rFonts w:ascii="Arial" w:cs="Arial" w:eastAsia="Arial" w:hAnsi="Arial"/>
          <w:sz w:val="15"/>
          <w:szCs w:val="15"/>
          <w:color w:val="auto"/>
        </w:rPr>
        <w:t>If at any time we have more than one class of shares, the rights attaching to any class, unless otherwise provided for by the terms of issue of the relevant class, may be varied either: (i) with the consent in writing of the holders of 75% of the issued shares of that class; or (ii) with the sanction of a resolution passed by a majority of the votes cast at a general meeting of the relevant class of shareholders at which a quorum consisting of at least two persons holding or representing one-third of the issued shares of the relevant class is present. Our amended and restated bye-laws specify that the creation or issue of shares ranking equally with existing shares or the purchase or redemption by us of our shares will not, unless expressly provided by the terms of issue of existing shares, vary the rights attached to existing shares. In addition, the creation or issue of preferred shares ranking prior to common shares will not be deemed to vary the rights attached to common shares or, subject to the terms of any other series of preferred shares, to vary the rights attached to any other series of preferred shares.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Shares</w:t>
      </w:r>
    </w:p>
    <w:p>
      <w:pPr>
        <w:spacing w:after="0" w:line="210" w:lineRule="exact"/>
        <w:rPr>
          <w:sz w:val="20"/>
          <w:szCs w:val="20"/>
          <w:color w:val="auto"/>
        </w:rPr>
      </w:pPr>
    </w:p>
    <w:p>
      <w:pPr>
        <w:ind w:right="240" w:firstLine="436"/>
        <w:spacing w:after="0" w:line="237" w:lineRule="auto"/>
        <w:rPr>
          <w:sz w:val="20"/>
          <w:szCs w:val="20"/>
          <w:color w:val="auto"/>
        </w:rPr>
      </w:pPr>
      <w:r>
        <w:rPr>
          <w:rFonts w:ascii="Arial" w:cs="Arial" w:eastAsia="Arial" w:hAnsi="Arial"/>
          <w:sz w:val="16"/>
          <w:szCs w:val="16"/>
          <w:color w:val="auto"/>
        </w:rPr>
        <w:t>Our board of directors may in its absolute discretion and without assigning any reason refuse to register the transfer of a share that it is not fully paid. The board of directors may also refuse to recognize an instrument of transfer of a share unless it is accompanied by the relevant share certificate and such other evidence of the transferor's right to make the transfer as the board of directors shall reasonably require. Subject to these restrictions, a holder of common shares may transfer the title to all or any of such holder's common shares by completing a form of transfer in the form set out in the bye-laws (or as near thereto as circumstances admit) or in such other common form as the board of directors may accept. The instrument of transfer must be signed by the transferor and transferee, although in the case of a fully paid share the board of directors may accept the instrument signed only by the transferor.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of Shareholders</w:t>
      </w:r>
    </w:p>
    <w:p>
      <w:pPr>
        <w:spacing w:after="0" w:line="210" w:lineRule="exact"/>
        <w:rPr>
          <w:sz w:val="20"/>
          <w:szCs w:val="20"/>
          <w:color w:val="auto"/>
        </w:rPr>
      </w:pPr>
    </w:p>
    <w:p>
      <w:pPr>
        <w:ind w:right="300" w:firstLine="436"/>
        <w:spacing w:after="0" w:line="262" w:lineRule="auto"/>
        <w:rPr>
          <w:sz w:val="20"/>
          <w:szCs w:val="20"/>
          <w:color w:val="auto"/>
        </w:rPr>
      </w:pPr>
      <w:r>
        <w:rPr>
          <w:rFonts w:ascii="Arial" w:cs="Arial" w:eastAsia="Arial" w:hAnsi="Arial"/>
          <w:sz w:val="15"/>
          <w:szCs w:val="15"/>
          <w:color w:val="auto"/>
        </w:rPr>
        <w:t>Under the Companies Act, a company is required to convene at least one general meeting of shareholders each calendar year, which is referred to as the annual general meeting. However, the members may by resolution waive this requirement, either for a specific year or period of time, or indefinitely. When the requirement has been so waived, any member may, on notice to the company, terminate the waiver, in which case an annual general meeting must be called.</w:t>
      </w:r>
    </w:p>
    <w:p>
      <w:pPr>
        <w:spacing w:after="0" w:line="171" w:lineRule="exact"/>
        <w:rPr>
          <w:sz w:val="20"/>
          <w:szCs w:val="20"/>
          <w:color w:val="auto"/>
        </w:rPr>
      </w:pPr>
    </w:p>
    <w:p>
      <w:pPr>
        <w:ind w:right="60" w:firstLine="433"/>
        <w:spacing w:after="0" w:line="237" w:lineRule="auto"/>
        <w:rPr>
          <w:sz w:val="20"/>
          <w:szCs w:val="20"/>
          <w:color w:val="auto"/>
        </w:rPr>
      </w:pPr>
      <w:r>
        <w:rPr>
          <w:rFonts w:ascii="Arial" w:cs="Arial" w:eastAsia="Arial" w:hAnsi="Arial"/>
          <w:sz w:val="16"/>
          <w:szCs w:val="16"/>
          <w:color w:val="auto"/>
        </w:rPr>
        <w:t>The Companies Act provides that a special general meeting of shareholders may be called by the board of directors of a company and must be called upon the request of shareholders holding not less than 10% of the paid-up capital of the company carrying the right to vote at general meetings. The Companies Act also requires that shareholders be given at least five days' advance notice of a general meeting, but the accidental omission to give notice to any person does not invalidate the proceedings at a meeting. Our bye-laws provide that our President or Chairman or any two directors or any director and secretary may convene an annual general meeting or a special general meeting. Under our bye-laws, at least twenty days' notice of an annual general meeting or a special general meeting must be given to each shareholder entitled to vote at such meeting. This notice requirement is subject to the ability to hold such meetings on shorter notice if such notice is agreed: (i) in the case of an annual general meeting by all of the shareholders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88" w:name="page189"/>
    <w:bookmarkEnd w:id="1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entitled to attend and vote at such meeting; or (ii) in the case of a special general meeting by a majority in number of the shareholders entitled to attend and vote at the meeting holding not less than 95% in nominal value of the shares entitled to vote at such meeting. The quorum required for a general meeting of shareholders is two or more persons present throughout the meeting and representing in person or by proxy a majority of the voting power of the issued and outstanding voting shares.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Access to Books and Records and Dissemination of Information</w:t>
      </w:r>
    </w:p>
    <w:p>
      <w:pPr>
        <w:spacing w:after="0" w:line="21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Members of the general public have a right to inspect the public documents of a company available at the office of the Registrar of Companies in Bermuda. These documents include a company's memorandum of association, including its objects and powers, and certain alterations to the memorandum of association. The shareholders have the additional right to inspect the bye-laws of a company, minutes of general meetings and a company's audited financial statements, which must be presented to the annual general meeting.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and Removal of Directors</w:t>
      </w:r>
    </w:p>
    <w:p>
      <w:pPr>
        <w:spacing w:after="0" w:line="210"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Our amended and restated bye-laws provide that our board of directors shall consist of not less than five members and not more than such number of directors as the board of directors determine. Upon the closing of this offering, our board of directors will consist of seven directors. Our board of directors will be divided into three classes that are, as nearly as possible, of equal size. Each class of directors will be elected for a three-year term of office, but the terms will be staggered so that the term of only one class of directors expires at each annual general meeting. Following the election of all of the directors at the first general meeting of shareholders following this offering, the initial terms of the Class I, Class II and Class III directors will expire in 2022, 2020 and 2021, respectively. At each succeeding annual general meeting, successors to the class of directors whose term expires at the annual general meeting will be elected for a three-year term.</w:t>
      </w:r>
    </w:p>
    <w:p>
      <w:pPr>
        <w:spacing w:after="0" w:line="175" w:lineRule="exact"/>
        <w:rPr>
          <w:sz w:val="20"/>
          <w:szCs w:val="20"/>
          <w:color w:val="auto"/>
        </w:rPr>
      </w:pPr>
    </w:p>
    <w:p>
      <w:pPr>
        <w:ind w:right="20" w:firstLine="427"/>
        <w:spacing w:after="0" w:line="254" w:lineRule="auto"/>
        <w:rPr>
          <w:sz w:val="20"/>
          <w:szCs w:val="20"/>
          <w:color w:val="auto"/>
        </w:rPr>
      </w:pPr>
      <w:r>
        <w:rPr>
          <w:rFonts w:ascii="Arial" w:cs="Arial" w:eastAsia="Arial" w:hAnsi="Arial"/>
          <w:sz w:val="15"/>
          <w:szCs w:val="15"/>
          <w:color w:val="auto"/>
        </w:rPr>
        <w:t>A shareholder holding any percentage of the common shares in issue may propose for election as a director someone who is not an existing director or is not proposed by our board of directors. Where a director is to be elected at an annual general meeting, notice of any such proposal for election must be given not less than 90 days nor more than 120 days before the anniversary of the last annual general meeting prior to the giving of the notice or, in the event the annual general meeting is called for a date that is not less than 30 days before or after such anniversary the notice must be given not later than ten days following the earlier of the date on which notice of the annual general meeting was posted to shareholders or the date on which public disclosure of the date of the annual general meeting was made. Where a director is to be elected at a special general meeting; provided, that our board of directors has determined that shareholders may nominate persons for election at such special general meeting, that notice must be given not later than seven days following the earlier of the date on which notice of the special general meeting was posted to shareholders or the date on which public disclosure of the date of the special general meeting was made.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89" w:name="page190"/>
    <w:bookmarkEnd w:id="18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firstLine="427"/>
        <w:spacing w:after="0" w:line="239" w:lineRule="auto"/>
        <w:rPr>
          <w:sz w:val="20"/>
          <w:szCs w:val="20"/>
          <w:color w:val="auto"/>
        </w:rPr>
      </w:pPr>
      <w:r>
        <w:rPr>
          <w:rFonts w:ascii="Arial" w:cs="Arial" w:eastAsia="Arial" w:hAnsi="Arial"/>
          <w:sz w:val="16"/>
          <w:szCs w:val="16"/>
          <w:color w:val="auto"/>
        </w:rPr>
        <w:t>A director may be removed, only with cause, by the shareholders, provided notice of the shareholders meeting convened to remove the director is given to the director. The notice must contain a statement of the intention to remove the director and a summary of the facts justifying the removal and must be served on the director not less than 14 days before the meeting. The director is entitled to attend the meeting and be heard on the motion for his removal.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Proceedings of Board of Directors</w:t>
      </w:r>
    </w:p>
    <w:p>
      <w:pPr>
        <w:spacing w:after="0" w:line="210" w:lineRule="exact"/>
        <w:rPr>
          <w:sz w:val="20"/>
          <w:szCs w:val="20"/>
          <w:color w:val="auto"/>
        </w:rPr>
      </w:pPr>
    </w:p>
    <w:p>
      <w:pPr>
        <w:ind w:right="40" w:firstLine="436"/>
        <w:spacing w:after="0" w:line="239" w:lineRule="auto"/>
        <w:rPr>
          <w:sz w:val="20"/>
          <w:szCs w:val="20"/>
          <w:color w:val="auto"/>
        </w:rPr>
      </w:pPr>
      <w:r>
        <w:rPr>
          <w:rFonts w:ascii="Arial" w:cs="Arial" w:eastAsia="Arial" w:hAnsi="Arial"/>
          <w:sz w:val="16"/>
          <w:szCs w:val="16"/>
          <w:color w:val="auto"/>
        </w:rPr>
        <w:t>Our amended and restated bye-laws provide that our business is to be managed and conducted by our board of directors. Bermuda law permits individual and corporate directors, and there is no requirement in our amended and restated bye-laws or Bermuda law that directors hold any of our shares. There is also no requirement in our amended and restated bye-laws or under Bermuda law that our directors must retire at a certain age.</w:t>
      </w:r>
    </w:p>
    <w:p>
      <w:pPr>
        <w:spacing w:after="0" w:line="186" w:lineRule="exact"/>
        <w:rPr>
          <w:sz w:val="20"/>
          <w:szCs w:val="20"/>
          <w:color w:val="auto"/>
        </w:rPr>
      </w:pPr>
    </w:p>
    <w:p>
      <w:pPr>
        <w:jc w:val="both"/>
        <w:ind w:right="280" w:firstLine="433"/>
        <w:spacing w:after="0" w:line="239" w:lineRule="auto"/>
        <w:rPr>
          <w:sz w:val="20"/>
          <w:szCs w:val="20"/>
          <w:color w:val="auto"/>
        </w:rPr>
      </w:pPr>
      <w:r>
        <w:rPr>
          <w:rFonts w:ascii="Arial" w:cs="Arial" w:eastAsia="Arial" w:hAnsi="Arial"/>
          <w:sz w:val="16"/>
          <w:szCs w:val="16"/>
          <w:color w:val="auto"/>
        </w:rPr>
        <w:t>The remuneration of our directors is determined by the board of directors and each such director, other than directors who are employees of the Company, shall be paid a fee at a rate determined by the board of directors. The directors may also be paid all travel, hotel and other expenses properly incurred by them in connection with our business or their duties as directors.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 director who has a direct or indirect interest in any contract or arrangement with the Company must disclose such interest as required by the Companies Act.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Such an interested director is not entitled to vote on or participate in any discussion in respect of any such contract or arrangement in which he or she is interested.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of Directors and Officers</w:t>
      </w:r>
    </w:p>
    <w:p>
      <w:pPr>
        <w:spacing w:after="0" w:line="210"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judgment is awarded in their favor or in which they are acquitted or granted relief by the Supreme Court of Bermuda pursuant to section 281 of the Companies Act.</w:t>
      </w:r>
    </w:p>
    <w:p>
      <w:pPr>
        <w:spacing w:after="0" w:line="189"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We have adopted provisions in our amended and restated bye-laws that provide that we shall indemnify our officers and directors in respect of their actions and omissions, except in respect of their fraud or dishonesty. Our amended and restated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or her in respect of any negligence, default, breach of duty or breach of trust, whether or not the Company may otherwise indemnify such officer or director. We will purchase and maintain a directors' and officers' liability policy for such a purpose.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of Memorandum of Association and Bye-laws</w:t>
      </w:r>
    </w:p>
    <w:p>
      <w:pPr>
        <w:spacing w:after="0" w:line="210" w:lineRule="exact"/>
        <w:rPr>
          <w:sz w:val="20"/>
          <w:szCs w:val="20"/>
          <w:color w:val="auto"/>
        </w:rPr>
      </w:pPr>
    </w:p>
    <w:p>
      <w:pPr>
        <w:ind w:firstLine="436"/>
        <w:spacing w:after="0" w:line="262" w:lineRule="auto"/>
        <w:rPr>
          <w:sz w:val="20"/>
          <w:szCs w:val="20"/>
          <w:color w:val="auto"/>
        </w:rPr>
      </w:pPr>
      <w:r>
        <w:rPr>
          <w:rFonts w:ascii="Arial" w:cs="Arial" w:eastAsia="Arial" w:hAnsi="Arial"/>
          <w:sz w:val="15"/>
          <w:szCs w:val="15"/>
          <w:color w:val="auto"/>
        </w:rPr>
        <w:t>Bermuda law provides that the memorandum of association of a company may be amended by a resolution passed at a general meeting of shareholders. Amendments to most provisions of our bye-laws require an affirmative vote of a majority of our board of directors and a majority of the issued and outstanding shares carrying the right to vote at general meetings at the relevant time. In addition, amendments to certain sections of our bye-laws containing anti-takeover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0" w:name="page191"/>
    <w:bookmarkEnd w:id="1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jc w:val="both"/>
        <w:ind w:right="120"/>
        <w:spacing w:after="0" w:line="239" w:lineRule="auto"/>
        <w:rPr>
          <w:sz w:val="20"/>
          <w:szCs w:val="20"/>
          <w:color w:val="auto"/>
        </w:rPr>
      </w:pPr>
      <w:r>
        <w:rPr>
          <w:rFonts w:ascii="Arial" w:cs="Arial" w:eastAsia="Arial" w:hAnsi="Arial"/>
          <w:sz w:val="16"/>
          <w:szCs w:val="16"/>
          <w:color w:val="auto"/>
        </w:rPr>
        <w:t>require an affirmative vote of at least 66% of the directors then in office and at least 66% of the voting power of the issued and outstanding shares carrying the right to vote at general meetings at the relevant time. These provisions make it more difficult for any person to remove or amend any provisions in our bye-laws that may have an anti-takeover effect.</w:t>
      </w:r>
    </w:p>
    <w:p>
      <w:pPr>
        <w:spacing w:after="0" w:line="186"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Under Bermuda law, the holders of an aggregate of not less than 20% in par value of the Company's issued share capital or any class thereof have the right to apply to the Supreme Court of Bermuda for an annulment of any amendment of the memorandum of association adopted by shareholders at any general meeting, other than an amendment which alters or reduces a company's share capital as provided in the Companies Act. Where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Amalgamations and Mergers</w:t>
      </w:r>
    </w:p>
    <w:p>
      <w:pPr>
        <w:spacing w:after="0" w:line="21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to be approved by the company's board of directors and by its shareholders. Unless the company's bye-laws provide otherwise, the approval of 75% of the shareholders voting at such meeting is required to approve the amalgamation or merger, and the quorum for such meeting must be two or more persons holding or representing more than one-third of the issued shares of the company. Our amended and restated bye-laws provide that the approval of the affirmative vote of a majority of votes cast at a meeting to approve the amalgamation or merger shall be sufficient, and the quorum for such meeting shall be two or more persons holding or representing a majority of the voting power of the issued and outstanding voting shares.</w:t>
      </w:r>
    </w:p>
    <w:p>
      <w:pPr>
        <w:spacing w:after="0" w:line="188" w:lineRule="exact"/>
        <w:rPr>
          <w:sz w:val="20"/>
          <w:szCs w:val="20"/>
          <w:color w:val="auto"/>
        </w:rPr>
      </w:pPr>
    </w:p>
    <w:p>
      <w:pPr>
        <w:jc w:val="both"/>
        <w:ind w:right="60" w:firstLine="436"/>
        <w:spacing w:after="0" w:line="239" w:lineRule="auto"/>
        <w:rPr>
          <w:sz w:val="20"/>
          <w:szCs w:val="20"/>
          <w:color w:val="auto"/>
        </w:rPr>
      </w:pPr>
      <w:r>
        <w:rPr>
          <w:rFonts w:ascii="Arial" w:cs="Arial" w:eastAsia="Arial" w:hAnsi="Arial"/>
          <w:sz w:val="16"/>
          <w:szCs w:val="16"/>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10" w:lineRule="exact"/>
        <w:rPr>
          <w:sz w:val="20"/>
          <w:szCs w:val="20"/>
          <w:color w:val="auto"/>
        </w:rPr>
      </w:pPr>
    </w:p>
    <w:p>
      <w:pPr>
        <w:ind w:right="420" w:firstLine="427"/>
        <w:spacing w:after="0" w:line="238" w:lineRule="auto"/>
        <w:rPr>
          <w:sz w:val="20"/>
          <w:szCs w:val="20"/>
          <w:color w:val="auto"/>
        </w:rPr>
      </w:pPr>
      <w:r>
        <w:rPr>
          <w:rFonts w:ascii="Arial" w:cs="Arial" w:eastAsia="Arial" w:hAnsi="Arial"/>
          <w:sz w:val="16"/>
          <w:szCs w:val="16"/>
          <w:color w:val="auto"/>
        </w:rPr>
        <w:t>Although the Companies Act does not contain specific provisions regarding "business combinations" between companies organized under the laws of Bermuda and "interested shareholders," we have included these provisions in our bye-laws. Specifically, our bye-laws contain provisions which prohibit us from engaging in a business combination with an interested shareholder for a period of three years after the date of the transaction in which the person became an interested shareholder, unless, in addition to any other approval that may be required by applicable law:</w:t>
      </w:r>
    </w:p>
    <w:p>
      <w:pPr>
        <w:spacing w:after="0" w:line="187" w:lineRule="exact"/>
        <w:rPr>
          <w:sz w:val="20"/>
          <w:szCs w:val="20"/>
          <w:color w:val="auto"/>
        </w:rPr>
      </w:pPr>
    </w:p>
    <w:p>
      <w:pPr>
        <w:ind w:left="960" w:right="400" w:hanging="481"/>
        <w:spacing w:after="0" w:line="241" w:lineRule="auto"/>
        <w:tabs>
          <w:tab w:leader="none" w:pos="9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prior to the date of the transaction that resulted in the shareholder becoming an interested shareholder, our board of directors approved either the business combination or the transaction that resulted in the shareholder becoming an interested shareholder;</w:t>
      </w:r>
    </w:p>
    <w:p>
      <w:pPr>
        <w:spacing w:after="0" w:line="185" w:lineRule="exact"/>
        <w:rPr>
          <w:rFonts w:ascii="Arial" w:cs="Arial" w:eastAsia="Arial" w:hAnsi="Arial"/>
          <w:sz w:val="16"/>
          <w:szCs w:val="16"/>
          <w:color w:val="auto"/>
        </w:rPr>
      </w:pPr>
    </w:p>
    <w:p>
      <w:pPr>
        <w:ind w:left="960" w:right="100" w:hanging="481"/>
        <w:spacing w:after="0" w:line="241" w:lineRule="auto"/>
        <w:tabs>
          <w:tab w:leader="none" w:pos="9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shareholder becoming an interested shareholder, the interested shareholder owned at least 85% of the voting power of our issued and outstanding voting shares at the time the transaction commenced;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1" w:name="page192"/>
    <w:bookmarkEnd w:id="1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20" w:hanging="481"/>
        <w:spacing w:after="0" w:line="210" w:lineRule="auto"/>
        <w:tabs>
          <w:tab w:leader="none" w:pos="9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after the date of the transaction that resulted in the shareholder becoming an interested shareholder, the business combination is approved by our board of directors and authorized at an annual or special general meeting of shareholders by the affirmative vote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our issued and outstanding voting shares that are not owned by the interested shareholder.</w:t>
      </w:r>
    </w:p>
    <w:p>
      <w:pPr>
        <w:spacing w:after="0" w:line="188" w:lineRule="exact"/>
        <w:rPr>
          <w:sz w:val="20"/>
          <w:szCs w:val="20"/>
          <w:color w:val="auto"/>
        </w:rPr>
      </w:pPr>
    </w:p>
    <w:p>
      <w:pPr>
        <w:ind w:right="320"/>
        <w:spacing w:after="0" w:line="238" w:lineRule="auto"/>
        <w:rPr>
          <w:sz w:val="20"/>
          <w:szCs w:val="20"/>
          <w:color w:val="auto"/>
        </w:rPr>
      </w:pPr>
      <w:r>
        <w:rPr>
          <w:rFonts w:ascii="Arial" w:cs="Arial" w:eastAsia="Arial" w:hAnsi="Arial"/>
          <w:sz w:val="16"/>
          <w:szCs w:val="16"/>
          <w:color w:val="auto"/>
        </w:rPr>
        <w:t>For purposes of these provisions, a "business combination" includes recapitalizations, mergers, amalgamations, consolidations, exchanges, asset sales, leases, certain issues or transfers of shares or other securities and other transactions resulting in a financial benefit to the interested shareholder. An "interested shareholder" is any person or entity that beneficially owns 15% or more of our issued and outstanding voting shares and any person or entity affiliated with or controlling or controlled by that person or entity.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Suits</w:t>
      </w:r>
    </w:p>
    <w:p>
      <w:pPr>
        <w:spacing w:after="0" w:line="210"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89"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86" w:lineRule="exact"/>
        <w:rPr>
          <w:sz w:val="20"/>
          <w:szCs w:val="20"/>
          <w:color w:val="auto"/>
        </w:rPr>
      </w:pPr>
    </w:p>
    <w:p>
      <w:pPr>
        <w:ind w:right="60" w:firstLine="436"/>
        <w:spacing w:after="0" w:line="238" w:lineRule="auto"/>
        <w:rPr>
          <w:sz w:val="20"/>
          <w:szCs w:val="20"/>
          <w:color w:val="auto"/>
        </w:rPr>
      </w:pPr>
      <w:r>
        <w:rPr>
          <w:rFonts w:ascii="Arial" w:cs="Arial" w:eastAsia="Arial" w:hAnsi="Arial"/>
          <w:sz w:val="16"/>
          <w:szCs w:val="16"/>
          <w:color w:val="auto"/>
        </w:rPr>
        <w:t>Our amended and restated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 We have been advised by the SEC that in the opinion of the SEC, the operation of this provision as a waiver of the right to sue for violations of federal securities laws would likely be unenforceable in U.S. courts.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Capitalization of Profits and Reserves</w:t>
      </w:r>
    </w:p>
    <w:p>
      <w:pPr>
        <w:spacing w:after="0" w:line="210"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Pursuant to our amended and restated bye-laws, our board of directors may (1)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(2)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Untraced Shareholders</w:t>
      </w:r>
    </w:p>
    <w:p>
      <w:pPr>
        <w:spacing w:after="0" w:line="210" w:lineRule="exact"/>
        <w:rPr>
          <w:sz w:val="20"/>
          <w:szCs w:val="20"/>
          <w:color w:val="auto"/>
        </w:rPr>
      </w:pPr>
    </w:p>
    <w:p>
      <w:pPr>
        <w:ind w:right="80" w:firstLine="436"/>
        <w:spacing w:after="0" w:line="239" w:lineRule="auto"/>
        <w:rPr>
          <w:sz w:val="20"/>
          <w:szCs w:val="20"/>
          <w:color w:val="auto"/>
        </w:rPr>
      </w:pPr>
      <w:r>
        <w:rPr>
          <w:rFonts w:ascii="Arial" w:cs="Arial" w:eastAsia="Arial" w:hAnsi="Arial"/>
          <w:sz w:val="16"/>
          <w:szCs w:val="16"/>
          <w:color w:val="auto"/>
        </w:rPr>
        <w:t>Our amended and restated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92" w:name="page193"/>
    <w:bookmarkEnd w:id="1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300"/>
        <w:spacing w:after="0" w:line="273" w:lineRule="auto"/>
        <w:rPr>
          <w:sz w:val="20"/>
          <w:szCs w:val="20"/>
          <w:color w:val="auto"/>
        </w:rPr>
      </w:pPr>
      <w:r>
        <w:rPr>
          <w:rFonts w:ascii="Arial" w:cs="Arial" w:eastAsia="Arial" w:hAnsi="Arial"/>
          <w:sz w:val="15"/>
          <w:szCs w:val="15"/>
          <w:color w:val="auto"/>
        </w:rPr>
        <w:t>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Provisions of Bermuda Law</w:t>
      </w:r>
    </w:p>
    <w:p>
      <w:pPr>
        <w:spacing w:after="0" w:line="210" w:lineRule="exact"/>
        <w:rPr>
          <w:sz w:val="20"/>
          <w:szCs w:val="20"/>
          <w:color w:val="auto"/>
        </w:rPr>
      </w:pPr>
    </w:p>
    <w:p>
      <w:pPr>
        <w:ind w:right="180" w:firstLine="436"/>
        <w:spacing w:after="0" w:line="239" w:lineRule="auto"/>
        <w:rPr>
          <w:sz w:val="20"/>
          <w:szCs w:val="20"/>
          <w:color w:val="auto"/>
        </w:rPr>
      </w:pPr>
      <w:r>
        <w:rPr>
          <w:rFonts w:ascii="Arial" w:cs="Arial" w:eastAsia="Arial" w:hAnsi="Arial"/>
          <w:sz w:val="16"/>
          <w:szCs w:val="16"/>
          <w:color w:val="auto"/>
        </w:rPr>
        <w:t>We have been designated by the Bermuda Monetary Authority as a non-resident for Bermuda exchange control purposes. This designation allows us to engage in transactions in currencies other than the Bermudan dollar, and there are no restrictions on our ability to transfer funds (other than funds denominated in Bermudan dollars) in and out of Bermuda or to pay dividends to U.S. residents who are holders of our common shares.</w:t>
      </w:r>
    </w:p>
    <w:p>
      <w:pPr>
        <w:spacing w:after="0" w:line="186" w:lineRule="exact"/>
        <w:rPr>
          <w:sz w:val="20"/>
          <w:szCs w:val="20"/>
          <w:color w:val="auto"/>
        </w:rPr>
      </w:pPr>
    </w:p>
    <w:p>
      <w:pPr>
        <w:ind w:right="20" w:firstLine="433"/>
        <w:spacing w:after="0" w:line="236" w:lineRule="auto"/>
        <w:rPr>
          <w:sz w:val="20"/>
          <w:szCs w:val="20"/>
          <w:color w:val="auto"/>
        </w:rPr>
      </w:pPr>
      <w:r>
        <w:rPr>
          <w:rFonts w:ascii="Arial" w:cs="Arial" w:eastAsia="Arial" w:hAnsi="Arial"/>
          <w:sz w:val="16"/>
          <w:szCs w:val="16"/>
          <w:color w:val="auto"/>
        </w:rPr>
        <w:t>The Bermuda Monetary Authority has given its consent for the issue and free transferability of all of the common shares that are the subject of this offering to and between residents and non-residents of Bermuda for exchange control purposes, provided our shares remain listed on an appointed stock exchange, which includes the Nasdaq. Approvals or permissions given by the Bermuda Monetary Authority do not constitute a guarantee by the Bermuda Monetary Authority as to our performance or our creditworthiness. Accordingly, in giving such consent or permissions, neither the Bermuda Monetary Authority nor the Registrar of Companies in Bermuda shall be liable for the financial soundness, performance or default of our business or for the correctness of any opinions or statements expressed in this prospectus. Certain issues and transfers of common shares involving persons deemed resident in Bermuda for exchange control purposes require the specific consent of the Bermuda Monetary Authority. We have sought and have obtained a specific permission from the Bermuda Monetary Authority for the issue and transfer of our common shares up to the amount of our designated capital from time to time, and options, warrants, depository receipts, rights, loan notes, debt instruments and our other securities to persons resident and non-resident for exchange control purposes with the need for prior approval of such issue or transfer.</w:t>
      </w:r>
    </w:p>
    <w:p>
      <w:pPr>
        <w:spacing w:after="0" w:line="193"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210" w:lineRule="exact"/>
        <w:rPr>
          <w:sz w:val="20"/>
          <w:szCs w:val="20"/>
          <w:color w:val="auto"/>
        </w:rPr>
      </w:pPr>
    </w:p>
    <w:p>
      <w:pPr>
        <w:ind w:firstLine="436"/>
        <w:spacing w:after="0" w:line="256" w:lineRule="auto"/>
        <w:rPr>
          <w:sz w:val="20"/>
          <w:szCs w:val="20"/>
          <w:color w:val="auto"/>
        </w:rPr>
      </w:pPr>
      <w:r>
        <w:rPr>
          <w:rFonts w:ascii="Arial" w:cs="Arial" w:eastAsia="Arial" w:hAnsi="Arial"/>
          <w:sz w:val="15"/>
          <w:szCs w:val="15"/>
          <w:color w:val="auto"/>
        </w:rPr>
        <w:t>Upon the closing of this offering, holders of 35,670,093 Class A common shares (including Class A common shares issuable upon the conversion of our Class A1 common shares, Class B common shares, and Class B1 common shares), which we refer to as registrable securities, or their transferees will be entitled to the following rights with respect to the registration of such shares for public resale under the Securities Act pursuant to an amended and restated investors rights agreement by and among us and certain of our shareholders, until such shares can otherwise be sold without restriction under Rule 144, or until the rights otherwise terminate pursuant to the terms of the investors' rights agreement. The registration of our common shares as a result of the following rights being exercised would enable holders to trade these shares without restriction under the Securities Act when the applicable registration statement is declared effective.</w:t>
      </w:r>
    </w:p>
    <w:p>
      <w:pPr>
        <w:spacing w:after="0" w:line="175" w:lineRule="exact"/>
        <w:rPr>
          <w:sz w:val="20"/>
          <w:szCs w:val="20"/>
          <w:color w:val="auto"/>
        </w:rPr>
      </w:pPr>
    </w:p>
    <w:p>
      <w:pPr>
        <w:jc w:val="both"/>
        <w:ind w:right="120" w:firstLine="436"/>
        <w:spacing w:after="0" w:line="239" w:lineRule="auto"/>
        <w:rPr>
          <w:sz w:val="20"/>
          <w:szCs w:val="20"/>
          <w:color w:val="auto"/>
        </w:rPr>
      </w:pPr>
      <w:r>
        <w:rPr>
          <w:rFonts w:ascii="Arial" w:cs="Arial" w:eastAsia="Arial" w:hAnsi="Arial"/>
          <w:sz w:val="16"/>
          <w:szCs w:val="16"/>
          <w:color w:val="auto"/>
        </w:rPr>
        <w:t>If at any time beginning 180 days after the closing date of this offering the holders of a majority of the registrable securities request in writing that we effect a registration with respect to all or part of such registrable securities then outstanding, we may be required to register their shares. We are obligated to effect at most one registration in response to these demand registration rights.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93" w:name="page194"/>
    <w:bookmarkEnd w:id="1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20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If at any time after this offering we propose to register any of our Class A common shares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 S-3 Registration Rights</w:t>
      </w:r>
    </w:p>
    <w:p>
      <w:pPr>
        <w:spacing w:after="0" w:line="208" w:lineRule="exact"/>
        <w:rPr>
          <w:sz w:val="20"/>
          <w:szCs w:val="20"/>
          <w:color w:val="auto"/>
        </w:rPr>
      </w:pPr>
    </w:p>
    <w:p>
      <w:pPr>
        <w:ind w:right="180" w:firstLine="436"/>
        <w:spacing w:after="0" w:line="237" w:lineRule="auto"/>
        <w:rPr>
          <w:sz w:val="20"/>
          <w:szCs w:val="20"/>
          <w:color w:val="auto"/>
        </w:rPr>
      </w:pPr>
      <w:r>
        <w:rPr>
          <w:rFonts w:ascii="Arial" w:cs="Arial" w:eastAsia="Arial" w:hAnsi="Arial"/>
          <w:sz w:val="16"/>
          <w:szCs w:val="16"/>
          <w:color w:val="auto"/>
        </w:rPr>
        <w:t>If, at any time after we become entitled under the Securities Act to register our shares on a registration statement on Form S-3, 25% of the holders of the registrable securities then outstanding on an as-converted into Class A common shares basis request in writing that we effect a registration with respect to registrable securities at an aggregate price to the public in the offering of at least $5.0 million, we will be required to effect such registration within 20 days after the date of such request; provided, however, that we will not be required to effect such a registration if, within any twelve-month period, we have already effected two registrations on Form S-3 for the holders of registrable securities. On the day we are eligible to use a Form S-3 registration statement, we are obligated to register any then outstanding registrable securities held by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w:t>
      </w:r>
    </w:p>
    <w:p>
      <w:pPr>
        <w:spacing w:after="0" w:line="208" w:lineRule="exact"/>
        <w:rPr>
          <w:sz w:val="20"/>
          <w:szCs w:val="20"/>
          <w:color w:val="auto"/>
        </w:rPr>
      </w:pPr>
    </w:p>
    <w:p>
      <w:pPr>
        <w:ind w:right="240" w:firstLine="436"/>
        <w:spacing w:after="0" w:line="239" w:lineRule="auto"/>
        <w:rPr>
          <w:sz w:val="20"/>
          <w:szCs w:val="20"/>
          <w:color w:val="auto"/>
        </w:rPr>
      </w:pPr>
      <w:r>
        <w:rPr>
          <w:rFonts w:ascii="Arial" w:cs="Arial" w:eastAsia="Arial" w:hAnsi="Arial"/>
          <w:sz w:val="16"/>
          <w:szCs w:val="16"/>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and blue-sky fees and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 of Registration Rights</w:t>
      </w:r>
    </w:p>
    <w:p>
      <w:pPr>
        <w:spacing w:after="0" w:line="208" w:lineRule="exact"/>
        <w:rPr>
          <w:sz w:val="20"/>
          <w:szCs w:val="20"/>
          <w:color w:val="auto"/>
        </w:rPr>
      </w:pPr>
    </w:p>
    <w:p>
      <w:pPr>
        <w:ind w:right="280" w:firstLine="433"/>
        <w:spacing w:after="0" w:line="239" w:lineRule="auto"/>
        <w:rPr>
          <w:sz w:val="20"/>
          <w:szCs w:val="20"/>
          <w:color w:val="auto"/>
        </w:rPr>
      </w:pPr>
      <w:r>
        <w:rPr>
          <w:rFonts w:ascii="Arial" w:cs="Arial" w:eastAsia="Arial" w:hAnsi="Arial"/>
          <w:sz w:val="16"/>
          <w:szCs w:val="16"/>
          <w:color w:val="auto"/>
        </w:rPr>
        <w:t>The registration rights terminate upon the earlier of the closing of a deemed liquidation event, as defined in our bye-laws, or, with respect to the registration rights of an individual holder, when the holder can sell all of such holder's registrable securities in a 90-day period without restriction under Rule 144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Corporate Anti-Takeover Provisions</w:t>
      </w:r>
    </w:p>
    <w:p>
      <w:pPr>
        <w:spacing w:after="0" w:line="210" w:lineRule="exact"/>
        <w:rPr>
          <w:sz w:val="20"/>
          <w:szCs w:val="20"/>
          <w:color w:val="auto"/>
        </w:rPr>
      </w:pPr>
    </w:p>
    <w:p>
      <w:pPr>
        <w:ind w:right="180" w:firstLine="436"/>
        <w:spacing w:after="0" w:line="238" w:lineRule="auto"/>
        <w:rPr>
          <w:sz w:val="20"/>
          <w:szCs w:val="20"/>
          <w:color w:val="auto"/>
        </w:rPr>
      </w:pPr>
      <w:r>
        <w:rPr>
          <w:rFonts w:ascii="Arial" w:cs="Arial" w:eastAsia="Arial" w:hAnsi="Arial"/>
          <w:sz w:val="16"/>
          <w:szCs w:val="16"/>
          <w:color w:val="auto"/>
        </w:rPr>
        <w:t>Certain provisions in our amended and restated bye-laws may be deemed to have an anti-takeover effect and may delay, deter or prevent a tender offer or takeover attempt that a shareholder might consider to be in its best interests, including attempts that might result in a premium being paid over the market price for the Class A common shares. These provisions are also designed, in part, to encourage persons seeking to acquire control of us to first negotiate with our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Shares</w:t>
      </w:r>
    </w:p>
    <w:p>
      <w:pPr>
        <w:spacing w:after="0" w:line="208" w:lineRule="exact"/>
        <w:rPr>
          <w:sz w:val="20"/>
          <w:szCs w:val="20"/>
          <w:color w:val="auto"/>
        </w:rPr>
      </w:pPr>
    </w:p>
    <w:p>
      <w:pPr>
        <w:ind w:right="160" w:firstLine="436"/>
        <w:spacing w:after="0" w:line="241" w:lineRule="auto"/>
        <w:rPr>
          <w:sz w:val="20"/>
          <w:szCs w:val="20"/>
          <w:color w:val="auto"/>
        </w:rPr>
      </w:pPr>
      <w:r>
        <w:rPr>
          <w:rFonts w:ascii="Arial" w:cs="Arial" w:eastAsia="Arial" w:hAnsi="Arial"/>
          <w:sz w:val="16"/>
          <w:szCs w:val="16"/>
          <w:color w:val="auto"/>
        </w:rPr>
        <w:t>Pursuant to our amended and restated bye-laws, preferred shares may be issued from time to time, and the board of directors is authorized to determine the rights, preferences, powers, qualifications, limitations and restrictions.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4" w:name="page195"/>
    <w:bookmarkEnd w:id="1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Classified Board</w:t>
      </w:r>
    </w:p>
    <w:p>
      <w:pPr>
        <w:spacing w:after="0" w:line="20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Upon consummation of this offering, in accordance with the terms of our bye-laws, our board of directors will be divided into three classes, class I, class II and class III, with members of each class serving staggered three-year terms after their initial terms of office following their election at the first general meeting of shareholders following this offering. Our amended and restated bye-laws further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Our classified board of directors could have the effect of delaying or discouraging an acquisition of us or a change in our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20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Upon consummation of this offering, in accordance with the terms of our amended and restated bye-laws, our directors may be removed only for cause by the affirmative vote of a majority of the votes entitled to be cast by our shareholders entitled to vote at an annual general election of directors. Any vacancy on our board, including a vacancy resulting from an enlargement of our board or from removal for cause not filled by the shareholders at the time, may be filled only by vote of a majority of our directors then in office.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Advance Notice Requirements for Shareholder Proposals and Director Nominations</w:t>
      </w:r>
    </w:p>
    <w:p>
      <w:pPr>
        <w:spacing w:after="0" w:line="208"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Our amended and restated bye-laws provide that shareholders seeking to nominate candidates for election as directors or to bring business before an annual meeting of shareholders must provide timely notice of their proposal. Generally, to be timely, a shareholder's notice must be received at our principal executive offices not less than 90 days or more than 120 days prior to the first anniversary date of the last annual general meeting. Our amended and restated bye-laws also specify requirements as to the form and content of a shareholder's notice. These provisions may impede shareholders' ability to bring matters before an annual meeting of shareholders or make nominations for directors at an annual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Choice of Jurisdiction</w:t>
      </w:r>
    </w:p>
    <w:p>
      <w:pPr>
        <w:spacing w:after="0" w:line="208"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jurisdiction, any dispute that arises concerning the Companies Act or out of or in connection with our bye-laws, including any question regarding the existence and scope of any bye-law and/or whether there has been a breach of the Companies Act or the bye-laws by any of our officers or directors (whether or not such a claim is brought in the name of a shareholder or in the name of our company) shall be subject to the jurisdiction of the Supreme Court of Bermuda.</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Certain Bye-Laws</w:t>
      </w:r>
    </w:p>
    <w:p>
      <w:pPr>
        <w:spacing w:after="0" w:line="208" w:lineRule="exact"/>
        <w:rPr>
          <w:sz w:val="20"/>
          <w:szCs w:val="20"/>
          <w:color w:val="auto"/>
        </w:rPr>
      </w:pPr>
    </w:p>
    <w:p>
      <w:pPr>
        <w:ind w:right="200" w:firstLine="427"/>
        <w:spacing w:after="0" w:line="241" w:lineRule="auto"/>
        <w:rPr>
          <w:sz w:val="20"/>
          <w:szCs w:val="20"/>
          <w:color w:val="auto"/>
        </w:rPr>
      </w:pPr>
      <w:r>
        <w:rPr>
          <w:rFonts w:ascii="Arial" w:cs="Arial" w:eastAsia="Arial" w:hAnsi="Arial"/>
          <w:sz w:val="16"/>
          <w:szCs w:val="16"/>
          <w:color w:val="auto"/>
        </w:rPr>
        <w:t>Amendments to certain sections of our amended and restated bye-laws containing anti-takeover provisions will require an affirmative vote of at least 66% of the directors and at least 66% of the voting power of the issued and outstanding shares.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Registrar and Transfer Agent</w:t>
      </w:r>
    </w:p>
    <w:p>
      <w:pPr>
        <w:spacing w:after="0" w:line="210" w:lineRule="exact"/>
        <w:rPr>
          <w:sz w:val="20"/>
          <w:szCs w:val="20"/>
          <w:color w:val="auto"/>
        </w:rPr>
      </w:pPr>
    </w:p>
    <w:p>
      <w:pPr>
        <w:jc w:val="both"/>
        <w:ind w:right="140" w:firstLine="427"/>
        <w:spacing w:after="0" w:line="239" w:lineRule="auto"/>
        <w:rPr>
          <w:sz w:val="20"/>
          <w:szCs w:val="20"/>
          <w:color w:val="auto"/>
        </w:rPr>
      </w:pPr>
      <w:r>
        <w:rPr>
          <w:rFonts w:ascii="Arial" w:cs="Arial" w:eastAsia="Arial" w:hAnsi="Arial"/>
          <w:sz w:val="16"/>
          <w:szCs w:val="16"/>
          <w:color w:val="auto"/>
        </w:rPr>
        <w:t>A register of holders of the Class A common shares will be maintained by Conyers Corporate Services (Bermuda) Limited in Bermuda, and a branch register will be maintained in the United States by American Stock Transfer &amp; Trust Company LLC, which will also serve as transfer agent. The transfer agent's address is 6201 15th Avenue, Brooklyn, NY 11219.</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applied to have our Class A common shares listed on The Nasdaq Global Select Market under the symbol "KNSA."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95" w:name="page196"/>
    <w:bookmarkEnd w:id="1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SHARES ELIGIBLE FOR FUTURE SALE</w:t>
      </w:r>
    </w:p>
    <w:p>
      <w:pPr>
        <w:spacing w:after="0" w:line="210"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Prior to this offering, there has been no public market for our Class A common shares. Future sales of substantial amounts of Class A common shares in the public market after this offering, or the perception that such sales may occur, could adversely affect the market price of our Class A common shares and could impair our future ability to raise equity capital.</w:t>
      </w:r>
    </w:p>
    <w:p>
      <w:pPr>
        <w:spacing w:after="0" w:line="186"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Upon the closing of this offering, we will have outstanding an aggregate of 13,270,569 Class A common shares, 12,995,954 Class A1 common shares, 4,638,855 Class B common shares and 16,057,618 Class B1 common shares, assuming the issuance of 7,000,000 Class A common shares offered by us in this offering, the conversion of all our outstanding preferred shares into 5,546,019 Class A common shares, 12,995,954 Class A1 common shares, 1,070,502 Class B common shares and 16,057,618 Class B1 common shares upon the closing of this offering, and no exercise of options after March 31, 2018. Of these shares, all Class A common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88" w:lineRule="exact"/>
        <w:rPr>
          <w:sz w:val="20"/>
          <w:szCs w:val="20"/>
          <w:color w:val="auto"/>
        </w:rPr>
      </w:pPr>
    </w:p>
    <w:p>
      <w:pPr>
        <w:ind w:firstLine="433"/>
        <w:spacing w:after="0" w:line="256" w:lineRule="auto"/>
        <w:rPr>
          <w:sz w:val="20"/>
          <w:szCs w:val="20"/>
          <w:color w:val="auto"/>
        </w:rPr>
      </w:pPr>
      <w:r>
        <w:rPr>
          <w:rFonts w:ascii="Arial" w:cs="Arial" w:eastAsia="Arial" w:hAnsi="Arial"/>
          <w:sz w:val="15"/>
          <w:szCs w:val="15"/>
          <w:color w:val="auto"/>
        </w:rPr>
        <w:t>The aggregate remaining 39,962,996 Class A common shares, Class A1 common shares, Class B common shares and Class B1 common shares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all of these shares will be subject to the 180-day lock-up period under the lock-up agreements described below. Upon expiration of the lock-up period, we estimate that 39,962,996 Class A common shares will be available for sale in the public market (including Class A common shares issuable upon the conversion of our Class A1 common shares, Class B common shares, and Class B1 common shares), subject in some cases to applicable volume limitations under Rule 144.</w:t>
      </w:r>
    </w:p>
    <w:p>
      <w:pPr>
        <w:spacing w:after="0" w:line="175" w:lineRule="exact"/>
        <w:rPr>
          <w:sz w:val="20"/>
          <w:szCs w:val="20"/>
          <w:color w:val="auto"/>
        </w:rPr>
      </w:pPr>
    </w:p>
    <w:p>
      <w:pPr>
        <w:ind w:right="260" w:firstLine="436"/>
        <w:spacing w:after="0" w:line="239" w:lineRule="auto"/>
        <w:rPr>
          <w:sz w:val="20"/>
          <w:szCs w:val="20"/>
          <w:color w:val="auto"/>
        </w:rPr>
      </w:pPr>
      <w:r>
        <w:rPr>
          <w:rFonts w:ascii="Arial" w:cs="Arial" w:eastAsia="Arial" w:hAnsi="Arial"/>
          <w:sz w:val="16"/>
          <w:szCs w:val="16"/>
          <w:color w:val="auto"/>
        </w:rPr>
        <w:t>In addition, of the 4,702,190 Class A common shares that were subject to share options outstanding as of March 31, 2018, options to purchase 955,119 Class A common shares were vested as of March 31, 2018 and, upon exercise, these shares will be eligible for sale subject to the lock-up agreements described below and Rules 144 and 701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210"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We and all of our equity holders as of the date of this prospectus, including each of our executive officers and directors, have entered into or will enter into lock-up agreements with the underwriters or otherwise agree, subject to certain exceptions, that we and they will not, directly or indirectly, offer, sell, contract to sell, pledge, grant any option to purchase, make any short sale or otherwise dispose of or hedge any of our common shares, any options or warrants to purchase our common shares, or any securities convertible into, or exchangeable for or that represent the right to receive our common shares, without the prior written consent of Goldman Sachs &amp; Co. LLC and J.P. Morgan Securities LLC for a period of 180 days from the date of this prospectus.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Affiliate Resales of Restricted Securities</w:t>
      </w:r>
    </w:p>
    <w:p>
      <w:pPr>
        <w:spacing w:after="0" w:line="208"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an affiliate of ours, or who was an affiliate at any time during the 90 days before a sale, who has beneficially owned our Class A common shares for at least six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96" w:name="page197"/>
    <w:bookmarkEnd w:id="1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months would be entitled to sell in "broker's transactions" or certain "riskless principal transactions" or to market makers, a number of shares within any three-month period that does not exceed the greater of:</w:t>
      </w:r>
    </w:p>
    <w:p>
      <w:pPr>
        <w:spacing w:after="0" w:line="185" w:lineRule="exact"/>
        <w:rPr>
          <w:sz w:val="20"/>
          <w:szCs w:val="20"/>
          <w:color w:val="auto"/>
        </w:rPr>
      </w:pPr>
    </w:p>
    <w:p>
      <w:pPr>
        <w:ind w:left="960" w:hanging="481"/>
        <w:spacing w:after="0"/>
        <w:tabs>
          <w:tab w:leader="none" w:pos="9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1% of the number of our Class A common shares then outstanding, which will equal approximately 132,705 shares immediately after this offering; or</w:t>
      </w:r>
    </w:p>
    <w:p>
      <w:pPr>
        <w:spacing w:after="0" w:line="201" w:lineRule="exact"/>
        <w:rPr>
          <w:rFonts w:ascii="Arial" w:cs="Arial" w:eastAsia="Arial" w:hAnsi="Arial"/>
          <w:sz w:val="15"/>
          <w:szCs w:val="15"/>
          <w:color w:val="auto"/>
        </w:rPr>
      </w:pPr>
    </w:p>
    <w:p>
      <w:pPr>
        <w:ind w:left="960" w:right="20" w:hanging="481"/>
        <w:spacing w:after="0" w:line="241" w:lineRule="auto"/>
        <w:tabs>
          <w:tab w:leader="none" w:pos="9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average weekly trading volume in our Class A common shares on The Nasdaq Global Select Market during the four calendar weeks preceding the filing of a notice on Form 144 with respect to such sale.</w:t>
      </w:r>
    </w:p>
    <w:p>
      <w:pPr>
        <w:spacing w:after="0" w:line="185" w:lineRule="exact"/>
        <w:rPr>
          <w:sz w:val="20"/>
          <w:szCs w:val="20"/>
          <w:color w:val="auto"/>
        </w:rPr>
      </w:pPr>
    </w:p>
    <w:p>
      <w:pPr>
        <w:ind w:right="100" w:firstLine="427"/>
        <w:spacing w:after="0" w:line="239" w:lineRule="auto"/>
        <w:rPr>
          <w:sz w:val="20"/>
          <w:szCs w:val="20"/>
          <w:color w:val="auto"/>
        </w:rPr>
      </w:pPr>
      <w:r>
        <w:rPr>
          <w:rFonts w:ascii="Arial" w:cs="Arial" w:eastAsia="Arial" w:hAnsi="Arial"/>
          <w:sz w:val="16"/>
          <w:szCs w:val="16"/>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Non-Affiliate Resales of Restricted Securities</w:t>
      </w:r>
    </w:p>
    <w:p>
      <w:pPr>
        <w:spacing w:after="0" w:line="208"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our Class A common shares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Non-affiliate resales are not subject to the manner of sale, volume limitation or notice filing provisions of Rule 144.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210"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 general, under Rule 701, any of an issuer's employees, directors, officers, consultants or advisors who purchases shares from the issuer in connection with a compensatory share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9" w:lineRule="exact"/>
        <w:rPr>
          <w:sz w:val="20"/>
          <w:szCs w:val="20"/>
          <w:color w:val="auto"/>
        </w:rPr>
      </w:pPr>
    </w:p>
    <w:p>
      <w:pPr>
        <w:jc w:val="both"/>
        <w:ind w:right="180" w:firstLine="433"/>
        <w:spacing w:after="0" w:line="239" w:lineRule="auto"/>
        <w:rPr>
          <w:sz w:val="20"/>
          <w:szCs w:val="20"/>
          <w:color w:val="auto"/>
        </w:rPr>
      </w:pPr>
      <w:r>
        <w:rPr>
          <w:rFonts w:ascii="Arial" w:cs="Arial" w:eastAsia="Arial" w:hAnsi="Arial"/>
          <w:sz w:val="16"/>
          <w:szCs w:val="16"/>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Plans</w:t>
      </w:r>
    </w:p>
    <w:p>
      <w:pPr>
        <w:spacing w:after="0" w:line="210" w:lineRule="exact"/>
        <w:rPr>
          <w:sz w:val="20"/>
          <w:szCs w:val="20"/>
          <w:color w:val="auto"/>
        </w:rPr>
      </w:pPr>
    </w:p>
    <w:p>
      <w:pPr>
        <w:ind w:firstLine="436"/>
        <w:spacing w:after="0" w:line="262"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all Class A common shares subject to outstanding share options and Class A common shares issued or issuable under our share plans. We expect to file the registration statement covering shares offered pursuant to our share plans shortly after the date of this prospectus, permitting the resale of such shares by non-affiliates in the public market without restriction under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7" w:name="page198"/>
    <w:bookmarkEnd w:id="1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and the sale by affiliates in the public market, subject to compliance with the resale provisions of Rule 144.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Upon the closing of this offering, the holders of 35,670,093 Class A common shares (including Class A common shares issuable upon the conversion of our Class A1 common shares, Class B common shares, and Class B1 common shares), or their transferees, will be entitled to various rights with respect to the registration under the Securities Act of these shares and any common shares issued as a dividend or other distribution with respect to these Class A common shares. Registration of these shares under the Securities Act would result in these shares becoming fully tradable without restriction under the Securities Act immediately upon the effectiveness of the registration statement, except for shares purchased by affiliates. See "Description of Share Capital — Registration Rights" for additional information.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8" w:name="page199"/>
    <w:bookmarkEnd w:id="19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BERMUDA COMPANY CONSIDERATIONS</w:t>
      </w:r>
    </w:p>
    <w:p>
      <w:pPr>
        <w:spacing w:after="0" w:line="21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Our corporate affairs will be governed by our memorandum of association and our amended and restated bye-laws that will become effective immediately following the closing of this offering and by the corporate law of Bermuda. The provisions of the Companies Act, which applies to us, differ in certain material respects from laws generally applicable to U.S. companies incorporated in the State of Delaware and their stockholders. The following is a summary of significant differences between the Companies Act and Bermuda common law applicable to us and our shareholders and the provisions of the Delaware General Corporation Law applicable to U.S. companies organized under the laws of Delaware and their stockholders.</w:t>
      </w:r>
    </w:p>
    <w:p>
      <w:pPr>
        <w:sectPr>
          <w:pgSz w:w="11900" w:h="16838" w:orient="portrait"/>
          <w:cols w:equalWidth="0" w:num="1">
            <w:col w:w="11260"/>
          </w:cols>
          <w:pgMar w:left="240" w:top="143" w:right="399" w:bottom="1440" w:gutter="0" w:footer="0" w:header="0"/>
        </w:sectPr>
      </w:pPr>
    </w:p>
    <w:p>
      <w:pPr>
        <w:spacing w:after="0" w:line="169"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278066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Shareholder Meetings</w:t>
      </w:r>
    </w:p>
    <w:p>
      <w:pPr>
        <w:spacing w:after="0" w:line="195" w:lineRule="exact"/>
        <w:rPr>
          <w:sz w:val="20"/>
          <w:szCs w:val="20"/>
          <w:color w:val="auto"/>
        </w:rPr>
      </w:pPr>
    </w:p>
    <w:p>
      <w:pPr>
        <w:ind w:left="1300" w:hanging="158"/>
        <w:spacing w:after="0" w:line="238" w:lineRule="auto"/>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May be called by the board of directors and must be called upon the request of shareholders holding not less than 10% of the paid-up capital of the company carrying the right to vote at general meetings.</w:t>
      </w:r>
    </w:p>
    <w:p>
      <w:pPr>
        <w:spacing w:after="0" w:line="174" w:lineRule="exact"/>
        <w:rPr>
          <w:rFonts w:ascii="Arial" w:cs="Arial" w:eastAsia="Arial" w:hAnsi="Arial"/>
          <w:sz w:val="16"/>
          <w:szCs w:val="16"/>
          <w:color w:val="auto"/>
        </w:rPr>
      </w:pPr>
    </w:p>
    <w:p>
      <w:pPr>
        <w:ind w:left="1300" w:hanging="158"/>
        <w:spacing w:after="0"/>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May be held in or outside Bermuda.</w:t>
      </w:r>
    </w:p>
    <w:p>
      <w:pPr>
        <w:spacing w:after="0" w:line="177" w:lineRule="exact"/>
        <w:rPr>
          <w:rFonts w:ascii="Arial" w:cs="Arial" w:eastAsia="Arial" w:hAnsi="Arial"/>
          <w:sz w:val="16"/>
          <w:szCs w:val="16"/>
          <w:color w:val="auto"/>
        </w:rPr>
      </w:pPr>
    </w:p>
    <w:p>
      <w:pPr>
        <w:ind w:left="1300" w:hanging="158"/>
        <w:spacing w:after="0"/>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Notice: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853"/>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78066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383" w:lineRule="exact"/>
        <w:rPr>
          <w:sz w:val="20"/>
          <w:szCs w:val="20"/>
          <w:color w:val="auto"/>
        </w:rPr>
      </w:pPr>
    </w:p>
    <w:p>
      <w:pPr>
        <w:ind w:left="153" w:right="1400" w:hanging="153"/>
        <w:spacing w:after="0" w:line="262" w:lineRule="auto"/>
        <w:tabs>
          <w:tab w:leader="none" w:pos="153" w:val="left"/>
        </w:tabs>
        <w:numPr>
          <w:ilvl w:val="0"/>
          <w:numId w:val="104"/>
        </w:numPr>
        <w:rPr>
          <w:rFonts w:ascii="Arial" w:cs="Arial" w:eastAsia="Arial" w:hAnsi="Arial"/>
          <w:sz w:val="15"/>
          <w:szCs w:val="15"/>
          <w:color w:val="auto"/>
        </w:rPr>
      </w:pPr>
      <w:r>
        <w:rPr>
          <w:rFonts w:ascii="Arial" w:cs="Arial" w:eastAsia="Arial" w:hAnsi="Arial"/>
          <w:sz w:val="15"/>
          <w:szCs w:val="15"/>
          <w:color w:val="auto"/>
        </w:rPr>
        <w:t>May be held at such time or place as designated in the certificate of incorporation or the bylaws, or if not so designated, as determined by the board of directors.</w:t>
      </w:r>
    </w:p>
    <w:p>
      <w:pPr>
        <w:spacing w:after="0" w:line="339" w:lineRule="exact"/>
        <w:rPr>
          <w:rFonts w:ascii="Arial" w:cs="Arial" w:eastAsia="Arial" w:hAnsi="Arial"/>
          <w:sz w:val="15"/>
          <w:szCs w:val="15"/>
          <w:color w:val="auto"/>
        </w:rPr>
      </w:pPr>
    </w:p>
    <w:p>
      <w:pPr>
        <w:ind w:left="153" w:hanging="153"/>
        <w:spacing w:after="0"/>
        <w:tabs>
          <w:tab w:leader="none" w:pos="15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May be held in or outside of Delaware.</w:t>
      </w:r>
    </w:p>
    <w:p>
      <w:pPr>
        <w:spacing w:after="0" w:line="177" w:lineRule="exact"/>
        <w:rPr>
          <w:rFonts w:ascii="Arial" w:cs="Arial" w:eastAsia="Arial" w:hAnsi="Arial"/>
          <w:sz w:val="16"/>
          <w:szCs w:val="16"/>
          <w:color w:val="auto"/>
        </w:rPr>
      </w:pPr>
    </w:p>
    <w:p>
      <w:pPr>
        <w:ind w:left="153" w:hanging="153"/>
        <w:spacing w:after="0"/>
        <w:tabs>
          <w:tab w:leader="none" w:pos="15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Notice:</w:t>
      </w:r>
    </w:p>
    <w:p>
      <w:pPr>
        <w:spacing w:after="0" w:line="178" w:lineRule="exact"/>
        <w:rPr>
          <w:sz w:val="20"/>
          <w:szCs w:val="20"/>
          <w:color w:val="auto"/>
        </w:rPr>
      </w:pPr>
    </w:p>
    <w:p>
      <w:pPr>
        <w:sectPr>
          <w:pgSz w:w="11900" w:h="16838" w:orient="portrait"/>
          <w:cols w:equalWidth="0" w:num="2">
            <w:col w:w="5440" w:space="467"/>
            <w:col w:w="5353"/>
          </w:cols>
          <w:pgMar w:left="240" w:top="143" w:right="399" w:bottom="1440" w:gutter="0" w:footer="0" w:header="0"/>
          <w:type w:val="continuous"/>
        </w:sectPr>
      </w:pPr>
    </w:p>
    <w:p>
      <w:pPr>
        <w:ind w:left="1680" w:right="320" w:hanging="152"/>
        <w:spacing w:after="0" w:line="238" w:lineRule="auto"/>
        <w:tabs>
          <w:tab w:leader="none" w:pos="16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Shareholders must be given at least five days' advance notice of a general meeting, but the unintentional failure to give notice to any person does not invalidate the proceedings at a meeting.</w:t>
      </w:r>
    </w:p>
    <w:p>
      <w:pPr>
        <w:spacing w:after="0" w:line="174" w:lineRule="exact"/>
        <w:rPr>
          <w:rFonts w:ascii="Arial" w:cs="Arial" w:eastAsia="Arial" w:hAnsi="Arial"/>
          <w:sz w:val="16"/>
          <w:szCs w:val="16"/>
          <w:color w:val="auto"/>
        </w:rPr>
      </w:pPr>
    </w:p>
    <w:p>
      <w:pPr>
        <w:ind w:left="1680" w:right="380" w:hanging="152"/>
        <w:spacing w:after="0" w:line="238" w:lineRule="auto"/>
        <w:tabs>
          <w:tab w:leader="none" w:pos="16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Notice of general meetings must specify the place, the day and hour of the meeting and in the case of special general meetings, the general nature of the business to be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7" w:right="980" w:hanging="167"/>
        <w:spacing w:after="0" w:line="241" w:lineRule="auto"/>
        <w:tabs>
          <w:tab w:leader="none" w:pos="16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Written notice shall be given not less than ten nor more than 60 days before the meeting.</w:t>
      </w:r>
    </w:p>
    <w:p>
      <w:pPr>
        <w:spacing w:after="0" w:line="200" w:lineRule="exact"/>
        <w:rPr>
          <w:rFonts w:ascii="Arial" w:cs="Arial" w:eastAsia="Arial" w:hAnsi="Arial"/>
          <w:sz w:val="16"/>
          <w:szCs w:val="16"/>
          <w:color w:val="auto"/>
        </w:rPr>
      </w:pPr>
    </w:p>
    <w:p>
      <w:pPr>
        <w:spacing w:after="0" w:line="335" w:lineRule="exact"/>
        <w:rPr>
          <w:rFonts w:ascii="Arial" w:cs="Arial" w:eastAsia="Arial" w:hAnsi="Arial"/>
          <w:sz w:val="16"/>
          <w:szCs w:val="16"/>
          <w:color w:val="auto"/>
        </w:rPr>
      </w:pPr>
    </w:p>
    <w:p>
      <w:pPr>
        <w:ind w:left="167" w:right="1000" w:hanging="167"/>
        <w:spacing w:after="0" w:line="254" w:lineRule="auto"/>
        <w:tabs>
          <w:tab w:leader="none" w:pos="16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Whenever stockholders are required to take any action at a meeting, a written notice of the meeting shall be given which shall state the place, if any, date and hour of the meeting, the means of remote communication, if any, the record date for determining the stockholders entitled to vote at the meeting if such date is different from the record date for determining stockholders entitled to notice, and in the case of a special meeting, the purpose for which the meeting is called.</w:t>
      </w:r>
    </w:p>
    <w:p>
      <w:pPr>
        <w:sectPr>
          <w:pgSz w:w="11900" w:h="16838" w:orient="portrait"/>
          <w:cols w:equalWidth="0" w:num="2">
            <w:col w:w="5840" w:space="453"/>
            <w:col w:w="4967"/>
          </w:cols>
          <w:pgMar w:left="240" w:top="143" w:right="399" w:bottom="1440" w:gutter="0" w:footer="0" w:header="0"/>
          <w:type w:val="continuous"/>
        </w:sectPr>
      </w:pPr>
    </w:p>
    <w:bookmarkStart w:id="199" w:name="page200"/>
    <w:bookmarkEnd w:id="1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278066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Shareholders' Voting Rights</w:t>
      </w:r>
    </w:p>
    <w:p>
      <w:pPr>
        <w:spacing w:after="0" w:line="196" w:lineRule="exact"/>
        <w:rPr>
          <w:sz w:val="20"/>
          <w:szCs w:val="20"/>
          <w:color w:val="auto"/>
        </w:rPr>
      </w:pPr>
    </w:p>
    <w:p>
      <w:pPr>
        <w:ind w:left="1300" w:right="60" w:hanging="158"/>
        <w:spacing w:after="0" w:line="239" w:lineRule="auto"/>
        <w:tabs>
          <w:tab w:leader="none" w:pos="13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Shareholders may act by written consent to elect directors. Shareholders may not act by written consent to remove a director or auditor.</w:t>
      </w:r>
    </w:p>
    <w:p>
      <w:pPr>
        <w:spacing w:after="0" w:line="174" w:lineRule="exact"/>
        <w:rPr>
          <w:rFonts w:ascii="Arial" w:cs="Arial" w:eastAsia="Arial" w:hAnsi="Arial"/>
          <w:sz w:val="16"/>
          <w:szCs w:val="16"/>
          <w:color w:val="auto"/>
        </w:rPr>
      </w:pPr>
    </w:p>
    <w:p>
      <w:pPr>
        <w:ind w:left="1300" w:hanging="158"/>
        <w:spacing w:after="0" w:line="237" w:lineRule="auto"/>
        <w:tabs>
          <w:tab w:leader="none" w:pos="13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Generally, except as otherwise provided in the bye-laws, or the Companies Act, any action or resolution requiring approval of the shareholders may be passed by a simple majority of votes cast. Any person authorized to vote may authorize another person or persons to act for him or her by proxy.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853"/>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78066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53" w:right="60" w:hanging="153"/>
        <w:spacing w:after="0" w:line="239" w:lineRule="auto"/>
        <w:tabs>
          <w:tab w:leader="none" w:pos="15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With limited exceptions, stockholders may act by written consent to elect directors unless prohibited by the certificate of incorporation.</w:t>
      </w:r>
    </w:p>
    <w:p>
      <w:pPr>
        <w:spacing w:after="0" w:line="174" w:lineRule="exact"/>
        <w:rPr>
          <w:rFonts w:ascii="Arial" w:cs="Arial" w:eastAsia="Arial" w:hAnsi="Arial"/>
          <w:sz w:val="16"/>
          <w:szCs w:val="16"/>
          <w:color w:val="auto"/>
        </w:rPr>
      </w:pPr>
    </w:p>
    <w:p>
      <w:pPr>
        <w:ind w:left="153" w:hanging="153"/>
        <w:spacing w:after="0" w:line="241" w:lineRule="auto"/>
        <w:tabs>
          <w:tab w:leader="none" w:pos="15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person authorized to vote may authorize another person or persons to act for him or her by proxy.</w:t>
      </w:r>
    </w:p>
    <w:p>
      <w:pPr>
        <w:spacing w:after="0" w:line="896" w:lineRule="exact"/>
        <w:rPr>
          <w:sz w:val="20"/>
          <w:szCs w:val="20"/>
          <w:color w:val="auto"/>
        </w:rPr>
      </w:pPr>
    </w:p>
    <w:p>
      <w:pPr>
        <w:sectPr>
          <w:pgSz w:w="11900" w:h="16838" w:orient="portrait"/>
          <w:cols w:equalWidth="0" w:num="2">
            <w:col w:w="5440" w:space="467"/>
            <w:col w:w="4373"/>
          </w:cols>
          <w:pgMar w:left="240" w:top="143" w:right="1379" w:bottom="1440" w:gutter="0" w:footer="0" w:header="0"/>
        </w:sectPr>
      </w:pPr>
    </w:p>
    <w:p>
      <w:pPr>
        <w:ind w:left="1300" w:hanging="158"/>
        <w:spacing w:after="0" w:line="237" w:lineRule="auto"/>
        <w:tabs>
          <w:tab w:leader="none" w:pos="13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voting rights of shareholders are regulated by a company's bye-laws and, in certain circumstances, by the Companies Act. The bye-laws may specify the number to constitute a quorum and if the bye-laws permit, a general meeting of the shareholders of a company may be held with only one individual present if the requirement for a quorum is satisfied.</w:t>
      </w:r>
    </w:p>
    <w:p>
      <w:pPr>
        <w:spacing w:after="0" w:line="20" w:lineRule="exact"/>
        <w:rPr>
          <w:sz w:val="20"/>
          <w:szCs w:val="20"/>
          <w:color w:val="auto"/>
        </w:rPr>
      </w:pPr>
      <w:r>
        <w:rPr>
          <w:sz w:val="20"/>
          <w:szCs w:val="20"/>
          <w:color w:val="auto"/>
        </w:rPr>
        <w:br w:type="column"/>
      </w:r>
    </w:p>
    <w:p>
      <w:pPr>
        <w:ind w:left="153" w:right="100" w:hanging="153"/>
        <w:spacing w:after="0" w:line="237" w:lineRule="auto"/>
        <w:tabs>
          <w:tab w:leader="none" w:pos="15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stock corporations, the certificate of incorporation or bylaws may specify the number to constitute a quorum, but in no event shall a quorum consist of less than one-third of shares entitled to vote at a meeting. In the absence of such specifications, a majority of shares entitled to vote shall constitute a quorum.</w:t>
      </w:r>
    </w:p>
    <w:p>
      <w:pPr>
        <w:spacing w:after="0" w:line="357" w:lineRule="exact"/>
        <w:rPr>
          <w:rFonts w:ascii="Arial" w:cs="Arial" w:eastAsia="Arial" w:hAnsi="Arial"/>
          <w:sz w:val="16"/>
          <w:szCs w:val="16"/>
          <w:color w:val="auto"/>
        </w:rPr>
      </w:pPr>
    </w:p>
    <w:p>
      <w:pPr>
        <w:ind w:left="153" w:right="120" w:hanging="153"/>
        <w:spacing w:after="0" w:line="239" w:lineRule="auto"/>
        <w:tabs>
          <w:tab w:leader="none" w:pos="15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When a quorum is once present to organize a meeting, it is not broken by the subsequent withdrawal of any stockholders.</w:t>
      </w:r>
    </w:p>
    <w:p>
      <w:pPr>
        <w:spacing w:after="0" w:line="174" w:lineRule="exact"/>
        <w:rPr>
          <w:sz w:val="20"/>
          <w:szCs w:val="20"/>
          <w:color w:val="auto"/>
        </w:rPr>
      </w:pPr>
    </w:p>
    <w:p>
      <w:pPr>
        <w:sectPr>
          <w:pgSz w:w="11900" w:h="16838" w:orient="portrait"/>
          <w:cols w:equalWidth="0" w:num="2">
            <w:col w:w="5520" w:space="387"/>
            <w:col w:w="4373"/>
          </w:cols>
          <w:pgMar w:left="240" w:top="143" w:right="1379" w:bottom="1440" w:gutter="0" w:footer="0" w:header="0"/>
          <w:type w:val="continuous"/>
        </w:sectPr>
      </w:pPr>
    </w:p>
    <w:p>
      <w:pPr>
        <w:ind w:left="1140"/>
        <w:spacing w:after="0"/>
        <w:rPr>
          <w:sz w:val="20"/>
          <w:szCs w:val="20"/>
          <w:color w:val="auto"/>
        </w:rPr>
      </w:pPr>
      <w:r>
        <w:rPr>
          <w:rFonts w:ascii="Arial" w:cs="Arial" w:eastAsia="Arial" w:hAnsi="Arial"/>
          <w:sz w:val="15"/>
          <w:szCs w:val="15"/>
          <w:color w:val="auto"/>
        </w:rPr>
        <w:t>• The bye-laws may provide for cumulative voting.</w:t>
      </w:r>
    </w:p>
    <w:p>
      <w:pPr>
        <w:spacing w:after="0" w:line="20" w:lineRule="exact"/>
        <w:rPr>
          <w:sz w:val="20"/>
          <w:szCs w:val="20"/>
          <w:color w:val="auto"/>
        </w:rPr>
      </w:pPr>
      <w:r>
        <w:rPr>
          <w:sz w:val="20"/>
          <w:szCs w:val="20"/>
          <w:color w:val="auto"/>
        </w:rPr>
        <w:br w:type="column"/>
      </w:r>
    </w:p>
    <w:p>
      <w:pPr>
        <w:ind w:left="480" w:right="180" w:hanging="153"/>
        <w:spacing w:after="0" w:line="241" w:lineRule="auto"/>
        <w:tabs>
          <w:tab w:leader="none" w:pos="4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certificate of incorporation may provide for cumulative voting.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116205</wp:posOffset>
            </wp:positionV>
            <wp:extent cx="7266305"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2">
            <w:col w:w="4860" w:space="720"/>
            <w:col w:w="4700"/>
          </w:cols>
          <w:pgMar w:left="240" w:top="143" w:right="1379" w:bottom="1440" w:gutter="0" w:footer="0" w:header="0"/>
          <w:type w:val="continuous"/>
        </w:sectPr>
      </w:pPr>
    </w:p>
    <w:bookmarkStart w:id="200" w:name="page201"/>
    <w:bookmarkEnd w:id="200"/>
    <w:tbl>
      <w:tblPr>
        <w:tblLayout w:type="fixed"/>
        <w:tblInd w:w="0" w:type="dxa"/>
        <w:tblCellMar>
          <w:top w:w="0" w:type="dxa"/>
          <w:left w:w="0" w:type="dxa"/>
          <w:bottom w:w="0" w:type="dxa"/>
          <w:right w:w="0" w:type="dxa"/>
        </w:tblCellMar>
      </w:tblPr>
      <w:tr>
        <w:trPr>
          <w:trHeight w:val="184"/>
        </w:trPr>
        <w:tc>
          <w:tcPr>
            <w:tcW w:w="552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4380" w:type="dxa"/>
            <w:vAlign w:val="bottom"/>
          </w:tcPr>
          <w:p>
            <w:pPr>
              <w:spacing w:after="0"/>
              <w:rPr>
                <w:sz w:val="16"/>
                <w:szCs w:val="16"/>
                <w:color w:val="auto"/>
              </w:rPr>
            </w:pPr>
          </w:p>
        </w:tc>
      </w:tr>
      <w:tr>
        <w:trPr>
          <w:trHeight w:val="382"/>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30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Bermuda</w:t>
            </w:r>
          </w:p>
        </w:tc>
        <w:tc>
          <w:tcPr>
            <w:tcW w:w="380" w:type="dxa"/>
            <w:vAlign w:val="bottom"/>
          </w:tcPr>
          <w:p>
            <w:pPr>
              <w:spacing w:after="0"/>
              <w:rPr>
                <w:sz w:val="24"/>
                <w:szCs w:val="24"/>
                <w:color w:val="auto"/>
              </w:rPr>
            </w:pPr>
          </w:p>
        </w:tc>
        <w:tc>
          <w:tcPr>
            <w:tcW w:w="4380" w:type="dxa"/>
            <w:vAlign w:val="bottom"/>
            <w:tcBorders>
              <w:bottom w:val="single" w:sz="8" w:color="auto"/>
            </w:tcBorders>
          </w:tcPr>
          <w:p>
            <w:pPr>
              <w:ind w:left="1860"/>
              <w:spacing w:after="0"/>
              <w:rPr>
                <w:sz w:val="20"/>
                <w:szCs w:val="20"/>
                <w:color w:val="auto"/>
              </w:rPr>
            </w:pPr>
            <w:r>
              <w:rPr>
                <w:rFonts w:ascii="Arial" w:cs="Arial" w:eastAsia="Arial" w:hAnsi="Arial"/>
                <w:sz w:val="16"/>
                <w:szCs w:val="16"/>
                <w:b w:val="1"/>
                <w:bCs w:val="1"/>
                <w:color w:val="auto"/>
              </w:rPr>
              <w:t>Delaware</w:t>
            </w:r>
          </w:p>
        </w:tc>
      </w:tr>
      <w:tr>
        <w:trPr>
          <w:trHeight w:val="206"/>
        </w:trPr>
        <w:tc>
          <w:tcPr>
            <w:tcW w:w="114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Mergers or Sale of Assets</w:t>
            </w:r>
          </w:p>
        </w:tc>
        <w:tc>
          <w:tcPr>
            <w:tcW w:w="380" w:type="dxa"/>
            <w:vAlign w:val="bottom"/>
          </w:tcPr>
          <w:p>
            <w:pPr>
              <w:spacing w:after="0"/>
              <w:rPr>
                <w:sz w:val="17"/>
                <w:szCs w:val="17"/>
                <w:color w:val="auto"/>
              </w:rPr>
            </w:pPr>
          </w:p>
        </w:tc>
        <w:tc>
          <w:tcPr>
            <w:tcW w:w="4380" w:type="dxa"/>
            <w:vAlign w:val="bottom"/>
          </w:tcPr>
          <w:p>
            <w:pPr>
              <w:spacing w:after="0"/>
              <w:rPr>
                <w:sz w:val="17"/>
                <w:szCs w:val="17"/>
                <w:color w:val="auto"/>
              </w:rPr>
            </w:pPr>
          </w:p>
        </w:tc>
      </w:tr>
    </w:tbl>
    <w:p>
      <w:pPr>
        <w:spacing w:after="0" w:line="159" w:lineRule="exact"/>
        <w:rPr>
          <w:sz w:val="20"/>
          <w:szCs w:val="20"/>
          <w:color w:val="auto"/>
        </w:rPr>
      </w:pPr>
    </w:p>
    <w:p>
      <w:pPr>
        <w:sectPr>
          <w:pgSz w:w="11900" w:h="16838" w:orient="portrait"/>
          <w:cols w:equalWidth="0" w:num="1">
            <w:col w:w="10280"/>
          </w:cols>
          <w:pgMar w:left="240" w:top="113" w:right="1379" w:bottom="1440" w:gutter="0" w:footer="0" w:header="0"/>
        </w:sectPr>
      </w:pPr>
    </w:p>
    <w:p>
      <w:pPr>
        <w:ind w:left="1300" w:hanging="158"/>
        <w:spacing w:after="0" w:line="236"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 of the shareholders voting at such meeting is required to approve the amalgamation or merger agreement, and the quorum for such meeting must be two or more persons holding or representing more than one-third of the issued shares of the company.</w:t>
      </w:r>
    </w:p>
    <w:p>
      <w:pPr>
        <w:spacing w:after="0" w:line="181" w:lineRule="exact"/>
        <w:rPr>
          <w:rFonts w:ascii="Arial" w:cs="Arial" w:eastAsia="Arial" w:hAnsi="Arial"/>
          <w:sz w:val="16"/>
          <w:szCs w:val="16"/>
          <w:color w:val="auto"/>
        </w:rPr>
      </w:pPr>
    </w:p>
    <w:p>
      <w:pPr>
        <w:ind w:left="1300" w:right="40" w:hanging="158"/>
        <w:spacing w:after="0" w:line="237"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Every company may at any meeting of its board of directors sell, lease or exchange all or substantially all of its property and assets as its board of directors deems expedient and in the best interests of the company to do so when authorized by a resolution adopted by the holders of a majority of issued and outstanding shares of a company entitled to vote.</w:t>
      </w:r>
    </w:p>
    <w:p>
      <w:pPr>
        <w:spacing w:after="0" w:line="175" w:lineRule="exact"/>
        <w:rPr>
          <w:rFonts w:ascii="Arial" w:cs="Arial" w:eastAsia="Arial" w:hAnsi="Arial"/>
          <w:sz w:val="16"/>
          <w:szCs w:val="16"/>
          <w:color w:val="auto"/>
        </w:rPr>
      </w:pPr>
    </w:p>
    <w:p>
      <w:pPr>
        <w:ind w:left="1300" w:right="220" w:hanging="158"/>
        <w:spacing w:after="0" w:line="254" w:lineRule="auto"/>
        <w:tabs>
          <w:tab w:leader="none" w:pos="13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Any company that is the wholly owned subsidiary of a holding company, or one or more companies which are wholly owned subsidiaries of the same holding company, may amalgamate or merge without the vote or consent of shareholders provided that the approval of the board of directors is obtained and that a director or officer of each such company signs a statutory solvency declaration in respect of the relevant company.</w:t>
      </w:r>
    </w:p>
    <w:p>
      <w:pPr>
        <w:spacing w:after="0" w:line="200" w:lineRule="exact"/>
        <w:rPr>
          <w:rFonts w:ascii="Arial" w:cs="Arial" w:eastAsia="Arial" w:hAnsi="Arial"/>
          <w:sz w:val="15"/>
          <w:szCs w:val="15"/>
          <w:color w:val="auto"/>
        </w:rPr>
      </w:pPr>
    </w:p>
    <w:p>
      <w:pPr>
        <w:spacing w:after="0" w:line="329" w:lineRule="exact"/>
        <w:rPr>
          <w:rFonts w:ascii="Arial" w:cs="Arial" w:eastAsia="Arial" w:hAnsi="Arial"/>
          <w:sz w:val="15"/>
          <w:szCs w:val="15"/>
          <w:color w:val="auto"/>
        </w:rPr>
      </w:pPr>
    </w:p>
    <w:p>
      <w:pPr>
        <w:ind w:left="1300" w:right="40" w:hanging="158"/>
        <w:spacing w:after="0" w:line="262" w:lineRule="auto"/>
        <w:tabs>
          <w:tab w:leader="none" w:pos="130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Any mortgage, charge or pledge of a company's property and assets may be authorized without the consent of shareholders subject to any restrictions under the bye-laws.</w:t>
      </w:r>
    </w:p>
    <w:p>
      <w:pPr>
        <w:spacing w:after="0" w:line="20" w:lineRule="exact"/>
        <w:rPr>
          <w:sz w:val="20"/>
          <w:szCs w:val="20"/>
          <w:color w:val="auto"/>
        </w:rPr>
      </w:pPr>
      <w:r>
        <w:rPr>
          <w:sz w:val="20"/>
          <w:szCs w:val="20"/>
          <w:color w:val="auto"/>
        </w:rPr>
        <w:br w:type="column"/>
      </w:r>
    </w:p>
    <w:p>
      <w:pPr>
        <w:ind w:left="153" w:right="60" w:hanging="153"/>
        <w:spacing w:after="0" w:line="237" w:lineRule="auto"/>
        <w:tabs>
          <w:tab w:leader="none" w:pos="15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two or more corporations existing under the laws of the state may merge into a single corporation pursuant to a board resolution and upon the majority vote by stockholders of each constituent corporation at an annual or special meeting.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153" w:right="140" w:hanging="153"/>
        <w:spacing w:after="0" w:line="237" w:lineRule="auto"/>
        <w:tabs>
          <w:tab w:leader="none" w:pos="15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Every corporation may at any meeting of the board sell, lease or exchange all or substantially all of its property and assets as its board deems expedient and for the best interests of the corporation when so authorized by a resolution adopted by the holders of a majority of the outstanding stock of a corporation entitled to vote.</w:t>
      </w:r>
    </w:p>
    <w:p>
      <w:pPr>
        <w:spacing w:after="0" w:line="357" w:lineRule="exact"/>
        <w:rPr>
          <w:rFonts w:ascii="Arial" w:cs="Arial" w:eastAsia="Arial" w:hAnsi="Arial"/>
          <w:sz w:val="16"/>
          <w:szCs w:val="16"/>
          <w:color w:val="auto"/>
        </w:rPr>
      </w:pPr>
    </w:p>
    <w:p>
      <w:pPr>
        <w:ind w:left="153" w:right="80" w:hanging="153"/>
        <w:spacing w:after="0" w:line="254" w:lineRule="auto"/>
        <w:tabs>
          <w:tab w:leader="none" w:pos="153"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Any corporation owning at least 90% of the outstanding shares of each class of another corporation may merge the other corporation into itself and assume all of its obligations without the vote or consent of stockholders if one of the two corporations is a Delaware entity and the laws or a foreign corporation do not prohibit such merger. However, in a case where the parent corporation is not the surviving corporation, the proposed merger shall be approved by a majority of the outstanding stock of the parent corporation entitled to vote at a duly called stockholder meeting.</w:t>
      </w:r>
    </w:p>
    <w:p>
      <w:pPr>
        <w:spacing w:after="0" w:line="164" w:lineRule="exact"/>
        <w:rPr>
          <w:rFonts w:ascii="Arial" w:cs="Arial" w:eastAsia="Arial" w:hAnsi="Arial"/>
          <w:sz w:val="15"/>
          <w:szCs w:val="15"/>
          <w:color w:val="auto"/>
        </w:rPr>
      </w:pPr>
    </w:p>
    <w:p>
      <w:pPr>
        <w:ind w:left="153" w:right="340" w:hanging="153"/>
        <w:spacing w:after="0" w:line="238" w:lineRule="auto"/>
        <w:tabs>
          <w:tab w:leader="none" w:pos="15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mortgage or pledge of a corporation's property and assets may be authorized without the vote or consent of stockholders, except to the extent that the certificate of incorporation otherwise provides.</w:t>
      </w:r>
    </w:p>
    <w:p>
      <w:pPr>
        <w:spacing w:after="0" w:line="187" w:lineRule="exact"/>
        <w:rPr>
          <w:sz w:val="20"/>
          <w:szCs w:val="20"/>
          <w:color w:val="auto"/>
        </w:rPr>
      </w:pPr>
    </w:p>
    <w:p>
      <w:pPr>
        <w:sectPr>
          <w:pgSz w:w="11900" w:h="16838" w:orient="portrait"/>
          <w:cols w:equalWidth="0" w:num="2">
            <w:col w:w="5480" w:space="427"/>
            <w:col w:w="4373"/>
          </w:cols>
          <w:pgMar w:left="240" w:top="113" w:right="1379" w:bottom="1440" w:gutter="0" w:footer="0" w:header="0"/>
          <w:type w:val="continuous"/>
        </w:sectPr>
      </w:pPr>
    </w:p>
    <w:p>
      <w:pPr>
        <w:ind w:left="5580"/>
        <w:spacing w:after="0"/>
        <w:rPr>
          <w:sz w:val="20"/>
          <w:szCs w:val="20"/>
          <w:color w:val="auto"/>
        </w:rPr>
      </w:pPr>
      <w:r>
        <w:rPr>
          <w:rFonts w:ascii="Arial" w:cs="Arial" w:eastAsia="Arial" w:hAnsi="Arial"/>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66305"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13" w:right="1379" w:bottom="1440" w:gutter="0" w:footer="0" w:header="0"/>
          <w:type w:val="continuous"/>
        </w:sectPr>
      </w:pPr>
    </w:p>
    <w:bookmarkStart w:id="201" w:name="page202"/>
    <w:bookmarkEnd w:id="2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278066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Directors</w:t>
      </w:r>
    </w:p>
    <w:p>
      <w:pPr>
        <w:spacing w:after="0" w:line="195" w:lineRule="exact"/>
        <w:rPr>
          <w:sz w:val="20"/>
          <w:szCs w:val="20"/>
          <w:color w:val="auto"/>
        </w:rPr>
      </w:pPr>
    </w:p>
    <w:p>
      <w:pPr>
        <w:ind w:left="1300" w:hanging="158"/>
        <w:spacing w:after="0"/>
        <w:tabs>
          <w:tab w:leader="none" w:pos="13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board of directors must consist of at least one director.</w:t>
      </w:r>
    </w:p>
    <w:p>
      <w:pPr>
        <w:spacing w:after="0" w:line="189" w:lineRule="exact"/>
        <w:rPr>
          <w:rFonts w:ascii="Arial" w:cs="Arial" w:eastAsia="Arial" w:hAnsi="Arial"/>
          <w:sz w:val="15"/>
          <w:szCs w:val="15"/>
          <w:color w:val="auto"/>
        </w:rPr>
      </w:pPr>
    </w:p>
    <w:p>
      <w:pPr>
        <w:ind w:left="1300" w:hanging="158"/>
        <w:spacing w:after="0" w:line="238" w:lineRule="auto"/>
        <w:tabs>
          <w:tab w:leader="none" w:pos="13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number of directors is fixed by the bye-laws, and any changes to such number must be approved by the board of directors and/or the shareholders in accordance with the company's bye-laws.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8890</wp:posOffset>
            </wp:positionV>
            <wp:extent cx="278066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383" w:lineRule="exact"/>
        <w:rPr>
          <w:sz w:val="20"/>
          <w:szCs w:val="20"/>
          <w:color w:val="auto"/>
        </w:rPr>
      </w:pPr>
    </w:p>
    <w:p>
      <w:pPr>
        <w:ind w:left="480" w:hanging="153"/>
        <w:spacing w:after="0"/>
        <w:tabs>
          <w:tab w:leader="none" w:pos="4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board of directors must consist of at least one member.</w:t>
      </w:r>
    </w:p>
    <w:p>
      <w:pPr>
        <w:spacing w:after="0" w:line="189" w:lineRule="exact"/>
        <w:rPr>
          <w:rFonts w:ascii="Arial" w:cs="Arial" w:eastAsia="Arial" w:hAnsi="Arial"/>
          <w:sz w:val="15"/>
          <w:szCs w:val="15"/>
          <w:color w:val="auto"/>
        </w:rPr>
      </w:pPr>
    </w:p>
    <w:p>
      <w:pPr>
        <w:ind w:left="480" w:right="60" w:hanging="153"/>
        <w:spacing w:after="0" w:line="258" w:lineRule="auto"/>
        <w:tabs>
          <w:tab w:leader="none" w:pos="4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Number of board members shall be fixed by the bylaws, unless the certificate of incorporation fixes the number of directors, in which case a change in the number shall be made only by amendment of the certificate of incorporation.</w:t>
      </w:r>
    </w:p>
    <w:p>
      <w:pPr>
        <w:spacing w:after="0" w:line="162" w:lineRule="exact"/>
        <w:rPr>
          <w:rFonts w:ascii="Arial" w:cs="Arial" w:eastAsia="Arial" w:hAnsi="Arial"/>
          <w:sz w:val="15"/>
          <w:szCs w:val="15"/>
          <w:color w:val="auto"/>
        </w:rPr>
      </w:pPr>
    </w:p>
    <w:p>
      <w:pPr>
        <w:ind w:left="480" w:hanging="153"/>
        <w:spacing w:after="0"/>
        <w:tabs>
          <w:tab w:leader="none" w:pos="4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Removal:</w:t>
      </w:r>
    </w:p>
    <w:p>
      <w:pPr>
        <w:spacing w:after="0" w:line="177" w:lineRule="exact"/>
        <w:rPr>
          <w:rFonts w:ascii="Arial" w:cs="Arial" w:eastAsia="Arial" w:hAnsi="Arial"/>
          <w:sz w:val="16"/>
          <w:szCs w:val="16"/>
          <w:color w:val="auto"/>
        </w:rPr>
      </w:pPr>
    </w:p>
    <w:p>
      <w:pPr>
        <w:ind w:left="640" w:hanging="152"/>
        <w:spacing w:after="0" w:line="238" w:lineRule="auto"/>
        <w:tabs>
          <w:tab w:leader="none" w:pos="6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or all of the directors may be removed, with or without cause, by the holders of a majority of the shares entitled to vote unless the certificate of incorporation otherwise provides.</w:t>
      </w:r>
    </w:p>
    <w:p>
      <w:pPr>
        <w:spacing w:after="0" w:line="174" w:lineRule="exact"/>
        <w:rPr>
          <w:rFonts w:ascii="Arial" w:cs="Arial" w:eastAsia="Arial" w:hAnsi="Arial"/>
          <w:sz w:val="16"/>
          <w:szCs w:val="16"/>
          <w:color w:val="auto"/>
        </w:rPr>
      </w:pPr>
    </w:p>
    <w:p>
      <w:pPr>
        <w:ind w:left="640" w:right="100" w:hanging="152"/>
        <w:spacing w:after="0" w:line="241" w:lineRule="auto"/>
        <w:tabs>
          <w:tab w:leader="none" w:pos="6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the case of a classified board, stockholders may effect removal of any or all directors only for cause.</w:t>
      </w:r>
    </w:p>
    <w:p>
      <w:pPr>
        <w:spacing w:after="0" w:line="173" w:lineRule="exact"/>
        <w:rPr>
          <w:rFonts w:ascii="Arial" w:cs="Arial" w:eastAsia="Arial" w:hAnsi="Arial"/>
          <w:sz w:val="16"/>
          <w:szCs w:val="16"/>
          <w:color w:val="auto"/>
        </w:rPr>
      </w:pPr>
    </w:p>
    <w:p>
      <w:pPr>
        <w:ind w:left="640" w:hanging="152"/>
        <w:spacing w:after="0" w:line="258" w:lineRule="auto"/>
        <w:tabs>
          <w:tab w:leader="none" w:pos="640" w:val="left"/>
        </w:tabs>
        <w:numPr>
          <w:ilvl w:val="1"/>
          <w:numId w:val="115"/>
        </w:numPr>
        <w:rPr>
          <w:rFonts w:ascii="Arial" w:cs="Arial" w:eastAsia="Arial" w:hAnsi="Arial"/>
          <w:sz w:val="15"/>
          <w:szCs w:val="15"/>
          <w:color w:val="auto"/>
        </w:rPr>
      </w:pPr>
      <w:r>
        <w:rPr>
          <w:rFonts w:ascii="Arial" w:cs="Arial" w:eastAsia="Arial" w:hAnsi="Arial"/>
          <w:sz w:val="15"/>
          <w:szCs w:val="15"/>
          <w:color w:val="auto"/>
        </w:rPr>
        <w:t>In the case of a corporation with cumulative voting, if less than the entire board is to be removed, no director may be removed without cause if the votes against removal would be sufficient to elect such director using cumulative voting.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116205</wp:posOffset>
            </wp:positionV>
            <wp:extent cx="7266305" cy="20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2">
            <w:col w:w="5400" w:space="180"/>
            <w:col w:w="4680"/>
          </w:cols>
          <w:pgMar w:left="240" w:top="143" w:right="1399" w:bottom="1440" w:gutter="0" w:footer="0" w:header="0"/>
        </w:sectPr>
      </w:pPr>
    </w:p>
    <w:bookmarkStart w:id="202" w:name="page203"/>
    <w:bookmarkEnd w:id="2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278066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Duties of Directors</w:t>
      </w:r>
    </w:p>
    <w:p>
      <w:pPr>
        <w:spacing w:after="0" w:line="195" w:lineRule="exact"/>
        <w:rPr>
          <w:sz w:val="20"/>
          <w:szCs w:val="20"/>
          <w:color w:val="auto"/>
        </w:rPr>
      </w:pPr>
    </w:p>
    <w:p>
      <w:pPr>
        <w:ind w:left="1300" w:right="20" w:hanging="158"/>
        <w:spacing w:after="0" w:line="236" w:lineRule="auto"/>
        <w:tabs>
          <w:tab w:leader="none" w:pos="13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Companies Act authorizes the directors of a company, subject to its bye-laws, to exercise all powers of the company except those that are required by the Companies Act or the company's bye-laws to be exercised by the shareholders of the company. At common law, members of a board of directors owe a fiduciary duty to the company to act in good faith in their dealings with or on behalf of the company and exercise their powers and fulfill the duties of their office honestly. This duty includes the following essential elements:</w:t>
      </w:r>
    </w:p>
    <w:p>
      <w:pPr>
        <w:spacing w:after="0" w:line="181" w:lineRule="exact"/>
        <w:rPr>
          <w:rFonts w:ascii="Arial" w:cs="Arial" w:eastAsia="Arial" w:hAnsi="Arial"/>
          <w:sz w:val="16"/>
          <w:szCs w:val="16"/>
          <w:color w:val="auto"/>
        </w:rPr>
      </w:pPr>
    </w:p>
    <w:p>
      <w:pPr>
        <w:ind w:left="1460" w:right="460" w:hanging="157"/>
        <w:spacing w:after="0" w:line="241"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duty to act in good faith in the best interests of the company;</w:t>
      </w:r>
    </w:p>
    <w:p>
      <w:pPr>
        <w:spacing w:after="0" w:line="173" w:lineRule="exact"/>
        <w:rPr>
          <w:rFonts w:ascii="Arial" w:cs="Arial" w:eastAsia="Arial" w:hAnsi="Arial"/>
          <w:sz w:val="16"/>
          <w:szCs w:val="16"/>
          <w:color w:val="auto"/>
        </w:rPr>
      </w:pPr>
    </w:p>
    <w:p>
      <w:pPr>
        <w:ind w:left="1460" w:right="300" w:hanging="157"/>
        <w:spacing w:after="0" w:line="241"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duty not to make a personal profit from opportunities that arise from the office of director;</w:t>
      </w:r>
    </w:p>
    <w:p>
      <w:pPr>
        <w:spacing w:after="0" w:line="173" w:lineRule="exact"/>
        <w:rPr>
          <w:rFonts w:ascii="Arial" w:cs="Arial" w:eastAsia="Arial" w:hAnsi="Arial"/>
          <w:sz w:val="16"/>
          <w:szCs w:val="16"/>
          <w:color w:val="auto"/>
        </w:rPr>
      </w:pPr>
    </w:p>
    <w:p>
      <w:pPr>
        <w:ind w:left="1460" w:hanging="157"/>
        <w:spacing w:after="0"/>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duty to avoid conflicts of interest; and</w:t>
      </w:r>
    </w:p>
    <w:p>
      <w:pPr>
        <w:spacing w:after="0" w:line="177" w:lineRule="exact"/>
        <w:rPr>
          <w:rFonts w:ascii="Arial" w:cs="Arial" w:eastAsia="Arial" w:hAnsi="Arial"/>
          <w:sz w:val="16"/>
          <w:szCs w:val="16"/>
          <w:color w:val="auto"/>
        </w:rPr>
      </w:pPr>
    </w:p>
    <w:p>
      <w:pPr>
        <w:ind w:left="1460" w:right="140" w:hanging="157"/>
        <w:spacing w:after="0" w:line="241"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duty to exercise powers for the purpose for which such powers were intended.</w:t>
      </w:r>
    </w:p>
    <w:p>
      <w:pPr>
        <w:spacing w:after="0" w:line="173" w:lineRule="exact"/>
        <w:rPr>
          <w:rFonts w:ascii="Arial" w:cs="Arial" w:eastAsia="Arial" w:hAnsi="Arial"/>
          <w:sz w:val="16"/>
          <w:szCs w:val="16"/>
          <w:color w:val="auto"/>
        </w:rPr>
      </w:pPr>
    </w:p>
    <w:p>
      <w:pPr>
        <w:ind w:left="1300" w:right="20" w:hanging="158"/>
        <w:spacing w:after="0" w:line="241" w:lineRule="auto"/>
        <w:tabs>
          <w:tab w:leader="none" w:pos="13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Companies Act imposes a duty on directors and officers of a Bermuda company:</w:t>
      </w:r>
    </w:p>
    <w:p>
      <w:pPr>
        <w:spacing w:after="0" w:line="173" w:lineRule="exact"/>
        <w:rPr>
          <w:rFonts w:ascii="Arial" w:cs="Arial" w:eastAsia="Arial" w:hAnsi="Arial"/>
          <w:sz w:val="16"/>
          <w:szCs w:val="16"/>
          <w:color w:val="auto"/>
        </w:rPr>
      </w:pPr>
    </w:p>
    <w:p>
      <w:pPr>
        <w:ind w:left="1460" w:right="260" w:hanging="157"/>
        <w:spacing w:after="0" w:line="241"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to act honestly and in good faith with a view to the best interests of the company; and</w:t>
      </w:r>
    </w:p>
    <w:p>
      <w:pPr>
        <w:spacing w:after="0" w:line="173" w:lineRule="exact"/>
        <w:rPr>
          <w:rFonts w:ascii="Arial" w:cs="Arial" w:eastAsia="Arial" w:hAnsi="Arial"/>
          <w:sz w:val="16"/>
          <w:szCs w:val="16"/>
          <w:color w:val="auto"/>
        </w:rPr>
      </w:pPr>
    </w:p>
    <w:p>
      <w:pPr>
        <w:ind w:left="1460" w:right="120" w:hanging="157"/>
        <w:spacing w:after="0" w:line="239" w:lineRule="auto"/>
        <w:tabs>
          <w:tab w:leader="none" w:pos="14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to exercise the care, diligence and skill that a reasonably prudent person would exercise in comparable circumstances.</w:t>
      </w:r>
    </w:p>
    <w:p>
      <w:pPr>
        <w:spacing w:after="0" w:line="174" w:lineRule="exact"/>
        <w:rPr>
          <w:rFonts w:ascii="Arial" w:cs="Arial" w:eastAsia="Arial" w:hAnsi="Arial"/>
          <w:sz w:val="16"/>
          <w:szCs w:val="16"/>
          <w:color w:val="auto"/>
        </w:rPr>
      </w:pPr>
    </w:p>
    <w:p>
      <w:pPr>
        <w:ind w:left="1300" w:hanging="158"/>
        <w:spacing w:after="0" w:line="256" w:lineRule="auto"/>
        <w:tabs>
          <w:tab w:leader="none" w:pos="13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Companies Act also imposes various duties on directors and officers of a company with respect to certain matters of management and administration of the company. Under Bermuda law, directors and officers generally owe fiduciary duties to the company itself, not to the company's individual shareholders, creditors or any class thereof.</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853"/>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78066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383" w:lineRule="exact"/>
        <w:rPr>
          <w:sz w:val="20"/>
          <w:szCs w:val="20"/>
          <w:color w:val="auto"/>
        </w:rPr>
      </w:pPr>
    </w:p>
    <w:p>
      <w:pPr>
        <w:ind w:left="153" w:hanging="153"/>
        <w:spacing w:after="0" w:line="252" w:lineRule="auto"/>
        <w:tabs>
          <w:tab w:leader="none" w:pos="153" w:val="left"/>
        </w:tabs>
        <w:numPr>
          <w:ilvl w:val="0"/>
          <w:numId w:val="117"/>
        </w:numPr>
        <w:rPr>
          <w:rFonts w:ascii="Arial" w:cs="Arial" w:eastAsia="Arial" w:hAnsi="Arial"/>
          <w:sz w:val="15"/>
          <w:szCs w:val="15"/>
          <w:color w:val="auto"/>
        </w:rPr>
      </w:pPr>
      <w:r>
        <w:rPr>
          <w:rFonts w:ascii="Arial" w:cs="Arial" w:eastAsia="Arial" w:hAnsi="Arial"/>
          <w:sz w:val="15"/>
          <w:szCs w:val="15"/>
          <w:color w:val="auto"/>
        </w:rPr>
        <w:t>Under Delaware law, the business and affairs of a corporation are managed by or under the direction of its board of directors except as may be otherwise provided in its certificate of incorporation. In exercising their powers, directors are charged with a fiduciary duty of care to protect the interests of the corporation and a fiduciary duty of loyalty to act in the best interests of its stockholders. The duty of care requires that a director act in good faith, with the care that an ordinarily prudent person would exercise under similar circumstances. Under this duty, a director must inform himself of, and disclose to stockholders,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stockholders take precedence over any interest possessed by a director, officer or controlling shareholder and not shared by the stockholders generally.</w:t>
      </w:r>
    </w:p>
    <w:p>
      <w:pPr>
        <w:spacing w:after="0" w:line="358" w:lineRule="exact"/>
        <w:rPr>
          <w:rFonts w:ascii="Arial" w:cs="Arial" w:eastAsia="Arial" w:hAnsi="Arial"/>
          <w:sz w:val="15"/>
          <w:szCs w:val="15"/>
          <w:color w:val="auto"/>
        </w:rPr>
      </w:pPr>
    </w:p>
    <w:p>
      <w:pPr>
        <w:ind w:left="153" w:right="60" w:hanging="153"/>
        <w:spacing w:after="0" w:line="237" w:lineRule="auto"/>
        <w:tabs>
          <w:tab w:leader="none" w:pos="15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633" w:lineRule="exact"/>
        <w:rPr>
          <w:sz w:val="20"/>
          <w:szCs w:val="20"/>
          <w:color w:val="auto"/>
        </w:rPr>
      </w:pPr>
    </w:p>
    <w:p>
      <w:pPr>
        <w:sectPr>
          <w:pgSz w:w="11900" w:h="16838" w:orient="portrait"/>
          <w:cols w:equalWidth="0" w:num="2">
            <w:col w:w="5520" w:space="387"/>
            <w:col w:w="4373"/>
          </w:cols>
          <w:pgMar w:left="240" w:top="143" w:right="1379" w:bottom="1440" w:gutter="0" w:footer="0" w:header="0"/>
        </w:sectPr>
      </w:pPr>
    </w:p>
    <w:p>
      <w:pPr>
        <w:ind w:left="5580"/>
        <w:spacing w:after="0"/>
        <w:rPr>
          <w:sz w:val="20"/>
          <w:szCs w:val="20"/>
          <w:color w:val="auto"/>
        </w:rPr>
      </w:pPr>
      <w:r>
        <w:rPr>
          <w:rFonts w:ascii="Arial" w:cs="Arial" w:eastAsia="Arial" w:hAnsi="Arial"/>
          <w:sz w:val="15"/>
          <w:szCs w:val="15"/>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66305"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type w:val="continuous"/>
        </w:sectPr>
      </w:pPr>
    </w:p>
    <w:bookmarkStart w:id="203" w:name="page204"/>
    <w:bookmarkEnd w:id="2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jc w:val="both"/>
        <w:ind w:left="3000"/>
        <w:spacing w:after="0"/>
        <w:tabs>
          <w:tab w:leader="none" w:pos="7740" w:val="left"/>
        </w:tabs>
        <w:rPr>
          <w:sz w:val="20"/>
          <w:szCs w:val="20"/>
          <w:color w:val="auto"/>
        </w:rPr>
      </w:pPr>
      <w:r>
        <w:rPr>
          <w:rFonts w:ascii="Arial" w:cs="Arial" w:eastAsia="Arial" w:hAnsi="Arial"/>
          <w:sz w:val="16"/>
          <w:szCs w:val="16"/>
          <w:b w:val="1"/>
          <w:bCs w:val="1"/>
          <w:color w:val="auto"/>
        </w:rPr>
        <w:t>Bermuda</w:t>
      </w:r>
      <w:r>
        <w:rPr>
          <w:sz w:val="20"/>
          <w:szCs w:val="20"/>
          <w:color w:val="auto"/>
        </w:rPr>
        <w:tab/>
      </w: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80580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05805" cy="1524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Takeovers</w:t>
      </w:r>
    </w:p>
    <w:p>
      <w:pPr>
        <w:sectPr>
          <w:pgSz w:w="11900" w:h="16838" w:orient="portrait"/>
          <w:cols w:equalWidth="0" w:num="1">
            <w:col w:w="10260"/>
          </w:cols>
          <w:pgMar w:left="240" w:top="143" w:right="1399" w:bottom="1440" w:gutter="0" w:footer="0" w:header="0"/>
        </w:sectPr>
      </w:pPr>
    </w:p>
    <w:p>
      <w:pPr>
        <w:spacing w:after="0" w:line="195" w:lineRule="exact"/>
        <w:rPr>
          <w:sz w:val="20"/>
          <w:szCs w:val="20"/>
          <w:color w:val="auto"/>
        </w:rPr>
      </w:pPr>
    </w:p>
    <w:p>
      <w:pPr>
        <w:jc w:val="both"/>
        <w:ind w:left="1300" w:right="80" w:hanging="158"/>
        <w:spacing w:after="0" w:line="239" w:lineRule="auto"/>
        <w:tabs>
          <w:tab w:leader="none" w:pos="13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 acquiring party is generally able to acquire compulsorily the common shares of minority holders of a company in the following ways:</w:t>
      </w:r>
    </w:p>
    <w:p>
      <w:pPr>
        <w:spacing w:after="0" w:line="174" w:lineRule="exact"/>
        <w:rPr>
          <w:rFonts w:ascii="Arial" w:cs="Arial" w:eastAsia="Arial" w:hAnsi="Arial"/>
          <w:sz w:val="16"/>
          <w:szCs w:val="16"/>
          <w:color w:val="auto"/>
        </w:rPr>
      </w:pPr>
    </w:p>
    <w:p>
      <w:pPr>
        <w:ind w:left="1460" w:hanging="157"/>
        <w:spacing w:after="0" w:line="253" w:lineRule="auto"/>
        <w:tabs>
          <w:tab w:leader="none" w:pos="146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By a procedure under the Companies Act known as a "scheme of arrangement." A scheme of arrangement could be effected by obtaining the agreement of the company and of holders of common shares, representing in the aggregate a majority in number and at least 75% in value of the common shareholders present and voting at a court ordered meeting held to consider the scheme of arrangement. The scheme of arrangement must then be sanctioned by the Bermuda Supreme Court. If a scheme of arrangement receives all necessary agreements and sanctions, upon the filing of the court order with the Registrar of Companies in Bermuda, all holders of common shares could be compelled to sell their shares under the terms of the scheme of arrangement.</w:t>
      </w:r>
    </w:p>
    <w:p>
      <w:pPr>
        <w:spacing w:after="0" w:line="168" w:lineRule="exact"/>
        <w:rPr>
          <w:rFonts w:ascii="Arial" w:cs="Arial" w:eastAsia="Arial" w:hAnsi="Arial"/>
          <w:sz w:val="15"/>
          <w:szCs w:val="15"/>
          <w:color w:val="auto"/>
        </w:rPr>
      </w:pPr>
    </w:p>
    <w:p>
      <w:pPr>
        <w:ind w:left="1460" w:hanging="157"/>
        <w:spacing w:after="0" w:line="236" w:lineRule="auto"/>
        <w:tabs>
          <w:tab w:leader="none" w:pos="14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53" w:hanging="153"/>
        <w:spacing w:after="0" w:line="237" w:lineRule="auto"/>
        <w:tabs>
          <w:tab w:leader="none" w:pos="15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Delaware law provides that a parent corporation, by resolution of its board of directors and without any stockholder vote, may merge with any subsidiary of which it owns at least 90% of each class of its capital stock. Upon any such merger, and in the event the parent corporate does not own all of the stock of the subsidiary, dissenting stockholders of the subsidiary are entitled to certain appraisal rights.</w:t>
      </w:r>
    </w:p>
    <w:p>
      <w:pPr>
        <w:spacing w:after="0" w:line="174" w:lineRule="exact"/>
        <w:rPr>
          <w:rFonts w:ascii="Arial" w:cs="Arial" w:eastAsia="Arial" w:hAnsi="Arial"/>
          <w:sz w:val="16"/>
          <w:szCs w:val="16"/>
          <w:color w:val="auto"/>
        </w:rPr>
      </w:pPr>
    </w:p>
    <w:p>
      <w:pPr>
        <w:ind w:left="153" w:right="80" w:hanging="153"/>
        <w:spacing w:after="0" w:line="237" w:lineRule="auto"/>
        <w:tabs>
          <w:tab w:leader="none" w:pos="15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Delaware law also provides, subject to certain exceptions, that if a person acquires 15% of voting stock of a company or is an affiliate or associate of the corporation and owned 15% of voting stock within a 3-year period, the person is an "interested stockholder" and may not engage in "business combinations" with the company for a period of three years from the time the person acquired 15% or more of voting stock.</w:t>
      </w:r>
    </w:p>
    <w:p>
      <w:pPr>
        <w:spacing w:after="0" w:line="3443" w:lineRule="exact"/>
        <w:rPr>
          <w:sz w:val="20"/>
          <w:szCs w:val="20"/>
          <w:color w:val="auto"/>
        </w:rPr>
      </w:pPr>
    </w:p>
    <w:p>
      <w:pPr>
        <w:sectPr>
          <w:pgSz w:w="11900" w:h="16838" w:orient="portrait"/>
          <w:cols w:equalWidth="0" w:num="2">
            <w:col w:w="5500" w:space="407"/>
            <w:col w:w="4353"/>
          </w:cols>
          <w:pgMar w:left="240" w:top="143" w:right="1399" w:bottom="1440" w:gutter="0" w:footer="0" w:header="0"/>
          <w:type w:val="continuous"/>
        </w:sectPr>
      </w:pPr>
    </w:p>
    <w:p>
      <w:pPr>
        <w:ind w:left="5580"/>
        <w:spacing w:after="0"/>
        <w:rPr>
          <w:sz w:val="20"/>
          <w:szCs w:val="20"/>
          <w:color w:val="auto"/>
        </w:rPr>
      </w:pPr>
      <w:r>
        <w:rPr>
          <w:rFonts w:ascii="Arial" w:cs="Arial" w:eastAsia="Arial" w:hAnsi="Arial"/>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66305" cy="2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type w:val="continuous"/>
        </w:sectPr>
      </w:pPr>
    </w:p>
    <w:bookmarkStart w:id="204" w:name="page205"/>
    <w:bookmarkEnd w:id="2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jc w:val="both"/>
        <w:ind w:left="3000"/>
        <w:spacing w:after="0"/>
        <w:tabs>
          <w:tab w:leader="none" w:pos="7740" w:val="left"/>
        </w:tabs>
        <w:rPr>
          <w:sz w:val="20"/>
          <w:szCs w:val="20"/>
          <w:color w:val="auto"/>
        </w:rPr>
      </w:pPr>
      <w:r>
        <w:rPr>
          <w:rFonts w:ascii="Arial" w:cs="Arial" w:eastAsia="Arial" w:hAnsi="Arial"/>
          <w:sz w:val="16"/>
          <w:szCs w:val="16"/>
          <w:b w:val="1"/>
          <w:bCs w:val="1"/>
          <w:color w:val="auto"/>
        </w:rPr>
        <w:t>Bermuda</w:t>
      </w:r>
      <w:r>
        <w:rPr>
          <w:sz w:val="20"/>
          <w:szCs w:val="20"/>
          <w:color w:val="auto"/>
        </w:rPr>
        <w:tab/>
      </w: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80580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05805" cy="15240"/>
                    </a:xfrm>
                    <a:prstGeom prst="rect">
                      <a:avLst/>
                    </a:prstGeom>
                    <a:noFill/>
                  </pic:spPr>
                </pic:pic>
              </a:graphicData>
            </a:graphic>
          </wp:anchor>
        </w:drawing>
      </w:r>
    </w:p>
    <w:p>
      <w:pPr>
        <w:spacing w:after="0" w:line="9" w:lineRule="exact"/>
        <w:rPr>
          <w:sz w:val="20"/>
          <w:szCs w:val="20"/>
          <w:color w:val="auto"/>
        </w:rPr>
      </w:pPr>
    </w:p>
    <w:p>
      <w:pPr>
        <w:ind w:left="1460" w:right="4760" w:hanging="157"/>
        <w:spacing w:after="0" w:line="253" w:lineRule="auto"/>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sectPr>
          <w:pgSz w:w="11900" w:h="16838" w:orient="portrait"/>
          <w:cols w:equalWidth="0" w:num="1">
            <w:col w:w="10260"/>
          </w:cols>
          <w:pgMar w:left="240" w:top="143" w:right="1399" w:bottom="1440" w:gutter="0" w:footer="0" w:header="0"/>
        </w:sectPr>
      </w:pPr>
    </w:p>
    <w:p>
      <w:pPr>
        <w:spacing w:after="0" w:line="332"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Dissenter's Rights of Appraisal</w:t>
      </w:r>
    </w:p>
    <w:p>
      <w:pPr>
        <w:spacing w:after="0" w:line="196" w:lineRule="exact"/>
        <w:rPr>
          <w:sz w:val="20"/>
          <w:szCs w:val="20"/>
          <w:color w:val="auto"/>
        </w:rPr>
      </w:pPr>
    </w:p>
    <w:p>
      <w:pPr>
        <w:ind w:left="1300" w:hanging="158"/>
        <w:spacing w:after="0" w:line="238" w:lineRule="auto"/>
        <w:tabs>
          <w:tab w:leader="none" w:pos="13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dissenting shareholder (that did not vote in favor of the amalgamation or merger) of a Bermuda exempted company is entitled to be paid the fair value of his or her shares in an amalgamation or merger.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0" w:hanging="153"/>
        <w:spacing w:after="0" w:line="239" w:lineRule="auto"/>
        <w:tabs>
          <w:tab w:leader="none" w:pos="4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With limited exceptions, appraisal rights shall be available for the shares of any class or series of stock of a corporation in a merger or consolidation.</w:t>
      </w:r>
    </w:p>
    <w:p>
      <w:pPr>
        <w:spacing w:after="0" w:line="355" w:lineRule="exact"/>
        <w:rPr>
          <w:rFonts w:ascii="Arial" w:cs="Arial" w:eastAsia="Arial" w:hAnsi="Arial"/>
          <w:sz w:val="16"/>
          <w:szCs w:val="16"/>
          <w:color w:val="auto"/>
        </w:rPr>
      </w:pPr>
    </w:p>
    <w:p>
      <w:pPr>
        <w:ind w:left="480" w:right="100" w:hanging="153"/>
        <w:spacing w:after="0" w:line="237" w:lineRule="auto"/>
        <w:tabs>
          <w:tab w:leader="none" w:pos="4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certificate of incorporation may provide that appraisal rights are available for shares as a result of an amendment to the certificate of incorporation, any merger or consolidation or the sale of all or substantially all of the assets.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116205</wp:posOffset>
            </wp:positionV>
            <wp:extent cx="7266305" cy="20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2">
            <w:col w:w="5460" w:space="120"/>
            <w:col w:w="4680"/>
          </w:cols>
          <w:pgMar w:left="240" w:top="143" w:right="1399" w:bottom="1440" w:gutter="0" w:footer="0" w:header="0"/>
          <w:type w:val="continuous"/>
        </w:sectPr>
      </w:pPr>
    </w:p>
    <w:bookmarkStart w:id="205" w:name="page206"/>
    <w:bookmarkEnd w:id="2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278066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Dissolution</w:t>
      </w:r>
    </w:p>
    <w:p>
      <w:pPr>
        <w:spacing w:after="0" w:line="195" w:lineRule="exact"/>
        <w:rPr>
          <w:sz w:val="20"/>
          <w:szCs w:val="20"/>
          <w:color w:val="auto"/>
        </w:rPr>
      </w:pPr>
    </w:p>
    <w:p>
      <w:pPr>
        <w:ind w:left="1300" w:hanging="158"/>
        <w:spacing w:after="0" w:line="236" w:lineRule="auto"/>
        <w:tabs>
          <w:tab w:leader="none" w:pos="13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Under Bermuda law, a solvent company may be wound up by way of a shareholders' voluntary liquidation. Prior to the company entering liquidation, a majority of the directors shall each make a statutory declaration, which states that the directors have made a full enquiry into the affairs of the company and have formed the opinion that the company will be able to pay its debts within a period of 12 months of the commencement of the winding up and must file the statutory declaration with the Registrar of Companies in Bermuda. The general meeting will be convened primarily for the purposes of passing a resolution that the company be wound up voluntarily and appointing a liquidator. The winding up of the company is deemed to commence at the time of the passing of the resolution.</w:t>
      </w:r>
    </w:p>
    <w:p>
      <w:pPr>
        <w:spacing w:after="0" w:line="34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Shareholders' Derivative Actions</w:t>
      </w:r>
    </w:p>
    <w:p>
      <w:pPr>
        <w:spacing w:after="0" w:line="196" w:lineRule="exact"/>
        <w:rPr>
          <w:sz w:val="20"/>
          <w:szCs w:val="20"/>
          <w:color w:val="auto"/>
        </w:rPr>
      </w:pPr>
    </w:p>
    <w:p>
      <w:pPr>
        <w:ind w:left="1300" w:hanging="158"/>
        <w:spacing w:after="0" w:line="253" w:lineRule="auto"/>
        <w:tabs>
          <w:tab w:leader="none" w:pos="13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Class actions and derivative actions are generally not available to shareholders under Bermuda law.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853"/>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78066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80665" cy="15240"/>
                    </a:xfrm>
                    <a:prstGeom prst="rect">
                      <a:avLst/>
                    </a:prstGeom>
                    <a:noFill/>
                  </pic:spPr>
                </pic:pic>
              </a:graphicData>
            </a:graphic>
          </wp:anchor>
        </w:drawing>
      </w:r>
    </w:p>
    <w:p>
      <w:pPr>
        <w:spacing w:after="0" w:line="383" w:lineRule="exact"/>
        <w:rPr>
          <w:sz w:val="20"/>
          <w:szCs w:val="20"/>
          <w:color w:val="auto"/>
        </w:rPr>
      </w:pPr>
    </w:p>
    <w:p>
      <w:pPr>
        <w:ind w:left="153" w:hanging="153"/>
        <w:spacing w:after="0"/>
        <w:tabs>
          <w:tab w:leader="none" w:pos="153" w:val="left"/>
        </w:tabs>
        <w:numPr>
          <w:ilvl w:val="0"/>
          <w:numId w:val="125"/>
        </w:numPr>
        <w:rPr>
          <w:rFonts w:ascii="Arial" w:cs="Arial" w:eastAsia="Arial" w:hAnsi="Arial"/>
          <w:sz w:val="15"/>
          <w:szCs w:val="15"/>
          <w:color w:val="auto"/>
        </w:rPr>
      </w:pPr>
      <w:r>
        <w:rPr>
          <w:rFonts w:ascii="Arial" w:cs="Arial" w:eastAsia="Arial" w:hAnsi="Arial"/>
          <w:sz w:val="15"/>
          <w:szCs w:val="15"/>
          <w:color w:val="auto"/>
        </w:rPr>
        <w:t>Under Delaware law, a corporation may voluntarily dissolve</w:t>
      </w:r>
    </w:p>
    <w:p>
      <w:pPr>
        <w:spacing w:after="0" w:line="8" w:lineRule="exact"/>
        <w:rPr>
          <w:rFonts w:ascii="Arial" w:cs="Arial" w:eastAsia="Arial" w:hAnsi="Arial"/>
          <w:sz w:val="15"/>
          <w:szCs w:val="15"/>
          <w:color w:val="auto"/>
        </w:rPr>
      </w:pPr>
    </w:p>
    <w:p>
      <w:pPr>
        <w:ind w:left="153" w:right="39" w:firstLine="8"/>
        <w:spacing w:after="0" w:line="237" w:lineRule="auto"/>
        <w:tabs>
          <w:tab w:leader="none" w:pos="38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if a majority of the board of directors adopts a resolution to that effect and the holders of a majority of the issued and outstanding shares entitled to vote thereon vote for such dissolution; or (2) if all stockholders entitled to vote thereon consent in writing to such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3" w:right="39" w:hanging="153"/>
        <w:spacing w:after="0" w:line="237" w:lineRule="auto"/>
        <w:tabs>
          <w:tab w:leader="none" w:pos="15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any derivative suit instituted by a stockholder of a corporation, it shall be averred in the complaint that the plaintiff was a stockholder of the corporation at the time of the transaction of which such stockholder complains or that such stockholder's stock thereafter devolved upon the stockholder by operation of law.</w:t>
      </w:r>
    </w:p>
    <w:p>
      <w:pPr>
        <w:spacing w:after="0" w:line="1454" w:lineRule="exact"/>
        <w:rPr>
          <w:sz w:val="20"/>
          <w:szCs w:val="20"/>
          <w:color w:val="auto"/>
        </w:rPr>
      </w:pPr>
    </w:p>
    <w:p>
      <w:pPr>
        <w:sectPr>
          <w:pgSz w:w="11900" w:h="16838" w:orient="portrait"/>
          <w:cols w:equalWidth="0" w:num="2">
            <w:col w:w="5520" w:space="387"/>
            <w:col w:w="4312"/>
          </w:cols>
          <w:pgMar w:left="240" w:top="143" w:right="1440" w:bottom="1440" w:gutter="0" w:footer="0" w:header="0"/>
        </w:sectPr>
      </w:pPr>
    </w:p>
    <w:p>
      <w:pPr>
        <w:ind w:left="5580"/>
        <w:spacing w:after="0"/>
        <w:rPr>
          <w:sz w:val="20"/>
          <w:szCs w:val="20"/>
          <w:color w:val="auto"/>
        </w:rPr>
      </w:pPr>
      <w:r>
        <w:rPr>
          <w:rFonts w:ascii="Arial" w:cs="Arial" w:eastAsia="Arial" w:hAnsi="Arial"/>
          <w:sz w:val="15"/>
          <w:szCs w:val="15"/>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66305"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type w:val="continuous"/>
        </w:sectPr>
      </w:pPr>
    </w:p>
    <w:bookmarkStart w:id="206" w:name="page207"/>
    <w:bookmarkEnd w:id="2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MATERIAL BERMUDA AND U.S. FEDERAL INCOME TAX CONSIDERATIONS</w:t>
      </w:r>
    </w:p>
    <w:p>
      <w:pPr>
        <w:spacing w:after="0" w:line="194" w:lineRule="exact"/>
        <w:rPr>
          <w:sz w:val="20"/>
          <w:szCs w:val="20"/>
          <w:color w:val="auto"/>
        </w:rPr>
      </w:pPr>
    </w:p>
    <w:p>
      <w:pPr>
        <w:ind w:right="20" w:firstLine="436"/>
        <w:spacing w:after="0" w:line="262" w:lineRule="auto"/>
        <w:rPr>
          <w:sz w:val="20"/>
          <w:szCs w:val="20"/>
          <w:color w:val="auto"/>
        </w:rPr>
      </w:pPr>
      <w:r>
        <w:rPr>
          <w:rFonts w:ascii="Arial" w:cs="Arial" w:eastAsia="Arial" w:hAnsi="Arial"/>
          <w:sz w:val="16"/>
          <w:szCs w:val="16"/>
          <w:i w:val="1"/>
          <w:iCs w:val="1"/>
          <w:color w:val="auto"/>
        </w:rPr>
        <w:t>The following is a discussion of the material Bermuda and U.S. federal income tax considerations that may be relevant to an investment decision by a potential investor with respect to our common shares.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Bermuda Tax Considerations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the Company</w:t>
      </w:r>
    </w:p>
    <w:p>
      <w:pPr>
        <w:spacing w:after="0" w:line="208" w:lineRule="exact"/>
        <w:rPr>
          <w:sz w:val="20"/>
          <w:szCs w:val="20"/>
          <w:color w:val="auto"/>
        </w:rPr>
      </w:pPr>
    </w:p>
    <w:p>
      <w:pPr>
        <w:ind w:right="20" w:firstLine="436"/>
        <w:spacing w:after="0" w:line="254" w:lineRule="auto"/>
        <w:rPr>
          <w:sz w:val="20"/>
          <w:szCs w:val="20"/>
          <w:color w:val="auto"/>
        </w:rPr>
      </w:pPr>
      <w:r>
        <w:rPr>
          <w:rFonts w:ascii="Arial" w:cs="Arial" w:eastAsia="Arial" w:hAnsi="Arial"/>
          <w:sz w:val="15"/>
          <w:szCs w:val="15"/>
          <w:color w:val="auto"/>
        </w:rPr>
        <w:t>Under current Bermuda law, there is no income, corporate or profits tax or withholding tax, capital gains tax or capital transfer tax, estate or inheritance tax payable by us or our shareholders, other than shareholders ordinarily resident in Bermuda, if any. The Company has received from the Minister of Finance under The Exempted Undertaking Tax Protection Act 1966, as amended, an assurance that, in the event that Bermuda enacts legislation imposing tax computed on profits, income, any capital asset, gain or appreciation, or any tax in the nature of estate duty or inheritance, then the imposition of any such tax will not be applicable to the Company or to any of their operations or their shares, debentures or other obligations, until March 31, 2035. This assurance is subject to the proviso that it is not to be construed so as to prevent the application of any tax or duty to such persons as are ordinarily resident in Bermuda or to prevent the application of any tax payable in accordance with the provisions of the Land Tax Act 1967 or otherwise payable in relation to any property leased to the Company. The Company pays annual Bermuda government fees which fees are calculated on a sliding scale based on the assessable capital of the company. In addition, all entities employing individuals in Bermuda are required to pay a payroll tax and there are other sundry taxes payable, directly or indirectly, to the Bermuda government.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Shareholders</w:t>
      </w:r>
    </w:p>
    <w:p>
      <w:pPr>
        <w:spacing w:after="0" w:line="208"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Currently, there is no Bermuda income, corporate or profits tax or withholding tax, capital gains tax or capital transfer tax, estate or inheritance tax payable by holders of our shares, other than shareholders ordinarily resident in Bermuda, if any.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U.S. Federal Income Tax Considerations to U.S. Holders</w:t>
      </w:r>
    </w:p>
    <w:p>
      <w:pPr>
        <w:spacing w:after="0" w:line="210"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following discussion describes the material U.S. federal income tax consequences to U.S. Holders (as defined below) under present law of an investment in the Class A common shares. The effects of any applicable state or local laws, or other U.S. federal tax laws such as estate and gift tax laws, or the alternative minimum tax or the Medicare contribution tax on net investment income, are not discussed. This summary applies only to investors who acquire the Class A common shares in exchange for cash, hold the Class A common shares as capital assets (generally, property held for investment) and who have the U.S. dollar as their functional currency. This discussion is based on the U.S. Internal Revenue Code of 1986, as amended, or the Code, U.S. Treasury regulations promulgated thereunder, judicial decisions, published rulings and administrative pronouncements of the U.S. Internal Revenue Service, or the IRS, all as in effect as of the date of this prospectus. All of the foregoing authorities are subject to change, which change could apply retroactively and could affect the tax consequences described below.</w:t>
      </w:r>
    </w:p>
    <w:p>
      <w:pPr>
        <w:spacing w:after="0" w:line="187" w:lineRule="exact"/>
        <w:rPr>
          <w:sz w:val="20"/>
          <w:szCs w:val="20"/>
          <w:color w:val="auto"/>
        </w:rPr>
      </w:pPr>
    </w:p>
    <w:p>
      <w:pPr>
        <w:ind w:right="280" w:firstLine="433"/>
        <w:spacing w:after="0" w:line="241" w:lineRule="auto"/>
        <w:rPr>
          <w:sz w:val="20"/>
          <w:szCs w:val="20"/>
          <w:color w:val="auto"/>
        </w:rPr>
      </w:pPr>
      <w:r>
        <w:rPr>
          <w:rFonts w:ascii="Arial" w:cs="Arial" w:eastAsia="Arial" w:hAnsi="Arial"/>
          <w:sz w:val="16"/>
          <w:szCs w:val="16"/>
          <w:color w:val="auto"/>
        </w:rPr>
        <w:t>The following discussion does not address all U.S. federal income tax consequences relevant to a holder's particular circumstances or to holders subject to particular rules, including:</w:t>
      </w:r>
    </w:p>
    <w:p>
      <w:pPr>
        <w:spacing w:after="0" w:line="185" w:lineRule="exact"/>
        <w:rPr>
          <w:sz w:val="20"/>
          <w:szCs w:val="20"/>
          <w:color w:val="auto"/>
        </w:rPr>
      </w:pPr>
    </w:p>
    <w:p>
      <w:pPr>
        <w:ind w:left="960" w:hanging="481"/>
        <w:spacing w:after="0"/>
        <w:tabs>
          <w:tab w:leader="none" w:pos="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U.S. expatriates and certain former citizens or long-term residents of the United States;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persons whose functional currency is not the U.S. dollar;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07" w:name="page208"/>
    <w:bookmarkEnd w:id="20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960" w:right="260" w:hanging="481"/>
        <w:spacing w:after="0" w:line="241" w:lineRule="auto"/>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holding Class A common shares as part of a hedge, straddle or other risk reduction strategy or as part of a conversion transaction or other integrated investment;</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banks, insurance companies and other financial institutions;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real estate investment trusts or regulated investment companies;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brokers, dealers or traders in securities, commodities or currencies;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 corporations or entities or arrangements treated as partnerships for U.S. federal income tax purposes;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individual retirement accounts or other tax deferred accounts;</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who acquired the Class A common shares pursuant to the exercise of any employee share option or otherwise as compensation;</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that own or are deemed to own 10% or more of our stock by vote or value;</w:t>
      </w:r>
    </w:p>
    <w:p>
      <w:pPr>
        <w:spacing w:after="0" w:line="177" w:lineRule="exact"/>
        <w:rPr>
          <w:rFonts w:ascii="Arial" w:cs="Arial" w:eastAsia="Arial" w:hAnsi="Arial"/>
          <w:sz w:val="16"/>
          <w:szCs w:val="16"/>
          <w:color w:val="auto"/>
        </w:rPr>
      </w:pPr>
    </w:p>
    <w:p>
      <w:pPr>
        <w:ind w:left="960" w:right="240" w:hanging="481"/>
        <w:spacing w:after="0" w:line="241" w:lineRule="auto"/>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the Class A common shares being taken into account in an applicable financial statement;</w:t>
      </w:r>
    </w:p>
    <w:p>
      <w:pPr>
        <w:spacing w:after="0" w:line="185"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that hold Class A common shares through a permanent establishment or fixed base outside the United States; and</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persons deemed to sell Class A common shares under the constructive sale provisions of the Code.</w:t>
      </w:r>
    </w:p>
    <w:p>
      <w:pPr>
        <w:spacing w:after="0" w:line="190"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We believe we are a "controlled foreign corporation" for U.S. federal income tax purposes, and therefore, if you are a U.S. shareholder owning 10% or more of our stock by vote or value directly, indirectly or constructively, the U.S. federal income tax consequences to you of owning our Class A common shares may be significantly different than those described below. If you own 10% or more of our stock by vote or value directly, indirectly or constructively, you should consult your tax advisors regarding the U.S. federal income tax consequence of your investment in our Class A common shares.</w:t>
      </w:r>
    </w:p>
    <w:p>
      <w:pPr>
        <w:spacing w:after="0" w:line="167" w:lineRule="exact"/>
        <w:rPr>
          <w:sz w:val="20"/>
          <w:szCs w:val="20"/>
          <w:color w:val="auto"/>
        </w:rPr>
      </w:pPr>
    </w:p>
    <w:p>
      <w:pPr>
        <w:jc w:val="both"/>
        <w:ind w:right="560"/>
        <w:spacing w:after="0" w:line="251" w:lineRule="auto"/>
        <w:rPr>
          <w:sz w:val="20"/>
          <w:szCs w:val="20"/>
          <w:color w:val="auto"/>
        </w:rPr>
      </w:pPr>
      <w:r>
        <w:rPr>
          <w:rFonts w:ascii="Arial" w:cs="Arial" w:eastAsia="Arial" w:hAnsi="Arial"/>
          <w:sz w:val="16"/>
          <w:szCs w:val="16"/>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CLASS A COMMON SHARES.</w:t>
      </w:r>
    </w:p>
    <w:p>
      <w:pPr>
        <w:spacing w:after="0" w:line="179"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For purposes of this discussion, a "U.S. Holder" is a beneficial owner of Class A common shares that, for U.S. federal income tax purposes, is or is treated as any of the following:</w:t>
      </w:r>
    </w:p>
    <w:p>
      <w:pPr>
        <w:spacing w:after="0" w:line="185" w:lineRule="exact"/>
        <w:rPr>
          <w:sz w:val="20"/>
          <w:szCs w:val="20"/>
          <w:color w:val="auto"/>
        </w:rPr>
      </w:pPr>
    </w:p>
    <w:p>
      <w:pPr>
        <w:ind w:left="960" w:hanging="481"/>
        <w:spacing w:after="0"/>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89" w:lineRule="exact"/>
        <w:rPr>
          <w:rFonts w:ascii="Arial" w:cs="Arial" w:eastAsia="Arial" w:hAnsi="Arial"/>
          <w:sz w:val="16"/>
          <w:szCs w:val="16"/>
          <w:color w:val="auto"/>
        </w:rPr>
      </w:pPr>
    </w:p>
    <w:p>
      <w:pPr>
        <w:ind w:left="960" w:right="100" w:hanging="481"/>
        <w:spacing w:after="0" w:line="241" w:lineRule="auto"/>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corporation (or another entity taxable as a corporation) created or organized under the laws of the United States, any state thereof, or the District of Columbia;</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86" w:lineRule="exact"/>
        <w:rPr>
          <w:rFonts w:ascii="Arial" w:cs="Arial" w:eastAsia="Arial" w:hAnsi="Arial"/>
          <w:sz w:val="16"/>
          <w:szCs w:val="16"/>
          <w:color w:val="auto"/>
        </w:rPr>
      </w:pPr>
    </w:p>
    <w:p>
      <w:pPr>
        <w:ind w:left="960" w:hanging="481"/>
        <w:spacing w:after="0"/>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trust that (1) is subject to the supervision of a U.S. court and the control of one or more "United States persons" (within the meaning of</w:t>
      </w:r>
    </w:p>
    <w:p>
      <w:pPr>
        <w:ind w:left="960"/>
        <w:spacing w:after="0"/>
        <w:rPr>
          <w:rFonts w:ascii="Arial" w:cs="Arial" w:eastAsia="Arial" w:hAnsi="Arial"/>
          <w:sz w:val="16"/>
          <w:szCs w:val="16"/>
          <w:color w:val="auto"/>
        </w:rPr>
      </w:pPr>
      <w:r>
        <w:rPr>
          <w:rFonts w:ascii="Arial" w:cs="Arial" w:eastAsia="Arial" w:hAnsi="Arial"/>
          <w:sz w:val="16"/>
          <w:szCs w:val="16"/>
          <w:color w:val="auto"/>
        </w:rPr>
        <w:t>Section 7701(a)(30) of the Code), or (2) has a valid election in effect to be treated as a United States person for U.S. federal income tax purposes.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08" w:name="page209"/>
    <w:bookmarkEnd w:id="2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firstLine="436"/>
        <w:spacing w:after="0" w:line="239" w:lineRule="auto"/>
        <w:rPr>
          <w:sz w:val="20"/>
          <w:szCs w:val="20"/>
          <w:color w:val="auto"/>
        </w:rPr>
      </w:pPr>
      <w:r>
        <w:rPr>
          <w:rFonts w:ascii="Arial" w:cs="Arial" w:eastAsia="Arial" w:hAnsi="Arial"/>
          <w:sz w:val="16"/>
          <w:szCs w:val="16"/>
          <w:color w:val="auto"/>
        </w:rPr>
        <w:t>If you are an entity taxable as a partnership for U.S. federal income tax purposes that holds Class A common shares, your tax treatment generally will depend on your status and the activities of the partnership. Partnerships holding Class A common shares and the partners in such partnerships should consult their tax advisors regarding the U.S. federal income tax consequences applicable to them.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Dividends and Other Distributions on the Class A Common Shares</w:t>
      </w:r>
    </w:p>
    <w:p>
      <w:pPr>
        <w:spacing w:after="0" w:line="210"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discussion in this section "Taxation of Dividends and Other Distributions on the Class A Common Shares" is subject to the discussion regarding passive foreign investment companies below. As discussed above under "Dividend Policy," the Company does not currently intend to declare dividends on the Class A common shares in the foreseeable future. In the event the Company does pay dividends, the gross amount of any distribution to you with respect to the Class A common shares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the Class A common shares, and to the extent the amount of the distribution exceeds your tax basis, the excess will be taxed as capital gain. We do not intend to calculate our earnings and profits under U.S. federal income tax principles. Therefore, a U.S. Holder should expect that distributions will generally be reported as ordinary dividend income for such purposes. Dividends we pay will not be eligible for the dividends-received deduction available to corporations in respect of dividends received from U.S. corporations.</w:t>
      </w:r>
    </w:p>
    <w:p>
      <w:pPr>
        <w:spacing w:after="0" w:line="186"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Subject to certain limitations, dividends paid by qualified foreign corporations to certain non-corporate U.S. Holders may be taxable at preferential tax rates. A non-U.S. corporation is generally treated as a qualified foreign corporation with respect to dividends paid on stock that is readily tradable on a securities market in the United States, such as Nasdaq, on which the Company has applied to list the Class A common shares. However, the preferential tax rates discussed above will not apply if we are treated as a passive foreign investment company with respect to the U.S. Holder for the taxable year in which a dividend is paid or the preceding year. Non-corporate U.S. Holders should consult their tax advisers regarding the availability of the reduced tax rate on dividends. Dividends will be included in a U.S. Holder's income on the date of the U.S. Holder's receipt of the dividend.</w:t>
      </w:r>
    </w:p>
    <w:p>
      <w:pPr>
        <w:spacing w:after="0" w:line="18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Dividends will generally constitute foreign source income for foreign tax credit limitation purposes. Any tax withheld with respect to distributions on the Class A common shares may, subject to a number of complex limitations, be claimed as a foreign tax credit against such U.S. Holder's U.S. federal income tax liability or may be claimed as a deduction for U.S. federal income tax purposes. The limitation on foreign taxes eligible for credit is calculated separately with respect to specific classes of income. For this purpose, dividends distributed by us with respect to the Class A common shares generally will constitute "passive category income." The rules with respect to the foreign tax credit are complex and may depend upon a U.S. Holder's particular circumstances. You should consult your tax advisor regarding the availability of the foreign tax credit under your particular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Disposition of the Class A Common Shares</w:t>
      </w:r>
    </w:p>
    <w:p>
      <w:pPr>
        <w:spacing w:after="0" w:line="210" w:lineRule="exact"/>
        <w:rPr>
          <w:sz w:val="20"/>
          <w:szCs w:val="20"/>
          <w:color w:val="auto"/>
        </w:rPr>
      </w:pPr>
    </w:p>
    <w:p>
      <w:pPr>
        <w:ind w:right="80" w:firstLine="433"/>
        <w:spacing w:after="0" w:line="238" w:lineRule="auto"/>
        <w:rPr>
          <w:sz w:val="20"/>
          <w:szCs w:val="20"/>
          <w:color w:val="auto"/>
        </w:rPr>
      </w:pPr>
      <w:r>
        <w:rPr>
          <w:rFonts w:ascii="Arial" w:cs="Arial" w:eastAsia="Arial" w:hAnsi="Arial"/>
          <w:sz w:val="16"/>
          <w:szCs w:val="16"/>
          <w:color w:val="auto"/>
        </w:rPr>
        <w:t>The discussion in this section "Taxation of Dispositions of Class A Common Shares" is subject to the discussion regarding passive foreign investment companies below. You will recognize gain or loss on any sale, exchange or other taxable disposition of Class A common shares equal to the difference between the amount realized (in U.S. dollars) on the disposition and your tax basis (in U.S. dollars) in the Class A common shares. Any such gain or loss will be capital gain or loss,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09" w:name="page210"/>
    <w:bookmarkEnd w:id="20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will be long-term capital gain or loss if you have held the Class A common shares for more than one year at the time of the disposition. Otherwise, such gain or loss will be short-term capital gain or loss. Long-term capital gains recognized by certain non-corporate U.S. Holders, including individuals, generally will be taxable at reduced rates. The deductibility of capital losses is subject to limitations. Any such gain or loss you recognize generally will be treated as U.S. source income or loss for foreign tax credit limitation purposes. You should consult your tax advisor regarding the proper treatment of gain or loss in your particular circumstances.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Passive Foreign Investment Company</w:t>
      </w:r>
    </w:p>
    <w:p>
      <w:pPr>
        <w:spacing w:after="0" w:line="210" w:lineRule="exact"/>
        <w:rPr>
          <w:sz w:val="20"/>
          <w:szCs w:val="20"/>
          <w:color w:val="auto"/>
        </w:rPr>
      </w:pPr>
    </w:p>
    <w:p>
      <w:pPr>
        <w:jc w:val="both"/>
        <w:ind w:right="60" w:firstLine="436"/>
        <w:spacing w:after="0" w:line="239" w:lineRule="auto"/>
        <w:rPr>
          <w:sz w:val="20"/>
          <w:szCs w:val="20"/>
          <w:color w:val="auto"/>
        </w:rPr>
      </w:pPr>
      <w:r>
        <w:rPr>
          <w:rFonts w:ascii="Arial" w:cs="Arial" w:eastAsia="Arial" w:hAnsi="Arial"/>
          <w:sz w:val="16"/>
          <w:szCs w:val="16"/>
          <w:color w:val="auto"/>
        </w:rPr>
        <w:t>Because we do not expect to earn revenue from our business operations during the current taxable year, and because our sole source of income currently is interest on bank accounts, we believe we will likely be a PFIC for our current taxable year. A non-U.S. corporation will be classified as a PFIC for any taxable year in which, after applying certain look-through rules, either:</w:t>
      </w:r>
    </w:p>
    <w:p>
      <w:pPr>
        <w:spacing w:after="0" w:line="186" w:lineRule="exact"/>
        <w:rPr>
          <w:sz w:val="20"/>
          <w:szCs w:val="20"/>
          <w:color w:val="auto"/>
        </w:rPr>
      </w:pPr>
    </w:p>
    <w:p>
      <w:pPr>
        <w:ind w:left="960" w:hanging="481"/>
        <w:spacing w:after="0"/>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at least 75% of its gross income for such taxable year is passive income, or</w:t>
      </w:r>
    </w:p>
    <w:p>
      <w:pPr>
        <w:spacing w:after="0" w:line="189" w:lineRule="exact"/>
        <w:rPr>
          <w:rFonts w:ascii="Arial" w:cs="Arial" w:eastAsia="Arial" w:hAnsi="Arial"/>
          <w:sz w:val="16"/>
          <w:szCs w:val="16"/>
          <w:color w:val="auto"/>
        </w:rPr>
      </w:pPr>
    </w:p>
    <w:p>
      <w:pPr>
        <w:ind w:left="960" w:right="260" w:hanging="481"/>
        <w:spacing w:after="0" w:line="241" w:lineRule="auto"/>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at least 50% of the value of its assets (based on an average of the quarterly values of the assets during a taxable year) is attributable to assets that produce or are held for the production of passive income.</w:t>
      </w:r>
    </w:p>
    <w:p>
      <w:pPr>
        <w:spacing w:after="0" w:line="185" w:lineRule="exact"/>
        <w:rPr>
          <w:sz w:val="20"/>
          <w:szCs w:val="20"/>
          <w:color w:val="auto"/>
        </w:rPr>
      </w:pPr>
    </w:p>
    <w:p>
      <w:pPr>
        <w:ind w:right="180" w:firstLine="436"/>
        <w:spacing w:after="0" w:line="238" w:lineRule="auto"/>
        <w:rPr>
          <w:sz w:val="20"/>
          <w:szCs w:val="20"/>
          <w:color w:val="auto"/>
        </w:rPr>
      </w:pPr>
      <w:r>
        <w:rPr>
          <w:rFonts w:ascii="Arial" w:cs="Arial" w:eastAsia="Arial" w:hAnsi="Arial"/>
          <w:sz w:val="16"/>
          <w:szCs w:val="16"/>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87" w:lineRule="exact"/>
        <w:rPr>
          <w:sz w:val="20"/>
          <w:szCs w:val="20"/>
          <w:color w:val="auto"/>
        </w:rPr>
      </w:pPr>
    </w:p>
    <w:p>
      <w:pPr>
        <w:ind w:right="80" w:firstLine="427"/>
        <w:spacing w:after="0" w:line="238" w:lineRule="auto"/>
        <w:rPr>
          <w:sz w:val="20"/>
          <w:szCs w:val="20"/>
          <w:color w:val="auto"/>
        </w:rPr>
      </w:pPr>
      <w:r>
        <w:rPr>
          <w:rFonts w:ascii="Arial" w:cs="Arial" w:eastAsia="Arial" w:hAnsi="Arial"/>
          <w:sz w:val="16"/>
          <w:szCs w:val="16"/>
          <w:color w:val="auto"/>
        </w:rPr>
        <w:t>A separate determination must be made each taxable year as to whether we are a PFIC (after the close of each such taxable year). Because the value of our assets for purposes of the asset test will generally be determined by reference to the market price of the Class A common shares, our PFIC status will depend in large part on the market price of the Class A common shares, which may fluctuate significantly. In addition, changes in the composition of our income or assets may cause us to become a PFIC.</w:t>
      </w:r>
    </w:p>
    <w:p>
      <w:pPr>
        <w:spacing w:after="0" w:line="187"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If we are classified as a PFIC in any year with respect to which a U.S. Holder owns Class A common shares, we will continue to be treated as a PFIC with respect to such U.S. Holder in all succeeding years during which the U.S. Holder owns the Class A common shares, regardless of whether we continue to meet the tests described above unless we cease to be a PFIC and the U.S. Holder (1) has made a "deemed sale" election under the PFIC rules, (2) the U.S. Holder has a valid mark-to-market election in effect (as described below) or (3) the U.S. Holder makes a QEF Election (defined below) with respect to all taxable years in which we are a PFIC during such U.S. Holder's holding period in which we are a PFIC or makes a purging election to cause a deemed sale of the PFIC shares at their fair market value in conjunction with a QEF Election (see discussion below regarding such elections). If a U.S. Holder makes a deemed sale election, such U.S. Holder will be deemed to have sold the common shares held by such U.S. Holder at their fair market value, and any gain from such deemed sale would be subject to the rules described below. After the deemed sale election, so long as we do not become a PFIC in a subsequent taxable year, a U.S. Holder's Class A common shares subject to such election will not be treated as shares in a PFIC, and the rules described below with respect to any "excess distributions" or any gain from an actual sale or other disposition of the Class A common shares will not apply. U.S. Holders should consult their tax advisors as to the possibility and consequences of making a deemed sale election if we cease to be a PFIC.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0" w:name="page211"/>
    <w:bookmarkEnd w:id="2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For each taxable year we are treated as a PFIC with respect to you, you will be subject to special tax rules with respect to any "excess distribution" you receive and any gain you realize from a sale or other disposition (including a pledge) of Class A common shares, unless you (i) make a QEF Election (as defined below) with respect to all taxable years of your holding period during which we are a PFIC (as discussed below) or make a purging election to cause a deemed sale of the PFIC shares at their fair market value in conjunction with a QEF Election (see discussion below regarding such elections) or (ii) make a "mark-to-market" election as discussed below. Distributions you receive in a taxable year that are greater than 125% of the average annual distributions you received during the shorter of the three preceding taxable years or your holding period for the Class A common shares will be treated as an excess distribution. Under these special tax rules, if you receive any excess distribution or realize any gain from a sale or other disposition of the Class A common shares:</w:t>
      </w:r>
    </w:p>
    <w:p>
      <w:pPr>
        <w:spacing w:after="0" w:line="188" w:lineRule="exact"/>
        <w:rPr>
          <w:sz w:val="20"/>
          <w:szCs w:val="20"/>
          <w:color w:val="auto"/>
        </w:rPr>
      </w:pPr>
    </w:p>
    <w:p>
      <w:pPr>
        <w:ind w:left="960" w:hanging="481"/>
        <w:spacing w:after="0"/>
        <w:tabs>
          <w:tab w:leader="none" w:pos="9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excess distribution or gain will be allocated ratably over your holding period for the Class A common shares,</w:t>
      </w:r>
    </w:p>
    <w:p>
      <w:pPr>
        <w:spacing w:after="0" w:line="189" w:lineRule="exact"/>
        <w:rPr>
          <w:rFonts w:ascii="Arial" w:cs="Arial" w:eastAsia="Arial" w:hAnsi="Arial"/>
          <w:sz w:val="16"/>
          <w:szCs w:val="16"/>
          <w:color w:val="auto"/>
        </w:rPr>
      </w:pPr>
    </w:p>
    <w:p>
      <w:pPr>
        <w:ind w:left="960" w:right="20" w:hanging="481"/>
        <w:spacing w:after="0" w:line="241" w:lineRule="auto"/>
        <w:tabs>
          <w:tab w:leader="none" w:pos="9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amount allocated to the current taxable year, and any taxable year before the first taxable year in which we were a PFIC, will be treated as ordinary income, and</w:t>
      </w:r>
    </w:p>
    <w:p>
      <w:pPr>
        <w:spacing w:after="0" w:line="173" w:lineRule="exact"/>
        <w:rPr>
          <w:rFonts w:ascii="Arial" w:cs="Arial" w:eastAsia="Arial" w:hAnsi="Arial"/>
          <w:sz w:val="16"/>
          <w:szCs w:val="16"/>
          <w:color w:val="auto"/>
        </w:rPr>
      </w:pPr>
    </w:p>
    <w:p>
      <w:pPr>
        <w:ind w:left="960" w:right="440" w:hanging="481"/>
        <w:spacing w:after="0" w:line="241" w:lineRule="auto"/>
        <w:tabs>
          <w:tab w:leader="none" w:pos="9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amount allocated to each other year will be subject to the highest tax rate in effect for that year and an interest charge generally applicable to underpayments of tax will be imposed on the resulting tax attributable to each such year.</w:t>
      </w:r>
    </w:p>
    <w:p>
      <w:pPr>
        <w:spacing w:after="0" w:line="185" w:lineRule="exact"/>
        <w:rPr>
          <w:sz w:val="20"/>
          <w:szCs w:val="20"/>
          <w:color w:val="auto"/>
        </w:rPr>
      </w:pPr>
    </w:p>
    <w:p>
      <w:pPr>
        <w:jc w:val="both"/>
        <w:ind w:right="420" w:firstLine="433"/>
        <w:spacing w:after="0" w:line="239" w:lineRule="auto"/>
        <w:rPr>
          <w:sz w:val="20"/>
          <w:szCs w:val="20"/>
          <w:color w:val="auto"/>
        </w:rPr>
      </w:pPr>
      <w:r>
        <w:rPr>
          <w:rFonts w:ascii="Arial" w:cs="Arial" w:eastAsia="Arial" w:hAnsi="Arial"/>
          <w:sz w:val="16"/>
          <w:szCs w:val="16"/>
          <w:color w:val="auto"/>
        </w:rPr>
        <w:t>The tax liability for amounts allocated to years before the year of disposition or "excess distribution" cannot be offset by any net operating losses for such years, and gains (but not losses) realized on the sale of Class A common shares cannot be treated as capital, even if you hold the Class A common shares as capital assets.</w:t>
      </w:r>
    </w:p>
    <w:p>
      <w:pPr>
        <w:spacing w:after="0" w:line="186"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If we are treated as a PFIC with respect to you for any taxable year, to the extent any of our subsidiaries are also PFICs, you will be deemed to own your proportionate share of any such lower-tier PFICs,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tax advisor regarding the application of the PFIC rules to any of our subsidiaries.</w:t>
      </w:r>
    </w:p>
    <w:p>
      <w:pPr>
        <w:spacing w:after="0" w:line="189" w:lineRule="exact"/>
        <w:rPr>
          <w:sz w:val="20"/>
          <w:szCs w:val="20"/>
          <w:color w:val="auto"/>
        </w:rPr>
      </w:pPr>
    </w:p>
    <w:p>
      <w:pPr>
        <w:ind w:right="40" w:firstLine="427"/>
        <w:spacing w:after="0" w:line="236" w:lineRule="auto"/>
        <w:rPr>
          <w:sz w:val="20"/>
          <w:szCs w:val="20"/>
          <w:color w:val="auto"/>
        </w:rPr>
      </w:pPr>
      <w:r>
        <w:rPr>
          <w:rFonts w:ascii="Arial" w:cs="Arial" w:eastAsia="Arial" w:hAnsi="Arial"/>
          <w:sz w:val="16"/>
          <w:szCs w:val="16"/>
          <w:color w:val="auto"/>
        </w:rPr>
        <w:t>A U.S. Holder of "marketable stock" (as defined below) in a PFIC may make a mark-to-market election for such stock to elect out of the general tax treatment for PFICs discussed above. If you make a mark-to-market election for the Class A common shares, you will include in income for each year we are a PFIC an amount equal to the excess, if any, of the fair market value of the Class A common shares as of the close of your taxable year over your adjusted basis in such Class A common shares. Accordingly, a mark-to-market election may accelerate the recognition of income without a corresponding receipt of cash. You are allowed a deduction for the excess, if any, of the adjusted basis of the Class A common shares over their fair market value as of the close of the taxable year. However, deductions are allowable only to the extent of any net mark-to-market gains on the Class A common shares included in your income for prior taxable years. Amounts included in your income under a mark-to-market election, as well as gain on the actual sale or other disposition of Class A common shares, are treated as ordinary income. Ordinary loss treatment also applies to the deductible portion of any mark-to-market loss on Class A common shares, as well as to any loss realized on the actual sale or disposition of Class A common shares to the extent the amount of such loss does not exceed the net mark-to-market gains previously included for the Class A common shares. Your basis in the Class A common shares will be adjusted to reflect any such income or loss amounts. If you make a valid mark-to-market election, the tax rules that apply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1" w:name="page212"/>
    <w:bookmarkEnd w:id="2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to distributions by corporations which are not PFICs would apply to distributions by us, except the lower applicable tax rates for qualified dividend income would not apply. If we cease to be a PFIC when you have a mark-to-market election in effect, gain or loss realized by you on the sale of Class A common shares will be a capital gain or loss and taxed in the manner described above under "Taxation of Disposition of the Class A Common Shares."</w:t>
      </w:r>
    </w:p>
    <w:p>
      <w:pPr>
        <w:spacing w:after="0" w:line="186" w:lineRule="exact"/>
        <w:rPr>
          <w:sz w:val="20"/>
          <w:szCs w:val="20"/>
          <w:color w:val="auto"/>
        </w:rPr>
      </w:pPr>
    </w:p>
    <w:p>
      <w:pPr>
        <w:ind w:right="20" w:firstLine="433"/>
        <w:spacing w:after="0" w:line="236" w:lineRule="auto"/>
        <w:rPr>
          <w:sz w:val="20"/>
          <w:szCs w:val="20"/>
          <w:color w:val="auto"/>
        </w:rPr>
      </w:pPr>
      <w:r>
        <w:rPr>
          <w:rFonts w:ascii="Arial" w:cs="Arial" w:eastAsia="Arial" w:hAnsi="Arial"/>
          <w:sz w:val="16"/>
          <w:szCs w:val="16"/>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U.S. Treasury regulations. Any trades that have as their principal purpose meeting this requirement will be disregarded. The Class A common shares have been approved for listing on The Nasdaq Global Select Market and, accordingly, provided the Class A common shares are regularly traded, if you are a holder of Class A common shares, the mark-to-market election would be available to you if we are a PFIC. Once made, the election cannot be revoked without the consent of the IRS unless the Class A common shares cease to be marketable stock. If we are a PFIC for any year in which a U.S. Holder owns Class A common shares but before a mark-to-market election is made, the interest charge rules described above will apply to any mark-to market gain recognized in the year the election is made. If any of our subsidiaries are or become PFICs, the mark-to-market election will not be available with respect to shares of such subsidiaries that are treated as owned by you. Consequently, you could be subject to the PFIC rules with respect to income of the lower-tier PFICs the value of which already had been taken into account indirectly via mark-to-market adjustments. You should consult your tax advisor as to the availability and desirability of a mark-to-market election, as well as the impact of such election on interests in any lower-tier PFICs.</w:t>
      </w:r>
    </w:p>
    <w:p>
      <w:pPr>
        <w:spacing w:after="0" w:line="193" w:lineRule="exact"/>
        <w:rPr>
          <w:sz w:val="20"/>
          <w:szCs w:val="20"/>
          <w:color w:val="auto"/>
        </w:rPr>
      </w:pPr>
    </w:p>
    <w:p>
      <w:pPr>
        <w:ind w:firstLine="427"/>
        <w:spacing w:after="0" w:line="237" w:lineRule="auto"/>
        <w:rPr>
          <w:sz w:val="20"/>
          <w:szCs w:val="20"/>
          <w:color w:val="auto"/>
        </w:rPr>
      </w:pPr>
      <w:r>
        <w:rPr>
          <w:rFonts w:ascii="Arial" w:cs="Arial" w:eastAsia="Arial" w:hAnsi="Arial"/>
          <w:sz w:val="16"/>
          <w:szCs w:val="16"/>
          <w:color w:val="auto"/>
        </w:rPr>
        <w:t>Alternatively, a U.S. Holder can make an election, if we provide the necessary information, to treat us and each lower-tier PFIC (if any) as a qualified electing fund (a "QEF Election") in the first taxable year we (and any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we control to provide such information.</w:t>
      </w:r>
    </w:p>
    <w:p>
      <w:pPr>
        <w:spacing w:after="0" w:line="188"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Accordingly, a QEF election may accelerate the recognition of income without a corresponding receipt of cash. If a U.S. Holder makes a QEF Election with respect to us, any distributions paid by us out of our earnings and profits that were previously included in the holder's income under the QEF Election would not be taxable to the holder. A U.S. Holder will increase its tax basis in its Class A common shares by an amount equal to any income included under the QEF Election and will decrease its tax basis by any amount distributed that is not included in the holder's income. In addition, a U.S. Holder will recognize capital gain or loss on the disposition of Class A common shares in an amount equal to the difference between the amount realized and the holder's adjusted tax basis in the Class A common shares. U.S. Holders should note that if they make QEF Elections with respect to us and any lower-tier PFICs, they may be required to pay U.S. federal income tax with respect to their Class A common shares for any taxable year significantly in excess of any cash distributions received in such taxable year. U.S. Holders should consult their tax advisors regarding making QEF Elections in their particular circumstances.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12" w:name="page213"/>
    <w:bookmarkEnd w:id="2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40" w:firstLine="436"/>
        <w:spacing w:after="0" w:line="241" w:lineRule="auto"/>
        <w:rPr>
          <w:sz w:val="20"/>
          <w:szCs w:val="20"/>
          <w:color w:val="auto"/>
        </w:rPr>
      </w:pPr>
      <w:r>
        <w:rPr>
          <w:rFonts w:ascii="Arial" w:cs="Arial" w:eastAsia="Arial" w:hAnsi="Arial"/>
          <w:sz w:val="16"/>
          <w:szCs w:val="16"/>
          <w:color w:val="auto"/>
        </w:rPr>
        <w:t>If we are considered a PFIC, a U.S. Holder will also be subject to annual information reporting requirements. U.S. Holders should consult their tax advisors about the potential application of the PFIC rules to an investment in Class A common shares.</w:t>
      </w:r>
    </w:p>
    <w:p>
      <w:pPr>
        <w:spacing w:after="0" w:line="165"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b w:val="1"/>
          <w:bCs w:val="1"/>
          <w:color w:val="auto"/>
        </w:rPr>
        <w:t>YOU ARE STRONGLY URGED TO CONSULT YOUR TAX ADVISOR REGARDING THE APPLICATION OF THE PFIC RULES TO YOUR INVESTMENT IN OUR Class A common shares.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210" w:lineRule="exact"/>
        <w:rPr>
          <w:sz w:val="20"/>
          <w:szCs w:val="20"/>
          <w:color w:val="auto"/>
        </w:rPr>
      </w:pPr>
    </w:p>
    <w:p>
      <w:pPr>
        <w:ind w:right="280" w:firstLine="436"/>
        <w:spacing w:after="0" w:line="262" w:lineRule="auto"/>
        <w:rPr>
          <w:sz w:val="20"/>
          <w:szCs w:val="20"/>
          <w:color w:val="auto"/>
        </w:rPr>
      </w:pPr>
      <w:r>
        <w:rPr>
          <w:rFonts w:ascii="Arial" w:cs="Arial" w:eastAsia="Arial" w:hAnsi="Arial"/>
          <w:sz w:val="15"/>
          <w:szCs w:val="15"/>
          <w:color w:val="auto"/>
        </w:rPr>
        <w:t>Dividend payments with respect to Class A common shares and proceeds from the sale, exchange or other disposition of Class A common shares may be subject to information reporting to the IRS and U.S. backup withholding. Certain U.S. Holders are exempt from backup withholding, including corporations and certain tax-exempt organizations. A U.S. Holder will be subject to backup withholding if such holder is not otherwise exempt and such holder:</w:t>
      </w:r>
    </w:p>
    <w:p>
      <w:pPr>
        <w:spacing w:after="0" w:line="171" w:lineRule="exact"/>
        <w:rPr>
          <w:sz w:val="20"/>
          <w:szCs w:val="20"/>
          <w:color w:val="auto"/>
        </w:rPr>
      </w:pPr>
    </w:p>
    <w:p>
      <w:pPr>
        <w:ind w:left="960" w:hanging="481"/>
        <w:spacing w:after="0"/>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fails to furnish the holder's taxpayer identification number, which for an individual is ordinarily his or her social security number;</w:t>
      </w:r>
    </w:p>
    <w:p>
      <w:pPr>
        <w:spacing w:after="0" w:line="189" w:lineRule="exact"/>
        <w:rPr>
          <w:rFonts w:ascii="Arial" w:cs="Arial" w:eastAsia="Arial" w:hAnsi="Arial"/>
          <w:sz w:val="16"/>
          <w:szCs w:val="16"/>
          <w:color w:val="auto"/>
        </w:rPr>
      </w:pPr>
    </w:p>
    <w:p>
      <w:pPr>
        <w:ind w:left="960" w:hanging="481"/>
        <w:spacing w:after="0"/>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furnishes an incorrect taxpayer identification number;</w:t>
      </w:r>
    </w:p>
    <w:p>
      <w:pPr>
        <w:spacing w:after="0" w:line="177" w:lineRule="exact"/>
        <w:rPr>
          <w:rFonts w:ascii="Arial" w:cs="Arial" w:eastAsia="Arial" w:hAnsi="Arial"/>
          <w:sz w:val="16"/>
          <w:szCs w:val="16"/>
          <w:color w:val="auto"/>
        </w:rPr>
      </w:pPr>
    </w:p>
    <w:p>
      <w:pPr>
        <w:ind w:left="960" w:hanging="481"/>
        <w:spacing w:after="0"/>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is notified by the IRS that the holder previously failed to properly report payments of interest or dividends; or</w:t>
      </w:r>
    </w:p>
    <w:p>
      <w:pPr>
        <w:spacing w:after="0" w:line="177" w:lineRule="exact"/>
        <w:rPr>
          <w:rFonts w:ascii="Arial" w:cs="Arial" w:eastAsia="Arial" w:hAnsi="Arial"/>
          <w:sz w:val="16"/>
          <w:szCs w:val="16"/>
          <w:color w:val="auto"/>
        </w:rPr>
      </w:pPr>
    </w:p>
    <w:p>
      <w:pPr>
        <w:ind w:left="960" w:right="320" w:hanging="481"/>
        <w:spacing w:after="0" w:line="241" w:lineRule="auto"/>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fails to certify under penalties of perjury that the holder has furnished a correct taxpayer identification number and that the IRS has not notified the holder that the holder is subject to backup withholding.</w:t>
      </w:r>
    </w:p>
    <w:p>
      <w:pPr>
        <w:spacing w:after="0" w:line="185" w:lineRule="exact"/>
        <w:rPr>
          <w:sz w:val="20"/>
          <w:szCs w:val="20"/>
          <w:color w:val="auto"/>
        </w:rPr>
      </w:pPr>
    </w:p>
    <w:p>
      <w:pPr>
        <w:ind w:right="400" w:firstLine="436"/>
        <w:spacing w:after="0" w:line="239"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Reporting Requirements</w:t>
      </w:r>
    </w:p>
    <w:p>
      <w:pPr>
        <w:spacing w:after="0" w:line="210"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Certain U.S. Holders who are individuals (and certain entities) that hold an interest in "specified foreign financial assets" (which may include the Class A common shares) are required to report information relating to such assets, subject to certain exceptions (including an exception for Class A common shares held in accounts maintained by certain financial institutions). Penalties can apply if U.S. Holders fail to satisfy such reporting requirements. U.S. Holders should consult their tax advisors regarding the applicability of these requirements to their acquisition and ownership of Class A common shares.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3" w:name="page214"/>
    <w:bookmarkEnd w:id="2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UNDERWRITING</w:t>
      </w:r>
    </w:p>
    <w:p>
      <w:pPr>
        <w:spacing w:after="0" w:line="210" w:lineRule="exact"/>
        <w:rPr>
          <w:sz w:val="20"/>
          <w:szCs w:val="20"/>
          <w:color w:val="auto"/>
        </w:rPr>
      </w:pPr>
    </w:p>
    <w:p>
      <w:pPr>
        <w:jc w:val="both"/>
        <w:ind w:right="300" w:firstLine="433"/>
        <w:spacing w:after="0" w:line="239" w:lineRule="auto"/>
        <w:rPr>
          <w:sz w:val="20"/>
          <w:szCs w:val="20"/>
          <w:color w:val="auto"/>
        </w:rPr>
      </w:pPr>
      <w:r>
        <w:rPr>
          <w:rFonts w:ascii="Arial" w:cs="Arial" w:eastAsia="Arial" w:hAnsi="Arial"/>
          <w:sz w:val="16"/>
          <w:szCs w:val="16"/>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J.P. Morgan Securities LLC are the representatives of the underwriters.</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6620" w:type="dxa"/>
            <w:vAlign w:val="bottom"/>
            <w:gridSpan w:val="3"/>
          </w:tcPr>
          <w:p>
            <w:pPr>
              <w:ind w:left="2760"/>
              <w:spacing w:after="0"/>
              <w:rPr>
                <w:sz w:val="20"/>
                <w:szCs w:val="20"/>
                <w:color w:val="auto"/>
              </w:rPr>
            </w:pPr>
            <w:r>
              <w:rPr>
                <w:rFonts w:ascii="Arial" w:cs="Arial" w:eastAsia="Arial" w:hAnsi="Arial"/>
                <w:sz w:val="16"/>
                <w:szCs w:val="16"/>
                <w:b w:val="1"/>
                <w:bCs w:val="1"/>
                <w:color w:val="auto"/>
              </w:rPr>
              <w:t>Underwriters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Number of Shares</w:t>
            </w:r>
          </w:p>
        </w:tc>
      </w:tr>
      <w:tr>
        <w:trPr>
          <w:trHeight w:val="20"/>
        </w:trPr>
        <w:tc>
          <w:tcPr>
            <w:tcW w:w="27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9"/>
        </w:trPr>
        <w:tc>
          <w:tcPr>
            <w:tcW w:w="6620" w:type="dxa"/>
            <w:vAlign w:val="bottom"/>
            <w:gridSpan w:val="3"/>
            <w:shd w:val="clear" w:color="auto" w:fill="CCEEFF"/>
          </w:tcPr>
          <w:p>
            <w:pPr>
              <w:ind w:left="180"/>
              <w:spacing w:after="0" w:line="169" w:lineRule="exact"/>
              <w:rPr>
                <w:sz w:val="20"/>
                <w:szCs w:val="20"/>
                <w:color w:val="auto"/>
              </w:rPr>
            </w:pPr>
            <w:r>
              <w:rPr>
                <w:rFonts w:ascii="Arial" w:cs="Arial" w:eastAsia="Arial" w:hAnsi="Arial"/>
                <w:sz w:val="16"/>
                <w:szCs w:val="16"/>
                <w:color w:val="auto"/>
              </w:rPr>
              <w:t>Goldman Sachs &amp; Co. LLC</w:t>
            </w:r>
          </w:p>
        </w:tc>
        <w:tc>
          <w:tcPr>
            <w:tcW w:w="1380" w:type="dxa"/>
            <w:vAlign w:val="bottom"/>
            <w:shd w:val="clear" w:color="auto" w:fill="CCEEFF"/>
          </w:tcPr>
          <w:p>
            <w:pPr>
              <w:spacing w:after="0"/>
              <w:rPr>
                <w:sz w:val="14"/>
                <w:szCs w:val="14"/>
                <w:color w:val="auto"/>
              </w:rPr>
            </w:pPr>
          </w:p>
        </w:tc>
      </w:tr>
      <w:tr>
        <w:trPr>
          <w:trHeight w:val="181"/>
        </w:trPr>
        <w:tc>
          <w:tcPr>
            <w:tcW w:w="6620" w:type="dxa"/>
            <w:vAlign w:val="bottom"/>
            <w:gridSpan w:val="3"/>
          </w:tcPr>
          <w:p>
            <w:pPr>
              <w:ind w:left="180"/>
              <w:spacing w:after="0" w:line="181" w:lineRule="exact"/>
              <w:rPr>
                <w:sz w:val="20"/>
                <w:szCs w:val="20"/>
                <w:color w:val="auto"/>
              </w:rPr>
            </w:pPr>
            <w:r>
              <w:rPr>
                <w:rFonts w:ascii="Arial" w:cs="Arial" w:eastAsia="Arial" w:hAnsi="Arial"/>
                <w:sz w:val="16"/>
                <w:szCs w:val="16"/>
                <w:color w:val="auto"/>
              </w:rPr>
              <w:t>J.P. Morgan Securities LLC</w:t>
            </w:r>
          </w:p>
        </w:tc>
        <w:tc>
          <w:tcPr>
            <w:tcW w:w="1380" w:type="dxa"/>
            <w:vAlign w:val="bottom"/>
          </w:tcPr>
          <w:p>
            <w:pPr>
              <w:spacing w:after="0"/>
              <w:rPr>
                <w:sz w:val="15"/>
                <w:szCs w:val="15"/>
                <w:color w:val="auto"/>
              </w:rPr>
            </w:pPr>
          </w:p>
        </w:tc>
      </w:tr>
      <w:tr>
        <w:trPr>
          <w:trHeight w:val="181"/>
        </w:trPr>
        <w:tc>
          <w:tcPr>
            <w:tcW w:w="6620" w:type="dxa"/>
            <w:vAlign w:val="bottom"/>
            <w:gridSpan w:val="3"/>
            <w:shd w:val="clear" w:color="auto" w:fill="CCEEFF"/>
          </w:tcPr>
          <w:p>
            <w:pPr>
              <w:ind w:left="180"/>
              <w:spacing w:after="0" w:line="181" w:lineRule="exact"/>
              <w:rPr>
                <w:sz w:val="20"/>
                <w:szCs w:val="20"/>
                <w:color w:val="auto"/>
              </w:rPr>
            </w:pPr>
            <w:r>
              <w:rPr>
                <w:rFonts w:ascii="Arial" w:cs="Arial" w:eastAsia="Arial" w:hAnsi="Arial"/>
                <w:sz w:val="16"/>
                <w:szCs w:val="16"/>
                <w:color w:val="auto"/>
              </w:rPr>
              <w:t>JMP Securities LLC</w:t>
            </w:r>
          </w:p>
        </w:tc>
        <w:tc>
          <w:tcPr>
            <w:tcW w:w="1380" w:type="dxa"/>
            <w:vAlign w:val="bottom"/>
            <w:shd w:val="clear" w:color="auto" w:fill="CCEEFF"/>
          </w:tcPr>
          <w:p>
            <w:pPr>
              <w:spacing w:after="0"/>
              <w:rPr>
                <w:sz w:val="15"/>
                <w:szCs w:val="15"/>
                <w:color w:val="auto"/>
              </w:rPr>
            </w:pPr>
          </w:p>
        </w:tc>
      </w:tr>
      <w:tr>
        <w:trPr>
          <w:trHeight w:val="181"/>
        </w:trPr>
        <w:tc>
          <w:tcPr>
            <w:tcW w:w="6620" w:type="dxa"/>
            <w:vAlign w:val="bottom"/>
            <w:gridSpan w:val="3"/>
          </w:tcPr>
          <w:p>
            <w:pPr>
              <w:ind w:left="180"/>
              <w:spacing w:after="0" w:line="181" w:lineRule="exact"/>
              <w:rPr>
                <w:sz w:val="20"/>
                <w:szCs w:val="20"/>
                <w:color w:val="auto"/>
              </w:rPr>
            </w:pPr>
            <w:r>
              <w:rPr>
                <w:rFonts w:ascii="Arial" w:cs="Arial" w:eastAsia="Arial" w:hAnsi="Arial"/>
                <w:sz w:val="16"/>
                <w:szCs w:val="16"/>
                <w:color w:val="auto"/>
              </w:rPr>
              <w:t>Wedbush Securities Inc.</w:t>
            </w:r>
          </w:p>
        </w:tc>
        <w:tc>
          <w:tcPr>
            <w:tcW w:w="1380" w:type="dxa"/>
            <w:vAlign w:val="bottom"/>
            <w:tcBorders>
              <w:bottom w:val="single" w:sz="8" w:color="auto"/>
            </w:tcBorders>
          </w:tcPr>
          <w:p>
            <w:pPr>
              <w:spacing w:after="0"/>
              <w:rPr>
                <w:sz w:val="15"/>
                <w:szCs w:val="15"/>
                <w:color w:val="auto"/>
              </w:rPr>
            </w:pPr>
          </w:p>
        </w:tc>
      </w:tr>
      <w:tr>
        <w:trPr>
          <w:trHeight w:val="173"/>
        </w:trPr>
        <w:tc>
          <w:tcPr>
            <w:tcW w:w="6620" w:type="dxa"/>
            <w:vAlign w:val="bottom"/>
            <w:gridSpan w:val="3"/>
            <w:shd w:val="clear" w:color="auto" w:fill="CCEEFF"/>
          </w:tcPr>
          <w:p>
            <w:pPr>
              <w:ind w:left="340"/>
              <w:spacing w:after="0" w:line="173" w:lineRule="exact"/>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shd w:val="clear" w:color="auto" w:fill="CCEEFF"/>
          </w:tcPr>
          <w:p>
            <w:pPr>
              <w:jc w:val="right"/>
              <w:ind w:right="262"/>
              <w:spacing w:after="0" w:line="173" w:lineRule="exact"/>
              <w:rPr>
                <w:sz w:val="20"/>
                <w:szCs w:val="20"/>
                <w:color w:val="auto"/>
              </w:rPr>
            </w:pPr>
            <w:r>
              <w:rPr>
                <w:rFonts w:ascii="Arial" w:cs="Arial" w:eastAsia="Arial" w:hAnsi="Arial"/>
                <w:sz w:val="16"/>
                <w:szCs w:val="16"/>
                <w:color w:val="auto"/>
              </w:rPr>
              <w:t>7,000,000</w:t>
            </w:r>
          </w:p>
        </w:tc>
      </w:tr>
      <w:tr>
        <w:trPr>
          <w:trHeight w:val="20"/>
        </w:trPr>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20" w:firstLine="433"/>
        <w:spacing w:after="0" w:line="241" w:lineRule="auto"/>
        <w:rPr>
          <w:sz w:val="20"/>
          <w:szCs w:val="20"/>
          <w:color w:val="auto"/>
        </w:rPr>
      </w:pPr>
      <w:r>
        <w:rPr>
          <w:rFonts w:ascii="Arial" w:cs="Arial" w:eastAsia="Arial" w:hAnsi="Arial"/>
          <w:sz w:val="16"/>
          <w:szCs w:val="16"/>
          <w:color w:val="auto"/>
        </w:rPr>
        <w:t>The underwriters will be committed to take and pay for all of the shares being offered, if any are taken, other than the shares covered by the option described below unless and until this option is exercised.</w:t>
      </w:r>
    </w:p>
    <w:p>
      <w:pPr>
        <w:spacing w:after="0" w:line="185" w:lineRule="exact"/>
        <w:rPr>
          <w:sz w:val="20"/>
          <w:szCs w:val="20"/>
          <w:color w:val="auto"/>
        </w:rPr>
      </w:pPr>
    </w:p>
    <w:p>
      <w:pPr>
        <w:ind w:right="100" w:firstLine="433"/>
        <w:spacing w:after="0" w:line="239" w:lineRule="auto"/>
        <w:rPr>
          <w:sz w:val="20"/>
          <w:szCs w:val="20"/>
          <w:color w:val="auto"/>
        </w:rPr>
      </w:pPr>
      <w:r>
        <w:rPr>
          <w:rFonts w:ascii="Arial" w:cs="Arial" w:eastAsia="Arial" w:hAnsi="Arial"/>
          <w:sz w:val="16"/>
          <w:szCs w:val="16"/>
          <w:color w:val="auto"/>
        </w:rPr>
        <w:t>The underwriters will have an option to buy up to an additional 1,050,000 Class A common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86" w:lineRule="exact"/>
        <w:rPr>
          <w:sz w:val="20"/>
          <w:szCs w:val="20"/>
          <w:color w:val="auto"/>
        </w:rPr>
      </w:pPr>
    </w:p>
    <w:p>
      <w:pPr>
        <w:ind w:right="160" w:firstLine="433"/>
        <w:spacing w:after="0" w:line="241"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the company. Such amounts are shown assuming both no exercise and full exercise of the underwriters' option to purchase 1,050,000 additional Class A common shares.</w:t>
      </w:r>
    </w:p>
    <w:p>
      <w:pPr>
        <w:spacing w:after="0" w:line="336"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Paid by the Company</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94"/>
        </w:trPr>
        <w:tc>
          <w:tcPr>
            <w:tcW w:w="3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96"/>
              </w:rPr>
              <w:t>No Exercise</w:t>
            </w:r>
          </w:p>
        </w:tc>
        <w:tc>
          <w:tcPr>
            <w:tcW w:w="1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Full Exercise</w:t>
            </w:r>
          </w:p>
        </w:tc>
        <w:tc>
          <w:tcPr>
            <w:tcW w:w="140" w:type="dxa"/>
            <w:vAlign w:val="bottom"/>
          </w:tcPr>
          <w:p>
            <w:pPr>
              <w:spacing w:after="0"/>
              <w:rPr>
                <w:sz w:val="24"/>
                <w:szCs w:val="24"/>
                <w:color w:val="auto"/>
              </w:rPr>
            </w:pPr>
          </w:p>
        </w:tc>
      </w:tr>
      <w:tr>
        <w:trPr>
          <w:trHeight w:val="181"/>
        </w:trPr>
        <w:tc>
          <w:tcPr>
            <w:tcW w:w="32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Per Share</w:t>
            </w:r>
          </w:p>
        </w:tc>
        <w:tc>
          <w:tcPr>
            <w:tcW w:w="15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422"/>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r>
      <w:tr>
        <w:trPr>
          <w:trHeight w:val="191"/>
        </w:trPr>
        <w:tc>
          <w:tcPr>
            <w:tcW w:w="3240" w:type="dxa"/>
            <w:vAlign w:val="bottom"/>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1740" w:type="dxa"/>
            <w:vAlign w:val="bottom"/>
            <w:gridSpan w:val="2"/>
          </w:tcPr>
          <w:p>
            <w:pPr>
              <w:jc w:val="right"/>
              <w:ind w:right="14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r>
    </w:tbl>
    <w:p>
      <w:pPr>
        <w:spacing w:after="0" w:line="18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Shares sold by the underwriters to the public will initially be offered at the initial public offering price set forth on the cover of this prospectus. Any shares sold</w:t>
      </w:r>
    </w:p>
    <w:p>
      <w:pPr>
        <w:spacing w:after="0" w:line="8" w:lineRule="exact"/>
        <w:rPr>
          <w:sz w:val="20"/>
          <w:szCs w:val="20"/>
          <w:color w:val="auto"/>
        </w:rPr>
      </w:pPr>
    </w:p>
    <w:p>
      <w:pPr>
        <w:ind w:right="400"/>
        <w:spacing w:after="0" w:line="239" w:lineRule="auto"/>
        <w:rPr>
          <w:sz w:val="20"/>
          <w:szCs w:val="20"/>
          <w:color w:val="auto"/>
        </w:rPr>
      </w:pPr>
      <w:r>
        <w:rPr>
          <w:rFonts w:ascii="Arial" w:cs="Arial" w:eastAsia="Arial" w:hAnsi="Arial"/>
          <w:sz w:val="16"/>
          <w:szCs w:val="16"/>
          <w:color w:val="auto"/>
        </w:rPr>
        <w:t>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6" w:lineRule="exact"/>
        <w:rPr>
          <w:sz w:val="20"/>
          <w:szCs w:val="20"/>
          <w:color w:val="auto"/>
        </w:rPr>
      </w:pPr>
    </w:p>
    <w:p>
      <w:pPr>
        <w:ind w:right="100" w:firstLine="433"/>
        <w:spacing w:after="0" w:line="237" w:lineRule="auto"/>
        <w:rPr>
          <w:sz w:val="20"/>
          <w:szCs w:val="20"/>
          <w:color w:val="auto"/>
        </w:rPr>
      </w:pPr>
      <w:r>
        <w:rPr>
          <w:rFonts w:ascii="Arial" w:cs="Arial" w:eastAsia="Arial" w:hAnsi="Arial"/>
          <w:sz w:val="16"/>
          <w:szCs w:val="16"/>
          <w:color w:val="auto"/>
        </w:rPr>
        <w:t>The company and its officers, directors and holders of substantially all of the company's common shares have agreed or will agree with the underwriters, subject to certain exceptions, not to dispose of or hedge any of their common shares or securities convertible into or exchangeable for common shares during the period from the date of this prospectus continuing through the date 180 days after the date of this prospectus, except with the prior written consent of the representatives. This agreement does not apply to any existing employee benefit plans. See the section entitled "Shares Eligible for Future Sale" for a discussion of certain transfer restrictions.</w:t>
      </w:r>
    </w:p>
    <w:p>
      <w:pPr>
        <w:spacing w:after="0" w:line="189"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4" w:name="page215"/>
    <w:bookmarkEnd w:id="2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consideration of the above factors in relation to market valuation of companies in related businesses.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applied to have our Class A common shares listed on The Nasdaq Global Select Market under the symbol "KNSA."</w:t>
      </w:r>
    </w:p>
    <w:p>
      <w:pPr>
        <w:spacing w:after="0" w:line="190" w:lineRule="exact"/>
        <w:rPr>
          <w:sz w:val="20"/>
          <w:szCs w:val="20"/>
          <w:color w:val="auto"/>
        </w:rPr>
      </w:pPr>
    </w:p>
    <w:p>
      <w:pPr>
        <w:ind w:right="40" w:firstLine="436"/>
        <w:spacing w:after="0" w:line="236" w:lineRule="auto"/>
        <w:rPr>
          <w:sz w:val="20"/>
          <w:szCs w:val="20"/>
          <w:color w:val="auto"/>
        </w:rPr>
      </w:pPr>
      <w:r>
        <w:rPr>
          <w:rFonts w:ascii="Arial" w:cs="Arial" w:eastAsia="Arial" w:hAnsi="Arial"/>
          <w:sz w:val="16"/>
          <w:szCs w:val="16"/>
          <w:color w:val="auto"/>
        </w:rPr>
        <w:t>In connection with the offering, the underwriters may purchase and sell common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Class A common shares for which the underwriters' option described above may be exercised. The underwriters may cover any covered short position by either exercising their option to purchase additional Class A common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Class A common shares pursuant to the option described above. "Naked" short sales are any short sales that create a short position greater than the amount of additional Class A common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common shares made by the underwriters in the open market prior to the completion of the offering.</w:t>
      </w:r>
    </w:p>
    <w:p>
      <w:pPr>
        <w:spacing w:after="0" w:line="193" w:lineRule="exact"/>
        <w:rPr>
          <w:sz w:val="20"/>
          <w:szCs w:val="20"/>
          <w:color w:val="auto"/>
        </w:rPr>
      </w:pPr>
    </w:p>
    <w:p>
      <w:pPr>
        <w:ind w:right="180" w:firstLine="433"/>
        <w:spacing w:after="0" w:line="273"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2"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company's common shares, and together with the imposition of the penalty bid, may stabilize, maintain or otherwise affect the market price of the common shares. As a result, the price of the common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estimates that its share of the total expenses of the offering, excluding underwriting discounts and commissions, will be approximately</w:t>
      </w:r>
    </w:p>
    <w:p>
      <w:pPr>
        <w:spacing w:after="0" w:line="236" w:lineRule="auto"/>
        <w:rPr>
          <w:sz w:val="20"/>
          <w:szCs w:val="20"/>
          <w:color w:val="auto"/>
        </w:rPr>
      </w:pPr>
      <w:r>
        <w:rPr>
          <w:rFonts w:ascii="Arial" w:cs="Arial" w:eastAsia="Arial" w:hAnsi="Arial"/>
          <w:sz w:val="16"/>
          <w:szCs w:val="16"/>
          <w:color w:val="auto"/>
        </w:rPr>
        <w:t>$3.8 million. We will agree to reimburse the underwriters for expenses related to any applicable state securities filings and to the Financial Industry Regulatory</w:t>
      </w:r>
    </w:p>
    <w:p>
      <w:pPr>
        <w:spacing w:after="0"/>
        <w:rPr>
          <w:sz w:val="20"/>
          <w:szCs w:val="20"/>
          <w:color w:val="auto"/>
        </w:rPr>
      </w:pPr>
      <w:r>
        <w:rPr>
          <w:rFonts w:ascii="Arial" w:cs="Arial" w:eastAsia="Arial" w:hAnsi="Arial"/>
          <w:sz w:val="16"/>
          <w:szCs w:val="16"/>
          <w:color w:val="auto"/>
        </w:rPr>
        <w:t>Authority incurred by them in connection with this offering in an amount up to $30,000.</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has agreed to indemnify the several underwriters against certain liabilities, including liabilities under the Securities Act of 1933.</w:t>
      </w:r>
    </w:p>
    <w:p>
      <w:pPr>
        <w:spacing w:after="0" w:line="190" w:lineRule="exact"/>
        <w:rPr>
          <w:sz w:val="20"/>
          <w:szCs w:val="20"/>
          <w:color w:val="auto"/>
        </w:rPr>
      </w:pPr>
    </w:p>
    <w:p>
      <w:pPr>
        <w:ind w:right="20" w:firstLine="433"/>
        <w:spacing w:after="0" w:line="262"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15" w:name="page216"/>
    <w:bookmarkEnd w:id="2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these services to the issuer and to persons and entities with relationships with the issuer, for which they received or will receive customary fees and expenses.</w:t>
      </w:r>
    </w:p>
    <w:p>
      <w:pPr>
        <w:spacing w:after="0" w:line="190"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8" w:lineRule="exact"/>
        <w:rPr>
          <w:sz w:val="20"/>
          <w:szCs w:val="20"/>
          <w:color w:val="auto"/>
        </w:rPr>
      </w:pPr>
    </w:p>
    <w:p>
      <w:pPr>
        <w:ind w:right="60" w:firstLine="427"/>
        <w:spacing w:after="0" w:line="23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Sales of shares made outside of the United States may be made by affiliates of the underwriters. 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Selling Restrictions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European Economic Area</w:t>
      </w:r>
    </w:p>
    <w:p>
      <w:pPr>
        <w:spacing w:after="0" w:line="206" w:lineRule="exact"/>
        <w:rPr>
          <w:sz w:val="20"/>
          <w:szCs w:val="20"/>
          <w:color w:val="auto"/>
        </w:rPr>
      </w:pPr>
    </w:p>
    <w:p>
      <w:pPr>
        <w:jc w:val="both"/>
        <w:ind w:right="280" w:firstLine="436"/>
        <w:spacing w:after="0" w:line="239"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86" w:lineRule="exact"/>
        <w:rPr>
          <w:sz w:val="20"/>
          <w:szCs w:val="20"/>
          <w:color w:val="auto"/>
        </w:rPr>
      </w:pPr>
    </w:p>
    <w:p>
      <w:pPr>
        <w:ind w:left="960" w:hanging="481"/>
        <w:spacing w:after="0"/>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w:t>
      </w:r>
    </w:p>
    <w:p>
      <w:pPr>
        <w:spacing w:after="0" w:line="189" w:lineRule="exact"/>
        <w:rPr>
          <w:rFonts w:ascii="Arial" w:cs="Arial" w:eastAsia="Arial" w:hAnsi="Arial"/>
          <w:sz w:val="16"/>
          <w:szCs w:val="16"/>
          <w:color w:val="auto"/>
        </w:rPr>
      </w:pPr>
    </w:p>
    <w:p>
      <w:pPr>
        <w:ind w:left="960" w:right="60" w:hanging="481"/>
        <w:spacing w:after="0" w:line="241" w:lineRule="auto"/>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in the Prospectus Directive), subject to obtaining the prior consent of the Goldman, Sachs &amp; Co. LLC and J.P. Morgan Securities LLC for any such offer; or</w:t>
      </w:r>
    </w:p>
    <w:p>
      <w:pPr>
        <w:spacing w:after="0" w:line="173" w:lineRule="exact"/>
        <w:rPr>
          <w:rFonts w:ascii="Arial" w:cs="Arial" w:eastAsia="Arial" w:hAnsi="Arial"/>
          <w:sz w:val="16"/>
          <w:szCs w:val="16"/>
          <w:color w:val="auto"/>
        </w:rPr>
      </w:pPr>
    </w:p>
    <w:p>
      <w:pPr>
        <w:ind w:left="960" w:hanging="481"/>
        <w:spacing w:after="0"/>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w:t>
      </w:r>
    </w:p>
    <w:p>
      <w:pPr>
        <w:spacing w:after="0" w:line="19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provided that no such offer of our common shares shall result in a requirement for the publication by us or any Brazilian placement agent of a prospectus pursuant to Article 3 of the Prospectus Directive.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6" w:name="page217"/>
    <w:bookmarkEnd w:id="2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80" w:firstLine="436"/>
        <w:spacing w:after="0" w:line="237" w:lineRule="auto"/>
        <w:rPr>
          <w:sz w:val="20"/>
          <w:szCs w:val="20"/>
          <w:color w:val="auto"/>
        </w:rPr>
      </w:pPr>
      <w:r>
        <w:rPr>
          <w:rFonts w:ascii="Arial" w:cs="Arial" w:eastAsia="Arial" w:hAnsi="Arial"/>
          <w:sz w:val="16"/>
          <w:szCs w:val="16"/>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European Economic Area selling restriction is in addition to any other selling restrictions set out below.</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United Kingdom</w:t>
      </w:r>
    </w:p>
    <w:p>
      <w:pPr>
        <w:spacing w:after="0" w:line="206"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Canada</w:t>
      </w:r>
    </w:p>
    <w:p>
      <w:pPr>
        <w:spacing w:after="0" w:line="206" w:lineRule="exact"/>
        <w:rPr>
          <w:sz w:val="20"/>
          <w:szCs w:val="20"/>
          <w:color w:val="auto"/>
        </w:rPr>
      </w:pPr>
    </w:p>
    <w:p>
      <w:pPr>
        <w:ind w:right="220" w:firstLine="433"/>
        <w:spacing w:after="0" w:line="238"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7"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7" w:lineRule="exact"/>
        <w:rPr>
          <w:sz w:val="20"/>
          <w:szCs w:val="20"/>
          <w:color w:val="auto"/>
        </w:rPr>
      </w:pPr>
    </w:p>
    <w:p>
      <w:pPr>
        <w:ind w:right="380" w:firstLine="436"/>
        <w:spacing w:after="0" w:line="241"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Hong Kong</w:t>
      </w:r>
    </w:p>
    <w:p>
      <w:pPr>
        <w:spacing w:after="0" w:line="206" w:lineRule="exact"/>
        <w:rPr>
          <w:sz w:val="20"/>
          <w:szCs w:val="20"/>
          <w:color w:val="auto"/>
        </w:rPr>
      </w:pPr>
    </w:p>
    <w:p>
      <w:pPr>
        <w:ind w:right="100" w:firstLine="433"/>
        <w:spacing w:after="0" w:line="237"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17" w:name="page218"/>
    <w:bookmarkEnd w:id="2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Singapore</w:t>
      </w:r>
    </w:p>
    <w:p>
      <w:pPr>
        <w:spacing w:after="0" w:line="206" w:lineRule="exact"/>
        <w:rPr>
          <w:sz w:val="20"/>
          <w:szCs w:val="20"/>
          <w:color w:val="auto"/>
        </w:rPr>
      </w:pPr>
    </w:p>
    <w:p>
      <w:pPr>
        <w:ind w:right="200" w:firstLine="433"/>
        <w:spacing w:after="0" w:line="23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8" w:lineRule="exact"/>
        <w:rPr>
          <w:sz w:val="20"/>
          <w:szCs w:val="20"/>
          <w:color w:val="auto"/>
        </w:rPr>
      </w:pPr>
    </w:p>
    <w:p>
      <w:pPr>
        <w:ind w:right="100" w:firstLine="436"/>
        <w:spacing w:after="0" w:line="255"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7"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Japan</w:t>
      </w:r>
    </w:p>
    <w:p>
      <w:pPr>
        <w:spacing w:after="0" w:line="206"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8" w:name="page219"/>
    <w:bookmarkEnd w:id="2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LEGAL MATTERS</w:t>
      </w:r>
    </w:p>
    <w:p>
      <w:pPr>
        <w:spacing w:after="0" w:line="210" w:lineRule="exact"/>
        <w:rPr>
          <w:sz w:val="20"/>
          <w:szCs w:val="20"/>
          <w:color w:val="auto"/>
        </w:rPr>
      </w:pPr>
    </w:p>
    <w:p>
      <w:pPr>
        <w:ind w:right="100" w:firstLine="433"/>
        <w:spacing w:after="0" w:line="239" w:lineRule="auto"/>
        <w:rPr>
          <w:sz w:val="20"/>
          <w:szCs w:val="20"/>
          <w:color w:val="auto"/>
        </w:rPr>
      </w:pPr>
      <w:r>
        <w:rPr>
          <w:rFonts w:ascii="Arial" w:cs="Arial" w:eastAsia="Arial" w:hAnsi="Arial"/>
          <w:sz w:val="16"/>
          <w:szCs w:val="16"/>
          <w:color w:val="auto"/>
        </w:rPr>
        <w:t>The validity of the Class A common shares offered hereby will be passed upon for us by Conyers Dill &amp; Pearman Limited. Certain legal matters as to U.S. law in connection with this offering will be passed upon for us by Latham &amp; Watkins LLP. Certain legal matters will be passed upon for the underwriters by Ropes &amp; Gray LLP.</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EXPERTS</w:t>
      </w:r>
    </w:p>
    <w:p>
      <w:pPr>
        <w:spacing w:after="0" w:line="210" w:lineRule="exact"/>
        <w:rPr>
          <w:sz w:val="20"/>
          <w:szCs w:val="20"/>
          <w:color w:val="auto"/>
        </w:rPr>
      </w:pPr>
    </w:p>
    <w:p>
      <w:pPr>
        <w:ind w:firstLine="433"/>
        <w:spacing w:after="0" w:line="273" w:lineRule="auto"/>
        <w:rPr>
          <w:sz w:val="20"/>
          <w:szCs w:val="20"/>
          <w:color w:val="auto"/>
        </w:rPr>
      </w:pPr>
      <w:r>
        <w:rPr>
          <w:rFonts w:ascii="Arial" w:cs="Arial" w:eastAsia="Arial" w:hAnsi="Arial"/>
          <w:sz w:val="15"/>
          <w:szCs w:val="15"/>
          <w:color w:val="auto"/>
        </w:rPr>
        <w:t>The financial statements as of December 31, 2016 and 2017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EXCHANGE CONTROLS</w:t>
      </w:r>
    </w:p>
    <w:p>
      <w:pPr>
        <w:spacing w:after="0" w:line="210"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The permission of the Bermuda Monetary Authority is required, pursuant to the provisions of the Exchange Control Act 1972 and related regulations, for all issuances and transfers of shares (which includes our Class A common shares) of Bermuda companies to or from a non-resident of Bermuda for exchange control purposes, other than in cases where the Bermuda Monetary Authority has granted a general permission. The Bermuda Monetary Authority has, pursuant to its statement of June 1, 2005, given its general permission under the Exchange Control Act 1972 (and related regulations) for the issue and free transferability of our Class A common shares to and between non-residents of Bermuda for exchange control purposes, provided that the Class A common shares remain listed on an appointed stock exchange, which includes The Nasdaq Global Select Market. 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herein. Certain issues and transfers of Class A common shares involving persons deemed resident in Bermuda for exchange control purposes require the specific consent of the Bermuda Monetary Authority.</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ENFORCEMENT OF CIVIL LIABILITIES UNDER UNITED STATES FEDERAL SECURITIES LAWS</w:t>
      </w:r>
    </w:p>
    <w:p>
      <w:pPr>
        <w:spacing w:after="0" w:line="210" w:lineRule="exact"/>
        <w:rPr>
          <w:sz w:val="20"/>
          <w:szCs w:val="20"/>
          <w:color w:val="auto"/>
        </w:rPr>
      </w:pPr>
    </w:p>
    <w:p>
      <w:pPr>
        <w:ind w:right="20" w:firstLine="436"/>
        <w:spacing w:after="0" w:line="238" w:lineRule="auto"/>
        <w:rPr>
          <w:sz w:val="20"/>
          <w:szCs w:val="20"/>
          <w:color w:val="auto"/>
        </w:rPr>
      </w:pPr>
      <w:r>
        <w:rPr>
          <w:rFonts w:ascii="Arial" w:cs="Arial" w:eastAsia="Arial" w:hAnsi="Arial"/>
          <w:sz w:val="16"/>
          <w:szCs w:val="16"/>
          <w:color w:val="auto"/>
        </w:rPr>
        <w:t>We are organized pursuant to the laws of Bermuda. In addition, it is anticipated that some or all of our directors and officers will reside outside the United States, and all or a substantial portion of our assets and their assets are or may be located in jurisdictions outside the United States. As a result, it may be difficult for you to effect service of process within the United States upon those persons or us or to recover against them or us on judgments of United States courts, including judgments predicated upon civil liability provisions of the United States federal securities laws.</w:t>
      </w:r>
    </w:p>
    <w:p>
      <w:pPr>
        <w:spacing w:after="0" w:line="187"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been advised that there is no treaty in force between the United States and Bermuda providing for the reciprocal recognition and enforcement of judgments in civil and commercial matters. As a result, whether a U.S. judgment would be enforceable in Bermuda against us or our directors and officers depends on whether the U.S. court that entered the judgment is recognized by the Bermuda court as having jurisdiction over us or our directors and officers, as determined by reference to Bermuda conflict of law rules. A judgment debt from a U.S. court that is final and for a sum certain based on U.S. federal securities laws will not be enforceable in Bermuda unless the judgment debtor had submitted to the jurisdiction of the U.S. court, and the issue of submission and jurisdiction is a matter of Bermuda (not U.S.) law.</w:t>
      </w:r>
    </w:p>
    <w:p>
      <w:pPr>
        <w:spacing w:after="0" w:line="188"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In addition, and irrespective of jurisdictional issues, the Bermuda courts will not enforce a U.S. federal securities law that is either penal or contrary to Bermuda public policy. We have been advised that an action brought pursuant to a public or penal law, the purpose of which is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9" w:name="page220"/>
    <w:bookmarkEnd w:id="2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enforcement of a sanction, power or right at the instance of the state in its sovereign capacity, will not be entertained by a Bermuda court. Certain remedies available under the laws of U.S. jurisdictions, including certain remedies under U.S. federal securities laws, would not be available under Bermuda law or enforceable in a Bermuda court, as they would be contrary to Bermuda public policy. Further, no claim may be brought in Bermuda against us or our directors and officers in the first instance for violation of U.S. federal securities laws because these laws have no extraterritorial jurisdiction under Bermuda law and do not have force of law in Bermuda. A Bermuda court may, however, impose civil liability on us or our directors and officers if the facts alleged in a complaint constitute or give rise to a cause of action under Bermuda law.</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0"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with respect to the Class A common shares offered hereby. This prospectus, which constitutes a part of the registration statement, does not contain all of the information set forth in the registration statement or the exhibits and schedules filed therewith. For further information about us and the Class A common shares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closing of this offering, we will be required to file periodic reports, proxy statements, and other information with the SEC pursuant to the Securities Exchange Act of 1934.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registrants, like us, that file electronically with SEC. The address of that site is </w:t>
      </w:r>
      <w:r>
        <w:rPr>
          <w:rFonts w:ascii="Arial" w:cs="Arial" w:eastAsia="Arial" w:hAnsi="Arial"/>
          <w:sz w:val="16"/>
          <w:szCs w:val="16"/>
          <w:i w:val="1"/>
          <w:iCs w:val="1"/>
          <w:color w:val="auto"/>
        </w:rPr>
        <w:t>www.sec.gov.</w:t>
      </w:r>
    </w:p>
    <w:p>
      <w:pPr>
        <w:spacing w:after="0" w:line="193" w:lineRule="exact"/>
        <w:rPr>
          <w:sz w:val="20"/>
          <w:szCs w:val="20"/>
          <w:color w:val="auto"/>
        </w:rPr>
      </w:pPr>
    </w:p>
    <w:p>
      <w:pPr>
        <w:ind w:right="260" w:firstLine="436"/>
        <w:spacing w:after="0" w:line="239" w:lineRule="auto"/>
        <w:rPr>
          <w:sz w:val="20"/>
          <w:szCs w:val="20"/>
          <w:color w:val="auto"/>
        </w:rPr>
      </w:pPr>
      <w:r>
        <w:rPr>
          <w:rFonts w:ascii="Arial" w:cs="Arial" w:eastAsia="Arial" w:hAnsi="Arial"/>
          <w:sz w:val="16"/>
          <w:szCs w:val="16"/>
          <w:color w:val="auto"/>
        </w:rPr>
        <w:t>Upon the closing of this offering, we will become subject to the information and periodic reporting requirements of the Exchange Act and, in accordance therewith, we will file periodic reports, proxy statements and other information with the SEC. Such periodic reports, proxy statements and other information will be available for inspection and copying at the public reference room and website of the SEC referred to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84"/>
        </w:trPr>
        <w:tc>
          <w:tcPr>
            <w:tcW w:w="9640" w:type="dxa"/>
            <w:vAlign w:val="bottom"/>
            <w:gridSpan w:val="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569"/>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6440" w:type="dxa"/>
            <w:vAlign w:val="bottom"/>
            <w:gridSpan w:val="6"/>
          </w:tcPr>
          <w:p>
            <w:pPr>
              <w:jc w:val="center"/>
              <w:ind w:right="1440"/>
              <w:spacing w:after="0"/>
              <w:rPr>
                <w:sz w:val="20"/>
                <w:szCs w:val="20"/>
                <w:color w:val="auto"/>
              </w:rPr>
            </w:pPr>
            <w:r>
              <w:rPr>
                <w:rFonts w:ascii="Arial" w:cs="Arial" w:eastAsia="Arial" w:hAnsi="Arial"/>
                <w:sz w:val="16"/>
                <w:szCs w:val="16"/>
                <w:b w:val="1"/>
                <w:bCs w:val="1"/>
                <w:color w:val="auto"/>
                <w:w w:val="97"/>
              </w:rPr>
              <w:t>INDEX TO CONSOLIDATED FINANCIAL STATEMENTS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4"/>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Page</w:t>
            </w:r>
          </w:p>
        </w:tc>
        <w:tc>
          <w:tcPr>
            <w:tcW w:w="1280" w:type="dxa"/>
            <w:vAlign w:val="bottom"/>
          </w:tcPr>
          <w:p>
            <w:pPr>
              <w:spacing w:after="0"/>
              <w:rPr>
                <w:sz w:val="24"/>
                <w:szCs w:val="24"/>
                <w:color w:val="auto"/>
              </w:rPr>
            </w:pPr>
          </w:p>
        </w:tc>
      </w:tr>
      <w:tr>
        <w:trPr>
          <w:trHeight w:val="157"/>
        </w:trPr>
        <w:tc>
          <w:tcPr>
            <w:tcW w:w="1140" w:type="dxa"/>
            <w:vAlign w:val="bottom"/>
          </w:tcPr>
          <w:p>
            <w:pPr>
              <w:spacing w:after="0"/>
              <w:rPr>
                <w:sz w:val="13"/>
                <w:szCs w:val="13"/>
                <w:color w:val="auto"/>
              </w:rPr>
            </w:pPr>
          </w:p>
        </w:tc>
        <w:tc>
          <w:tcPr>
            <w:tcW w:w="4020" w:type="dxa"/>
            <w:vAlign w:val="bottom"/>
            <w:gridSpan w:val="5"/>
          </w:tcPr>
          <w:p>
            <w:pPr>
              <w:spacing w:after="0" w:line="157" w:lineRule="exact"/>
              <w:rPr>
                <w:rFonts w:ascii="Arial" w:cs="Arial" w:eastAsia="Arial" w:hAnsi="Arial"/>
                <w:sz w:val="16"/>
                <w:szCs w:val="16"/>
                <w:color w:val="0000EE"/>
                <w:w w:val="97"/>
              </w:rPr>
            </w:pPr>
            <w:hyperlink w:anchor="page222">
              <w:r>
                <w:rPr>
                  <w:rFonts w:ascii="Arial" w:cs="Arial" w:eastAsia="Arial" w:hAnsi="Arial"/>
                  <w:sz w:val="16"/>
                  <w:szCs w:val="16"/>
                  <w:color w:val="0000EE"/>
                  <w:w w:val="97"/>
                </w:rPr>
                <w:t>Report of Independent Registered Public Accounting Firm</w:t>
              </w:r>
            </w:hyperlink>
          </w:p>
        </w:tc>
        <w:tc>
          <w:tcPr>
            <w:tcW w:w="448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spacing w:after="0" w:line="157" w:lineRule="exact"/>
              <w:rPr>
                <w:rFonts w:ascii="Arial" w:cs="Arial" w:eastAsia="Arial" w:hAnsi="Arial"/>
                <w:sz w:val="16"/>
                <w:szCs w:val="16"/>
                <w:color w:val="0000EE"/>
              </w:rPr>
            </w:pPr>
            <w:hyperlink w:anchor="page222">
              <w:r>
                <w:rPr>
                  <w:rFonts w:ascii="Arial" w:cs="Arial" w:eastAsia="Arial" w:hAnsi="Arial"/>
                  <w:sz w:val="16"/>
                  <w:szCs w:val="16"/>
                  <w:color w:val="0000EE"/>
                </w:rPr>
                <w:t>F-2</w:t>
              </w:r>
            </w:hyperlink>
          </w:p>
        </w:tc>
      </w:tr>
      <w:tr>
        <w:trPr>
          <w:trHeight w:val="20"/>
        </w:trPr>
        <w:tc>
          <w:tcPr>
            <w:tcW w:w="114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2060" w:type="dxa"/>
            <w:vAlign w:val="bottom"/>
            <w:gridSpan w:val="2"/>
          </w:tcPr>
          <w:p>
            <w:pPr>
              <w:spacing w:after="0" w:line="161" w:lineRule="exact"/>
              <w:rPr>
                <w:rFonts w:ascii="Arial" w:cs="Arial" w:eastAsia="Arial" w:hAnsi="Arial"/>
                <w:sz w:val="16"/>
                <w:szCs w:val="16"/>
                <w:color w:val="0000EE"/>
                <w:w w:val="97"/>
              </w:rPr>
            </w:pPr>
            <w:hyperlink w:anchor="page223">
              <w:r>
                <w:rPr>
                  <w:rFonts w:ascii="Arial" w:cs="Arial" w:eastAsia="Arial" w:hAnsi="Arial"/>
                  <w:sz w:val="16"/>
                  <w:szCs w:val="16"/>
                  <w:color w:val="0000EE"/>
                  <w:w w:val="97"/>
                </w:rPr>
                <w:t>Consolidated Balance Sheets</w:t>
              </w:r>
            </w:hyperlink>
          </w:p>
        </w:tc>
        <w:tc>
          <w:tcPr>
            <w:tcW w:w="1960" w:type="dxa"/>
            <w:vAlign w:val="bottom"/>
            <w:gridSpan w:val="3"/>
          </w:tcPr>
          <w:p>
            <w:pPr>
              <w:spacing w:after="0"/>
              <w:rPr>
                <w:sz w:val="13"/>
                <w:szCs w:val="13"/>
                <w:color w:val="auto"/>
              </w:rPr>
            </w:pPr>
          </w:p>
        </w:tc>
        <w:tc>
          <w:tcPr>
            <w:tcW w:w="448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spacing w:after="0" w:line="161" w:lineRule="exact"/>
              <w:rPr>
                <w:rFonts w:ascii="Arial" w:cs="Arial" w:eastAsia="Arial" w:hAnsi="Arial"/>
                <w:sz w:val="16"/>
                <w:szCs w:val="16"/>
                <w:color w:val="0000EE"/>
              </w:rPr>
            </w:pPr>
            <w:hyperlink w:anchor="page223">
              <w:r>
                <w:rPr>
                  <w:rFonts w:ascii="Arial" w:cs="Arial" w:eastAsia="Arial" w:hAnsi="Arial"/>
                  <w:sz w:val="16"/>
                  <w:szCs w:val="16"/>
                  <w:color w:val="0000EE"/>
                </w:rPr>
                <w:t>F-3</w:t>
              </w:r>
            </w:hyperlink>
          </w:p>
        </w:tc>
      </w:tr>
      <w:tr>
        <w:trPr>
          <w:trHeight w:val="20"/>
        </w:trPr>
        <w:tc>
          <w:tcPr>
            <w:tcW w:w="114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500" w:type="dxa"/>
            <w:vAlign w:val="bottom"/>
            <w:gridSpan w:val="8"/>
          </w:tcPr>
          <w:p>
            <w:pPr>
              <w:spacing w:after="0" w:line="161" w:lineRule="exact"/>
              <w:rPr>
                <w:rFonts w:ascii="Arial" w:cs="Arial" w:eastAsia="Arial" w:hAnsi="Arial"/>
                <w:sz w:val="16"/>
                <w:szCs w:val="16"/>
                <w:color w:val="0000EE"/>
              </w:rPr>
            </w:pPr>
            <w:hyperlink w:anchor="page224">
              <w:r>
                <w:rPr>
                  <w:rFonts w:ascii="Arial" w:cs="Arial" w:eastAsia="Arial" w:hAnsi="Arial"/>
                  <w:sz w:val="16"/>
                  <w:szCs w:val="16"/>
                  <w:color w:val="0000EE"/>
                </w:rPr>
                <w:t>Consolidated Statements of Operations and Comprehensive Loss</w:t>
              </w:r>
            </w:hyperlink>
          </w:p>
        </w:tc>
        <w:tc>
          <w:tcPr>
            <w:tcW w:w="1800" w:type="dxa"/>
            <w:vAlign w:val="bottom"/>
            <w:gridSpan w:val="4"/>
          </w:tcPr>
          <w:p>
            <w:pPr>
              <w:ind w:left="260"/>
              <w:spacing w:after="0" w:line="161" w:lineRule="exact"/>
              <w:rPr>
                <w:rFonts w:ascii="Arial" w:cs="Arial" w:eastAsia="Arial" w:hAnsi="Arial"/>
                <w:sz w:val="16"/>
                <w:szCs w:val="16"/>
                <w:color w:val="0000EE"/>
              </w:rPr>
            </w:pPr>
            <w:hyperlink w:anchor="page224">
              <w:r>
                <w:rPr>
                  <w:rFonts w:ascii="Arial" w:cs="Arial" w:eastAsia="Arial" w:hAnsi="Arial"/>
                  <w:sz w:val="16"/>
                  <w:szCs w:val="16"/>
                  <w:color w:val="0000EE"/>
                </w:rPr>
                <w:t>F-4</w:t>
              </w:r>
            </w:hyperlink>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5800" w:type="dxa"/>
            <w:vAlign w:val="bottom"/>
            <w:gridSpan w:val="7"/>
          </w:tcPr>
          <w:p>
            <w:pPr>
              <w:spacing w:after="0" w:line="161" w:lineRule="exact"/>
              <w:rPr>
                <w:rFonts w:ascii="Arial" w:cs="Arial" w:eastAsia="Arial" w:hAnsi="Arial"/>
                <w:sz w:val="16"/>
                <w:szCs w:val="16"/>
                <w:color w:val="0000EE"/>
                <w:w w:val="97"/>
              </w:rPr>
            </w:pPr>
            <w:hyperlink w:anchor="page225">
              <w:r>
                <w:rPr>
                  <w:rFonts w:ascii="Arial" w:cs="Arial" w:eastAsia="Arial" w:hAnsi="Arial"/>
                  <w:sz w:val="16"/>
                  <w:szCs w:val="16"/>
                  <w:color w:val="0000EE"/>
                  <w:w w:val="97"/>
                </w:rPr>
                <w:t>Consolidated Statements of Convertible Preferred Shares and Shareholders' Deficit</w:t>
              </w:r>
            </w:hyperlink>
          </w:p>
        </w:tc>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spacing w:after="0" w:line="161" w:lineRule="exact"/>
              <w:rPr>
                <w:rFonts w:ascii="Arial" w:cs="Arial" w:eastAsia="Arial" w:hAnsi="Arial"/>
                <w:sz w:val="16"/>
                <w:szCs w:val="16"/>
                <w:color w:val="0000EE"/>
              </w:rPr>
            </w:pPr>
            <w:hyperlink w:anchor="page225">
              <w:r>
                <w:rPr>
                  <w:rFonts w:ascii="Arial" w:cs="Arial" w:eastAsia="Arial" w:hAnsi="Arial"/>
                  <w:sz w:val="16"/>
                  <w:szCs w:val="16"/>
                  <w:color w:val="0000EE"/>
                </w:rPr>
                <w:t>F-5</w:t>
              </w:r>
            </w:hyperlink>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2800" w:type="dxa"/>
            <w:vAlign w:val="bottom"/>
            <w:gridSpan w:val="3"/>
          </w:tcPr>
          <w:p>
            <w:pPr>
              <w:spacing w:after="0" w:line="161" w:lineRule="exact"/>
              <w:rPr>
                <w:rFonts w:ascii="Arial" w:cs="Arial" w:eastAsia="Arial" w:hAnsi="Arial"/>
                <w:sz w:val="16"/>
                <w:szCs w:val="16"/>
                <w:color w:val="0000EE"/>
                <w:w w:val="97"/>
              </w:rPr>
            </w:pPr>
            <w:hyperlink w:anchor="page226">
              <w:r>
                <w:rPr>
                  <w:rFonts w:ascii="Arial" w:cs="Arial" w:eastAsia="Arial" w:hAnsi="Arial"/>
                  <w:sz w:val="16"/>
                  <w:szCs w:val="16"/>
                  <w:color w:val="0000EE"/>
                  <w:w w:val="97"/>
                </w:rPr>
                <w:t>Consolidated Statements of Cash Flows</w:t>
              </w:r>
            </w:hyperlink>
          </w:p>
        </w:tc>
        <w:tc>
          <w:tcPr>
            <w:tcW w:w="3000" w:type="dxa"/>
            <w:vAlign w:val="bottom"/>
            <w:gridSpan w:val="4"/>
          </w:tcPr>
          <w:p>
            <w:pPr>
              <w:spacing w:after="0"/>
              <w:rPr>
                <w:sz w:val="13"/>
                <w:szCs w:val="13"/>
                <w:color w:val="auto"/>
              </w:rPr>
            </w:pPr>
          </w:p>
        </w:tc>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spacing w:after="0" w:line="161" w:lineRule="exact"/>
              <w:rPr>
                <w:rFonts w:ascii="Arial" w:cs="Arial" w:eastAsia="Arial" w:hAnsi="Arial"/>
                <w:sz w:val="16"/>
                <w:szCs w:val="16"/>
                <w:color w:val="0000EE"/>
              </w:rPr>
            </w:pPr>
            <w:hyperlink w:anchor="page226">
              <w:r>
                <w:rPr>
                  <w:rFonts w:ascii="Arial" w:cs="Arial" w:eastAsia="Arial" w:hAnsi="Arial"/>
                  <w:sz w:val="16"/>
                  <w:szCs w:val="16"/>
                  <w:color w:val="0000EE"/>
                </w:rPr>
                <w:t>F-6</w:t>
              </w:r>
            </w:hyperlink>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61"/>
        </w:trPr>
        <w:tc>
          <w:tcPr>
            <w:tcW w:w="1140" w:type="dxa"/>
            <w:vAlign w:val="bottom"/>
          </w:tcPr>
          <w:p>
            <w:pPr>
              <w:spacing w:after="0"/>
              <w:rPr>
                <w:sz w:val="13"/>
                <w:szCs w:val="13"/>
                <w:color w:val="auto"/>
              </w:rPr>
            </w:pPr>
          </w:p>
        </w:tc>
        <w:tc>
          <w:tcPr>
            <w:tcW w:w="8500" w:type="dxa"/>
            <w:vAlign w:val="bottom"/>
            <w:gridSpan w:val="8"/>
          </w:tcPr>
          <w:p>
            <w:pPr>
              <w:spacing w:after="0" w:line="161" w:lineRule="exact"/>
              <w:rPr>
                <w:rFonts w:ascii="Arial" w:cs="Arial" w:eastAsia="Arial" w:hAnsi="Arial"/>
                <w:sz w:val="16"/>
                <w:szCs w:val="16"/>
                <w:color w:val="0000EE"/>
              </w:rPr>
            </w:pPr>
            <w:hyperlink w:anchor="page227">
              <w:r>
                <w:rPr>
                  <w:rFonts w:ascii="Arial" w:cs="Arial" w:eastAsia="Arial" w:hAnsi="Arial"/>
                  <w:sz w:val="16"/>
                  <w:szCs w:val="16"/>
                  <w:color w:val="0000EE"/>
                </w:rPr>
                <w:t>Notes to Consolidated Financial Statements</w:t>
              </w:r>
            </w:hyperlink>
          </w:p>
        </w:tc>
        <w:tc>
          <w:tcPr>
            <w:tcW w:w="1800" w:type="dxa"/>
            <w:vAlign w:val="bottom"/>
            <w:gridSpan w:val="4"/>
          </w:tcPr>
          <w:p>
            <w:pPr>
              <w:ind w:left="260"/>
              <w:spacing w:after="0" w:line="161" w:lineRule="exact"/>
              <w:rPr>
                <w:rFonts w:ascii="Arial" w:cs="Arial" w:eastAsia="Arial" w:hAnsi="Arial"/>
                <w:sz w:val="16"/>
                <w:szCs w:val="16"/>
                <w:color w:val="0000EE"/>
              </w:rPr>
            </w:pPr>
            <w:hyperlink w:anchor="page227">
              <w:r>
                <w:rPr>
                  <w:rFonts w:ascii="Arial" w:cs="Arial" w:eastAsia="Arial" w:hAnsi="Arial"/>
                  <w:sz w:val="16"/>
                  <w:szCs w:val="16"/>
                  <w:color w:val="0000EE"/>
                </w:rPr>
                <w:t>F-7</w:t>
              </w:r>
            </w:hyperlink>
          </w:p>
        </w:tc>
      </w:tr>
      <w:tr>
        <w:trPr>
          <w:trHeight w:val="388"/>
        </w:trPr>
        <w:tc>
          <w:tcPr>
            <w:tcW w:w="1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480" w:type="dxa"/>
            <w:vAlign w:val="bottom"/>
            <w:gridSpan w:val="3"/>
          </w:tcPr>
          <w:p>
            <w:pPr>
              <w:jc w:val="center"/>
              <w:ind w:right="3360"/>
              <w:spacing w:after="0"/>
              <w:rPr>
                <w:sz w:val="20"/>
                <w:szCs w:val="20"/>
                <w:color w:val="auto"/>
              </w:rPr>
            </w:pPr>
            <w:r>
              <w:rPr>
                <w:rFonts w:ascii="Arial" w:cs="Arial" w:eastAsia="Arial" w:hAnsi="Arial"/>
                <w:sz w:val="16"/>
                <w:szCs w:val="16"/>
                <w:color w:val="auto"/>
                <w:w w:val="99"/>
              </w:rPr>
              <w:t>F-1</w:t>
            </w:r>
          </w:p>
        </w:tc>
        <w:tc>
          <w:tcPr>
            <w:tcW w:w="2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1240" w:type="dxa"/>
            <w:vAlign w:val="bottom"/>
            <w:tcBorders>
              <w:bottom w:val="single" w:sz="8" w:color="808080"/>
            </w:tcBorders>
          </w:tcPr>
          <w:p>
            <w:pPr>
              <w:spacing w:after="0"/>
              <w:rPr>
                <w:sz w:val="16"/>
                <w:szCs w:val="16"/>
                <w:color w:val="auto"/>
              </w:rPr>
            </w:pPr>
          </w:p>
        </w:tc>
        <w:tc>
          <w:tcPr>
            <w:tcW w:w="27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13" w:right="219" w:bottom="1440" w:gutter="0" w:footer="0" w:header="0"/>
        </w:sectPr>
      </w:pPr>
    </w:p>
    <w:bookmarkStart w:id="221" w:name="page222"/>
    <w:bookmarkEnd w:id="2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w:t>
      </w:r>
    </w:p>
    <w:p>
      <w:pPr>
        <w:spacing w:after="0"/>
        <w:rPr>
          <w:sz w:val="20"/>
          <w:szCs w:val="20"/>
          <w:color w:val="auto"/>
        </w:rPr>
      </w:pPr>
      <w:r>
        <w:rPr>
          <w:rFonts w:ascii="Arial" w:cs="Arial" w:eastAsia="Arial" w:hAnsi="Arial"/>
          <w:sz w:val="16"/>
          <w:szCs w:val="16"/>
          <w:color w:val="auto"/>
        </w:rPr>
        <w:t>Kiniksa Pharmaceuticals, Ltd.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208"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audited the accompanying consolidated balance sheets of Kiniksa Pharmaceuticals, Ltd. and its subsidiary (the "Company") as of December 31, 2017 and 2016, and the related consolidated statements of operations and comprehensive loss, of convertible preferred shares and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the years then ended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08" w:lineRule="exact"/>
        <w:rPr>
          <w:sz w:val="20"/>
          <w:szCs w:val="20"/>
          <w:color w:val="auto"/>
        </w:rPr>
      </w:pPr>
    </w:p>
    <w:p>
      <w:pPr>
        <w:ind w:right="40" w:firstLine="433"/>
        <w:spacing w:after="0" w:line="238"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firstLine="436"/>
        <w:spacing w:after="0" w:line="239"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6" w:lineRule="exact"/>
        <w:rPr>
          <w:sz w:val="20"/>
          <w:szCs w:val="20"/>
          <w:color w:val="auto"/>
        </w:rPr>
      </w:pPr>
    </w:p>
    <w:p>
      <w:pPr>
        <w:ind w:firstLine="436"/>
        <w:spacing w:after="0" w:line="25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PricewaterhouseCoopers LLP</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Boston, Massachusetts</w:t>
      </w:r>
    </w:p>
    <w:p>
      <w:pPr>
        <w:ind w:left="1300" w:right="1340" w:hanging="160"/>
        <w:spacing w:after="0" w:line="241" w:lineRule="auto"/>
        <w:rPr>
          <w:sz w:val="20"/>
          <w:szCs w:val="20"/>
          <w:color w:val="auto"/>
        </w:rPr>
      </w:pPr>
      <w:r>
        <w:rPr>
          <w:rFonts w:ascii="Arial" w:cs="Arial" w:eastAsia="Arial" w:hAnsi="Arial"/>
          <w:sz w:val="16"/>
          <w:szCs w:val="16"/>
          <w:color w:val="auto"/>
        </w:rPr>
        <w:t>February 27, 2018, except for the effects of the reverse share split discussed in Note 14 to the consolidated financial statements, as to which the date is May 14, 2018</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We have served as the Company's auditor since 2016.</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2" w:name="page223"/>
    <w:bookmarkEnd w:id="2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KINIKSA PHARMACEUTICALS, LTD.</w:t>
      </w:r>
    </w:p>
    <w:p>
      <w:pPr>
        <w:spacing w:after="0" w:line="178"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CONSOLIDATED BALANCE SHEETS</w:t>
      </w:r>
    </w:p>
    <w:p>
      <w:pPr>
        <w:spacing w:after="0" w:line="178"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40"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28"/>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60" w:type="dxa"/>
            <w:vAlign w:val="bottom"/>
            <w:gridSpan w:val="3"/>
            <w:vMerge w:val="restart"/>
          </w:tcPr>
          <w:p>
            <w:pPr>
              <w:jc w:val="right"/>
              <w:ind w:right="120"/>
              <w:spacing w:after="0" w:line="121" w:lineRule="exact"/>
              <w:rPr>
                <w:sz w:val="20"/>
                <w:szCs w:val="20"/>
                <w:color w:val="auto"/>
              </w:rPr>
            </w:pPr>
            <w:r>
              <w:rPr>
                <w:rFonts w:ascii="Arial" w:cs="Arial" w:eastAsia="Arial" w:hAnsi="Arial"/>
                <w:sz w:val="13"/>
                <w:szCs w:val="13"/>
                <w:b w:val="1"/>
                <w:bCs w:val="1"/>
                <w:color w:val="auto"/>
              </w:rPr>
              <w:t>March 31,</w:t>
            </w:r>
          </w:p>
        </w:tc>
        <w:tc>
          <w:tcPr>
            <w:tcW w:w="60" w:type="dxa"/>
            <w:vAlign w:val="bottom"/>
            <w:vMerge w:val="restart"/>
          </w:tcPr>
          <w:p>
            <w:pPr>
              <w:spacing w:after="0"/>
              <w:rPr>
                <w:sz w:val="2"/>
                <w:szCs w:val="2"/>
                <w:color w:val="auto"/>
              </w:rPr>
            </w:pPr>
          </w:p>
        </w:tc>
        <w:tc>
          <w:tcPr>
            <w:tcW w:w="820" w:type="dxa"/>
            <w:vAlign w:val="bottom"/>
            <w:gridSpan w:val="3"/>
            <w:vMerge w:val="restart"/>
          </w:tcPr>
          <w:p>
            <w:pPr>
              <w:jc w:val="center"/>
              <w:ind w:right="140"/>
              <w:spacing w:after="0" w:line="121" w:lineRule="exact"/>
              <w:rPr>
                <w:sz w:val="20"/>
                <w:szCs w:val="20"/>
                <w:color w:val="auto"/>
              </w:rPr>
            </w:pPr>
            <w:r>
              <w:rPr>
                <w:rFonts w:ascii="Arial" w:cs="Arial" w:eastAsia="Arial" w:hAnsi="Arial"/>
                <w:sz w:val="13"/>
                <w:szCs w:val="13"/>
                <w:b w:val="1"/>
                <w:bCs w:val="1"/>
                <w:color w:val="auto"/>
                <w:w w:val="99"/>
              </w:rPr>
              <w:t>March 31,</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right"/>
              <w:ind w:right="540"/>
              <w:spacing w:after="0" w:line="145"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line="145" w:lineRule="exact"/>
              <w:rPr>
                <w:sz w:val="20"/>
                <w:szCs w:val="20"/>
                <w:color w:val="auto"/>
              </w:rPr>
            </w:pPr>
            <w:r>
              <w:rPr>
                <w:rFonts w:ascii="Arial" w:cs="Arial" w:eastAsia="Arial" w:hAnsi="Arial"/>
                <w:sz w:val="13"/>
                <w:szCs w:val="13"/>
                <w:color w:val="auto"/>
              </w:rPr>
              <w:t>Current assets: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55,970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45,555</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221,108</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221,108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120"/>
              <w:spacing w:after="0" w:line="145" w:lineRule="exact"/>
              <w:rPr>
                <w:sz w:val="20"/>
                <w:szCs w:val="20"/>
                <w:color w:val="auto"/>
              </w:rPr>
            </w:pPr>
            <w:r>
              <w:rPr>
                <w:rFonts w:ascii="Arial" w:cs="Arial" w:eastAsia="Arial" w:hAnsi="Arial"/>
                <w:sz w:val="13"/>
                <w:szCs w:val="13"/>
                <w:color w:val="auto"/>
              </w:rPr>
              <w:t>Restricted cash</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105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105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Prepaid expenses and other current assets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1,444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1,240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1,240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40"/>
              <w:spacing w:after="0"/>
              <w:rPr>
                <w:sz w:val="20"/>
                <w:szCs w:val="20"/>
                <w:color w:val="auto"/>
              </w:rPr>
            </w:pPr>
            <w:r>
              <w:rPr>
                <w:rFonts w:ascii="Arial" w:cs="Arial" w:eastAsia="Arial" w:hAnsi="Arial"/>
                <w:sz w:val="13"/>
                <w:szCs w:val="13"/>
                <w:color w:val="auto"/>
              </w:rPr>
              <w:t>Total current assets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3"/>
                <w:szCs w:val="13"/>
                <w:color w:val="auto"/>
              </w:rPr>
              <w:t>56,334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37" w:lineRule="exact"/>
              <w:rPr>
                <w:sz w:val="20"/>
                <w:szCs w:val="20"/>
                <w:color w:val="auto"/>
              </w:rPr>
            </w:pPr>
            <w:r>
              <w:rPr>
                <w:rFonts w:ascii="Arial" w:cs="Arial" w:eastAsia="Arial" w:hAnsi="Arial"/>
                <w:sz w:val="13"/>
                <w:szCs w:val="13"/>
                <w:color w:val="auto"/>
              </w:rPr>
              <w:t>47,104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3"/>
                <w:szCs w:val="13"/>
                <w:color w:val="auto"/>
              </w:rPr>
              <w:t>222,453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3"/>
                <w:szCs w:val="13"/>
                <w:color w:val="auto"/>
              </w:rPr>
              <w:t>222,453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Property and equipment, net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126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line="145" w:lineRule="exact"/>
              <w:rPr>
                <w:sz w:val="20"/>
                <w:szCs w:val="20"/>
                <w:color w:val="auto"/>
              </w:rPr>
            </w:pPr>
            <w:r>
              <w:rPr>
                <w:rFonts w:ascii="Arial" w:cs="Arial" w:eastAsia="Arial" w:hAnsi="Arial"/>
                <w:sz w:val="13"/>
                <w:szCs w:val="13"/>
                <w:color w:val="auto"/>
              </w:rPr>
              <w:t>Restricted cash</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210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Deferred offering costs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1,608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1,608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line="145" w:lineRule="exact"/>
              <w:rPr>
                <w:sz w:val="20"/>
                <w:szCs w:val="20"/>
                <w:color w:val="auto"/>
              </w:rPr>
            </w:pPr>
            <w:r>
              <w:rPr>
                <w:rFonts w:ascii="Arial" w:cs="Arial" w:eastAsia="Arial" w:hAnsi="Arial"/>
                <w:sz w:val="13"/>
                <w:szCs w:val="13"/>
                <w:color w:val="auto"/>
              </w:rPr>
              <w:t>Deferred tax assets</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41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238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378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378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56,467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47,492</w:t>
            </w:r>
          </w:p>
        </w:tc>
        <w:tc>
          <w:tcPr>
            <w:tcW w:w="1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224,775</w:t>
            </w: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224,775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3"/>
                <w:szCs w:val="13"/>
                <w:b w:val="1"/>
                <w:bCs w:val="1"/>
                <w:color w:val="auto"/>
              </w:rPr>
              <w:t>Liabilities, Convertible Preferred Shares and Shareholders' Equity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120"/>
              <w:spacing w:after="0" w:line="145" w:lineRule="exact"/>
              <w:rPr>
                <w:sz w:val="20"/>
                <w:szCs w:val="20"/>
                <w:color w:val="auto"/>
              </w:rPr>
            </w:pPr>
            <w:r>
              <w:rPr>
                <w:rFonts w:ascii="Arial" w:cs="Arial" w:eastAsia="Arial" w:hAnsi="Arial"/>
                <w:sz w:val="13"/>
                <w:szCs w:val="13"/>
                <w:color w:val="auto"/>
              </w:rPr>
              <w:t>Accounts payable</w:t>
            </w:r>
          </w:p>
        </w:tc>
        <w:tc>
          <w:tcPr>
            <w:tcW w:w="120" w:type="dxa"/>
            <w:vAlign w:val="bottom"/>
          </w:tcPr>
          <w:p>
            <w:pPr>
              <w:jc w:val="right"/>
              <w:spacing w:after="0" w:line="14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212</w:t>
            </w:r>
          </w:p>
        </w:tc>
        <w:tc>
          <w:tcPr>
            <w:tcW w:w="100" w:type="dxa"/>
            <w:vAlign w:val="bottom"/>
          </w:tcPr>
          <w:p>
            <w:pPr>
              <w:spacing w:after="0"/>
              <w:rPr>
                <w:sz w:val="12"/>
                <w:szCs w:val="12"/>
                <w:color w:val="auto"/>
              </w:rPr>
            </w:pPr>
          </w:p>
        </w:tc>
        <w:tc>
          <w:tcPr>
            <w:tcW w:w="1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1,218</w:t>
            </w:r>
          </w:p>
        </w:tc>
        <w:tc>
          <w:tcPr>
            <w:tcW w:w="1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2,796</w:t>
            </w:r>
          </w:p>
        </w:tc>
        <w:tc>
          <w:tcPr>
            <w:tcW w:w="100" w:type="dxa"/>
            <w:vAlign w:val="bottom"/>
          </w:tcPr>
          <w:p>
            <w:pPr>
              <w:spacing w:after="0"/>
              <w:rPr>
                <w:sz w:val="12"/>
                <w:szCs w:val="12"/>
                <w:color w:val="auto"/>
              </w:rPr>
            </w:pPr>
          </w:p>
        </w:tc>
        <w:tc>
          <w:tcPr>
            <w:tcW w:w="1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2,796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Accrued expenses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2,090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6,212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6,472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6,472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120"/>
              <w:spacing w:after="0" w:line="145" w:lineRule="exact"/>
              <w:rPr>
                <w:sz w:val="20"/>
                <w:szCs w:val="20"/>
                <w:color w:val="auto"/>
              </w:rPr>
            </w:pPr>
            <w:r>
              <w:rPr>
                <w:rFonts w:ascii="Arial" w:cs="Arial" w:eastAsia="Arial" w:hAnsi="Arial"/>
                <w:sz w:val="13"/>
                <w:szCs w:val="13"/>
                <w:color w:val="auto"/>
              </w:rPr>
              <w:t>Accrued milestone</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10,000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Total current liabilities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2,302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17,430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19,268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19,268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060" w:type="dxa"/>
            <w:vAlign w:val="bottom"/>
          </w:tcPr>
          <w:p>
            <w:pPr>
              <w:spacing w:after="0" w:line="145" w:lineRule="exact"/>
              <w:rPr>
                <w:sz w:val="20"/>
                <w:szCs w:val="20"/>
                <w:color w:val="auto"/>
              </w:rPr>
            </w:pPr>
            <w:r>
              <w:rPr>
                <w:rFonts w:ascii="Arial" w:cs="Arial" w:eastAsia="Arial" w:hAnsi="Arial"/>
                <w:sz w:val="13"/>
                <w:szCs w:val="13"/>
                <w:color w:val="auto"/>
              </w:rPr>
              <w:t>Deferred rent</w:t>
            </w:r>
          </w:p>
        </w:tc>
        <w:tc>
          <w:tcPr>
            <w:tcW w:w="12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Total liabilities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2,302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17,430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19,298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19,298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060" w:type="dxa"/>
            <w:vAlign w:val="bottom"/>
          </w:tcPr>
          <w:p>
            <w:pPr>
              <w:spacing w:after="0" w:line="137" w:lineRule="exact"/>
              <w:rPr>
                <w:sz w:val="20"/>
                <w:szCs w:val="20"/>
                <w:color w:val="auto"/>
              </w:rPr>
            </w:pPr>
            <w:r>
              <w:rPr>
                <w:rFonts w:ascii="Arial" w:cs="Arial" w:eastAsia="Arial" w:hAnsi="Arial"/>
                <w:sz w:val="13"/>
                <w:szCs w:val="13"/>
                <w:color w:val="auto"/>
              </w:rPr>
              <w:t>Commitments and contingencies (Note 12)</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shares (Series A, B and C), $0.000273235 par value; 17,128,120 shares,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22,885,492 shares and 35,670,093 shares designated, issued and outstanding as of December 31,</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2016 and 2017 and March 31, 2018 (unaudited), respectively; aggregate liquidation preference of</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$80,000, $120,000 and $320,000 as of December 31, 2016 and 2017 and March 31, 2018</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6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(unaudited), no shares issued or outstanding, pro forma as of March 31, 2018 (unaudited)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79,897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7"/>
              </w:rPr>
              <w:t>119,770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310,592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6060" w:type="dxa"/>
            <w:vAlign w:val="bottom"/>
          </w:tcPr>
          <w:p>
            <w:pPr>
              <w:spacing w:after="0" w:line="145" w:lineRule="exact"/>
              <w:rPr>
                <w:sz w:val="20"/>
                <w:szCs w:val="20"/>
                <w:color w:val="auto"/>
              </w:rPr>
            </w:pPr>
            <w:r>
              <w:rPr>
                <w:rFonts w:ascii="Arial" w:cs="Arial" w:eastAsia="Arial" w:hAnsi="Arial"/>
                <w:sz w:val="13"/>
                <w:szCs w:val="13"/>
                <w:color w:val="auto"/>
              </w:rPr>
              <w:t>Shareholders' equity (deficit):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Class A common shares, par value of $0.000273235 per share; 4,491,921 shares designated as of</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220"/>
              <w:spacing w:after="0" w:line="145" w:lineRule="exact"/>
              <w:rPr>
                <w:sz w:val="20"/>
                <w:szCs w:val="20"/>
                <w:color w:val="auto"/>
              </w:rPr>
            </w:pPr>
            <w:r>
              <w:rPr>
                <w:rFonts w:ascii="Arial" w:cs="Arial" w:eastAsia="Arial" w:hAnsi="Arial"/>
                <w:sz w:val="13"/>
                <w:szCs w:val="13"/>
                <w:color w:val="auto"/>
              </w:rPr>
              <w:t>December 31, 2016 and 5,507,938 shares designated as of December 31, 2017 and March 31,</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220"/>
              <w:spacing w:after="0" w:line="145" w:lineRule="exact"/>
              <w:rPr>
                <w:sz w:val="20"/>
                <w:szCs w:val="20"/>
                <w:color w:val="auto"/>
              </w:rPr>
            </w:pPr>
            <w:r>
              <w:rPr>
                <w:rFonts w:ascii="Arial" w:cs="Arial" w:eastAsia="Arial" w:hAnsi="Arial"/>
                <w:sz w:val="13"/>
                <w:szCs w:val="13"/>
                <w:color w:val="auto"/>
              </w:rPr>
              <w:t>2018 (unaudited); 719,976 shares issued and outstanding as of December 31, 2016 and 2017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220"/>
              <w:spacing w:after="0" w:line="145" w:lineRule="exact"/>
              <w:rPr>
                <w:sz w:val="20"/>
                <w:szCs w:val="20"/>
                <w:color w:val="auto"/>
              </w:rPr>
            </w:pPr>
            <w:r>
              <w:rPr>
                <w:rFonts w:ascii="Arial" w:cs="Arial" w:eastAsia="Arial" w:hAnsi="Arial"/>
                <w:sz w:val="13"/>
                <w:szCs w:val="13"/>
                <w:color w:val="auto"/>
              </w:rPr>
              <w:t>724,550 shares issued and outstanding as of March 31, 2018 (unaudited), 6,270,569 shares issued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60" w:type="dxa"/>
            <w:vAlign w:val="bottom"/>
            <w:shd w:val="clear" w:color="auto" w:fill="CCEEFF"/>
          </w:tcPr>
          <w:p>
            <w:pPr>
              <w:ind w:left="220"/>
              <w:spacing w:after="0" w:line="141" w:lineRule="exact"/>
              <w:rPr>
                <w:sz w:val="20"/>
                <w:szCs w:val="20"/>
                <w:color w:val="auto"/>
              </w:rPr>
            </w:pPr>
            <w:r>
              <w:rPr>
                <w:rFonts w:ascii="Arial" w:cs="Arial" w:eastAsia="Arial" w:hAnsi="Arial"/>
                <w:sz w:val="13"/>
                <w:szCs w:val="13"/>
                <w:color w:val="auto"/>
              </w:rPr>
              <w:t>and outstanding, pro forma, as of March 31, 2018 (unaudited)</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20"/>
              <w:spacing w:after="0"/>
              <w:rPr>
                <w:sz w:val="20"/>
                <w:szCs w:val="20"/>
                <w:color w:val="auto"/>
              </w:rPr>
            </w:pPr>
            <w:r>
              <w:rPr>
                <w:rFonts w:ascii="Arial" w:cs="Arial" w:eastAsia="Arial" w:hAnsi="Arial"/>
                <w:sz w:val="13"/>
                <w:szCs w:val="13"/>
                <w:color w:val="auto"/>
              </w:rPr>
              <w:t>Class B common shares, par value of $0.000273235 per share; 3,568,353 shares designated, issued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220"/>
              <w:spacing w:after="0" w:line="145" w:lineRule="exact"/>
              <w:rPr>
                <w:sz w:val="20"/>
                <w:szCs w:val="20"/>
                <w:color w:val="auto"/>
              </w:rPr>
            </w:pPr>
            <w:r>
              <w:rPr>
                <w:rFonts w:ascii="Arial" w:cs="Arial" w:eastAsia="Arial" w:hAnsi="Arial"/>
                <w:sz w:val="13"/>
                <w:szCs w:val="13"/>
                <w:color w:val="auto"/>
              </w:rPr>
              <w:t>and outstanding as of December 31, 2016 and 2017 and March 31, 2018 (unaudited), 4,638,855</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60" w:type="dxa"/>
            <w:vAlign w:val="bottom"/>
          </w:tcPr>
          <w:p>
            <w:pPr>
              <w:ind w:left="220"/>
              <w:spacing w:after="0" w:line="141" w:lineRule="exact"/>
              <w:rPr>
                <w:sz w:val="20"/>
                <w:szCs w:val="20"/>
                <w:color w:val="auto"/>
              </w:rPr>
            </w:pPr>
            <w:r>
              <w:rPr>
                <w:rFonts w:ascii="Arial" w:cs="Arial" w:eastAsia="Arial" w:hAnsi="Arial"/>
                <w:sz w:val="13"/>
                <w:szCs w:val="13"/>
                <w:color w:val="auto"/>
              </w:rPr>
              <w:t>shares issued and outstanding, pro forma, as of March 31, 2018 (unaudited)</w:t>
            </w:r>
          </w:p>
        </w:tc>
        <w:tc>
          <w:tcPr>
            <w:tcW w:w="1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Class A1 common shares, $0.000273235 par value; no shares designated, issued or outstanding as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220"/>
              <w:spacing w:after="0" w:line="145" w:lineRule="exact"/>
              <w:rPr>
                <w:sz w:val="20"/>
                <w:szCs w:val="20"/>
                <w:color w:val="auto"/>
              </w:rPr>
            </w:pPr>
            <w:r>
              <w:rPr>
                <w:rFonts w:ascii="Arial" w:cs="Arial" w:eastAsia="Arial" w:hAnsi="Arial"/>
                <w:sz w:val="13"/>
                <w:szCs w:val="13"/>
                <w:color w:val="auto"/>
              </w:rPr>
              <w:t>of December 31, 2016 and 2017 and March 31, 2018 (unaudited); 12,995,954 shares issued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60" w:type="dxa"/>
            <w:vAlign w:val="bottom"/>
            <w:shd w:val="clear" w:color="auto" w:fill="CCEEFF"/>
          </w:tcPr>
          <w:p>
            <w:pPr>
              <w:ind w:left="220"/>
              <w:spacing w:after="0" w:line="141" w:lineRule="exact"/>
              <w:rPr>
                <w:sz w:val="20"/>
                <w:szCs w:val="20"/>
                <w:color w:val="auto"/>
              </w:rPr>
            </w:pPr>
            <w:r>
              <w:rPr>
                <w:rFonts w:ascii="Arial" w:cs="Arial" w:eastAsia="Arial" w:hAnsi="Arial"/>
                <w:sz w:val="13"/>
                <w:szCs w:val="13"/>
                <w:color w:val="auto"/>
              </w:rPr>
              <w:t>outstanding, pro forma as of March 31, 2018 (unaudited)</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20"/>
              <w:spacing w:after="0"/>
              <w:rPr>
                <w:sz w:val="20"/>
                <w:szCs w:val="20"/>
                <w:color w:val="auto"/>
              </w:rPr>
            </w:pPr>
            <w:r>
              <w:rPr>
                <w:rFonts w:ascii="Arial" w:cs="Arial" w:eastAsia="Arial" w:hAnsi="Arial"/>
                <w:sz w:val="13"/>
                <w:szCs w:val="13"/>
                <w:color w:val="auto"/>
              </w:rPr>
              <w:t>Class B1 common shares, $0.000273235 par value; no shares designated, issued or outstanding as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220"/>
              <w:spacing w:after="0" w:line="145" w:lineRule="exact"/>
              <w:rPr>
                <w:sz w:val="20"/>
                <w:szCs w:val="20"/>
                <w:color w:val="auto"/>
              </w:rPr>
            </w:pPr>
            <w:r>
              <w:rPr>
                <w:rFonts w:ascii="Arial" w:cs="Arial" w:eastAsia="Arial" w:hAnsi="Arial"/>
                <w:sz w:val="13"/>
                <w:szCs w:val="13"/>
                <w:color w:val="auto"/>
              </w:rPr>
              <w:t>of December 31, 2016 and 2017 and March 31, 2018 (unaudited); 16,057,618 shares issued and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060" w:type="dxa"/>
            <w:vAlign w:val="bottom"/>
          </w:tcPr>
          <w:p>
            <w:pPr>
              <w:ind w:left="220"/>
              <w:spacing w:after="0" w:line="141" w:lineRule="exact"/>
              <w:rPr>
                <w:sz w:val="20"/>
                <w:szCs w:val="20"/>
                <w:color w:val="auto"/>
              </w:rPr>
            </w:pPr>
            <w:r>
              <w:rPr>
                <w:rFonts w:ascii="Arial" w:cs="Arial" w:eastAsia="Arial" w:hAnsi="Arial"/>
                <w:sz w:val="13"/>
                <w:szCs w:val="13"/>
                <w:color w:val="auto"/>
              </w:rPr>
              <w:t>outstanding, pro forma as of March 31, 2018 (unaudited)</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Additional paid-in capital</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1,289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1,864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312,446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60" w:type="dxa"/>
            <w:vAlign w:val="bottom"/>
          </w:tcPr>
          <w:p>
            <w:pPr>
              <w:ind w:left="120"/>
              <w:spacing w:after="0" w:line="145" w:lineRule="exact"/>
              <w:rPr>
                <w:sz w:val="20"/>
                <w:szCs w:val="20"/>
                <w:color w:val="auto"/>
              </w:rPr>
            </w:pPr>
            <w:r>
              <w:rPr>
                <w:rFonts w:ascii="Arial" w:cs="Arial" w:eastAsia="Arial" w:hAnsi="Arial"/>
                <w:sz w:val="13"/>
                <w:szCs w:val="13"/>
                <w:color w:val="auto"/>
              </w:rPr>
              <w:t>Accumulated deficit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w w:val="99"/>
              </w:rPr>
              <w:t>(26,125)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(90,998)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(106,980)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(106,980)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Total shareholders' equity (deficit)</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w w:val="99"/>
              </w:rPr>
              <w:t>(25,732)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rPr>
              <w:t>(89,708)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3"/>
                <w:szCs w:val="13"/>
                <w:color w:val="auto"/>
              </w:rPr>
              <w:t>(105,115)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205,477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40"/>
              <w:spacing w:after="0"/>
              <w:rPr>
                <w:sz w:val="20"/>
                <w:szCs w:val="20"/>
                <w:color w:val="auto"/>
              </w:rPr>
            </w:pPr>
            <w:r>
              <w:rPr>
                <w:rFonts w:ascii="Arial" w:cs="Arial" w:eastAsia="Arial" w:hAnsi="Arial"/>
                <w:sz w:val="13"/>
                <w:szCs w:val="13"/>
                <w:color w:val="auto"/>
              </w:rPr>
              <w:t>Total liabilities, convertible preferred shares and shareholders' equity (deficit)</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060" w:type="dxa"/>
            <w:vAlign w:val="bottom"/>
            <w:vMerge w:val="continue"/>
          </w:tcPr>
          <w:p>
            <w:pPr>
              <w:spacing w:after="0"/>
              <w:rPr>
                <w:sz w:val="11"/>
                <w:szCs w:val="11"/>
                <w:color w:val="auto"/>
              </w:rPr>
            </w:pPr>
          </w:p>
        </w:tc>
        <w:tc>
          <w:tcPr>
            <w:tcW w:w="120" w:type="dxa"/>
            <w:vAlign w:val="bottom"/>
          </w:tcPr>
          <w:p>
            <w:pPr>
              <w:jc w:val="right"/>
              <w:spacing w:after="0" w:line="137"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7" w:lineRule="exact"/>
              <w:rPr>
                <w:sz w:val="20"/>
                <w:szCs w:val="20"/>
                <w:color w:val="auto"/>
              </w:rPr>
            </w:pPr>
            <w:r>
              <w:rPr>
                <w:rFonts w:ascii="Arial" w:cs="Arial" w:eastAsia="Arial" w:hAnsi="Arial"/>
                <w:sz w:val="13"/>
                <w:szCs w:val="13"/>
                <w:color w:val="auto"/>
              </w:rPr>
              <w:t>56,467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jc w:val="right"/>
              <w:spacing w:after="0" w:line="137"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00"/>
              <w:spacing w:after="0" w:line="137" w:lineRule="exact"/>
              <w:rPr>
                <w:sz w:val="20"/>
                <w:szCs w:val="20"/>
                <w:color w:val="auto"/>
              </w:rPr>
            </w:pPr>
            <w:r>
              <w:rPr>
                <w:rFonts w:ascii="Arial" w:cs="Arial" w:eastAsia="Arial" w:hAnsi="Arial"/>
                <w:sz w:val="13"/>
                <w:szCs w:val="13"/>
                <w:color w:val="auto"/>
              </w:rPr>
              <w:t>47,492</w:t>
            </w:r>
          </w:p>
        </w:tc>
        <w:tc>
          <w:tcPr>
            <w:tcW w:w="160" w:type="dxa"/>
            <w:vAlign w:val="bottom"/>
            <w:gridSpan w:val="2"/>
          </w:tcPr>
          <w:p>
            <w:pPr>
              <w:jc w:val="right"/>
              <w:spacing w:after="0" w:line="137"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7" w:lineRule="exact"/>
              <w:rPr>
                <w:sz w:val="20"/>
                <w:szCs w:val="20"/>
                <w:color w:val="auto"/>
              </w:rPr>
            </w:pPr>
            <w:r>
              <w:rPr>
                <w:rFonts w:ascii="Arial" w:cs="Arial" w:eastAsia="Arial" w:hAnsi="Arial"/>
                <w:sz w:val="13"/>
                <w:szCs w:val="13"/>
                <w:color w:val="auto"/>
              </w:rPr>
              <w:t>224,775</w:t>
            </w:r>
          </w:p>
        </w:tc>
        <w:tc>
          <w:tcPr>
            <w:tcW w:w="100" w:type="dxa"/>
            <w:vAlign w:val="bottom"/>
          </w:tcPr>
          <w:p>
            <w:pPr>
              <w:spacing w:after="0"/>
              <w:rPr>
                <w:sz w:val="11"/>
                <w:szCs w:val="11"/>
                <w:color w:val="auto"/>
              </w:rPr>
            </w:pPr>
          </w:p>
        </w:tc>
        <w:tc>
          <w:tcPr>
            <w:tcW w:w="180" w:type="dxa"/>
            <w:vAlign w:val="bottom"/>
            <w:gridSpan w:val="2"/>
          </w:tcPr>
          <w:p>
            <w:pPr>
              <w:jc w:val="right"/>
              <w:spacing w:after="0" w:line="137"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7" w:lineRule="exact"/>
              <w:rPr>
                <w:sz w:val="20"/>
                <w:szCs w:val="20"/>
                <w:color w:val="auto"/>
              </w:rPr>
            </w:pPr>
            <w:r>
              <w:rPr>
                <w:rFonts w:ascii="Arial" w:cs="Arial" w:eastAsia="Arial" w:hAnsi="Arial"/>
                <w:sz w:val="13"/>
                <w:szCs w:val="13"/>
                <w:color w:val="auto"/>
              </w:rPr>
              <w:t>224,775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42" w:right="1379" w:bottom="1440" w:gutter="0" w:footer="0" w:header="0"/>
        </w:sectPr>
      </w:pPr>
    </w:p>
    <w:bookmarkStart w:id="223" w:name="page224"/>
    <w:bookmarkEnd w:id="2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KINIKSA PHARMACEUTICALS, LTD.</w:t>
      </w:r>
    </w:p>
    <w:p>
      <w:pPr>
        <w:spacing w:after="0" w:line="178"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78"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Year Ended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8"/>
              </w:rPr>
              <w:t>Three Months Ended</w:t>
            </w:r>
          </w:p>
        </w:tc>
        <w:tc>
          <w:tcPr>
            <w:tcW w:w="0" w:type="dxa"/>
            <w:vAlign w:val="bottom"/>
          </w:tcPr>
          <w:p>
            <w:pPr>
              <w:spacing w:after="0"/>
              <w:rPr>
                <w:sz w:val="1"/>
                <w:szCs w:val="1"/>
                <w:color w:val="auto"/>
              </w:rPr>
            </w:pPr>
          </w:p>
        </w:tc>
      </w:tr>
      <w:tr>
        <w:trPr>
          <w:trHeight w:val="202"/>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197"/>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8"/>
              </w:rPr>
              <w:t>(unaudited)</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40" w:type="dxa"/>
            <w:vAlign w:val="bottom"/>
          </w:tcPr>
          <w:p>
            <w:pPr>
              <w:ind w:left="160"/>
              <w:spacing w:after="0" w:line="181" w:lineRule="exact"/>
              <w:rPr>
                <w:sz w:val="20"/>
                <w:szCs w:val="20"/>
                <w:color w:val="auto"/>
              </w:rPr>
            </w:pPr>
            <w:r>
              <w:rPr>
                <w:rFonts w:ascii="Arial" w:cs="Arial" w:eastAsia="Arial" w:hAnsi="Arial"/>
                <w:sz w:val="16"/>
                <w:szCs w:val="16"/>
                <w:color w:val="auto"/>
              </w:rPr>
              <w:t>Research and development</w:t>
            </w:r>
          </w:p>
        </w:tc>
        <w:tc>
          <w:tcPr>
            <w:tcW w:w="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17,439</w:t>
            </w:r>
          </w:p>
        </w:tc>
        <w:tc>
          <w:tcPr>
            <w:tcW w:w="100" w:type="dxa"/>
            <w:vAlign w:val="bottom"/>
          </w:tcPr>
          <w:p>
            <w:pPr>
              <w:spacing w:after="0"/>
              <w:rPr>
                <w:sz w:val="15"/>
                <w:szCs w:val="15"/>
                <w:color w:val="auto"/>
              </w:rPr>
            </w:pPr>
          </w:p>
        </w:tc>
        <w:tc>
          <w:tcPr>
            <w:tcW w:w="2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56,357</w:t>
            </w:r>
          </w:p>
        </w:tc>
        <w:tc>
          <w:tcPr>
            <w:tcW w:w="100" w:type="dxa"/>
            <w:vAlign w:val="bottom"/>
          </w:tcPr>
          <w:p>
            <w:pPr>
              <w:spacing w:after="0"/>
              <w:rPr>
                <w:sz w:val="15"/>
                <w:szCs w:val="15"/>
                <w:color w:val="auto"/>
              </w:rPr>
            </w:pPr>
          </w:p>
        </w:tc>
        <w:tc>
          <w:tcPr>
            <w:tcW w:w="2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3,145</w:t>
            </w:r>
          </w:p>
        </w:tc>
        <w:tc>
          <w:tcPr>
            <w:tcW w:w="100" w:type="dxa"/>
            <w:vAlign w:val="bottom"/>
          </w:tcPr>
          <w:p>
            <w:pPr>
              <w:spacing w:after="0"/>
              <w:rPr>
                <w:sz w:val="15"/>
                <w:szCs w:val="15"/>
                <w:color w:val="auto"/>
              </w:rPr>
            </w:pPr>
          </w:p>
        </w:tc>
        <w:tc>
          <w:tcPr>
            <w:tcW w:w="1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12,630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6,563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9,043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3,710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40" w:type="dxa"/>
            <w:vAlign w:val="bottom"/>
          </w:tcPr>
          <w:p>
            <w:pPr>
              <w:ind w:left="320"/>
              <w:spacing w:after="0" w:line="173" w:lineRule="exact"/>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24,002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65,400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5,048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16,340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(24,002)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(65,400)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(5,048)</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(16,340)</w:t>
            </w:r>
          </w:p>
        </w:tc>
        <w:tc>
          <w:tcPr>
            <w:tcW w:w="0" w:type="dxa"/>
            <w:vAlign w:val="bottom"/>
          </w:tcPr>
          <w:p>
            <w:pPr>
              <w:spacing w:after="0"/>
              <w:rPr>
                <w:sz w:val="1"/>
                <w:szCs w:val="1"/>
                <w:color w:val="auto"/>
              </w:rPr>
            </w:pPr>
          </w:p>
        </w:tc>
      </w:tr>
      <w:tr>
        <w:trPr>
          <w:trHeight w:val="181"/>
        </w:trPr>
        <w:tc>
          <w:tcPr>
            <w:tcW w:w="4840" w:type="dxa"/>
            <w:vAlign w:val="bottom"/>
          </w:tcPr>
          <w:p>
            <w:pPr>
              <w:spacing w:after="0" w:line="181" w:lineRule="exact"/>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Loss before benefit (provision) for income taxes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(23,937)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(64,871)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(4,974)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(16,035)</w:t>
            </w:r>
          </w:p>
        </w:tc>
        <w:tc>
          <w:tcPr>
            <w:tcW w:w="0" w:type="dxa"/>
            <w:vAlign w:val="bottom"/>
          </w:tcPr>
          <w:p>
            <w:pPr>
              <w:spacing w:after="0"/>
              <w:rPr>
                <w:sz w:val="1"/>
                <w:szCs w:val="1"/>
                <w:color w:val="auto"/>
              </w:rPr>
            </w:pPr>
          </w:p>
        </w:tc>
      </w:tr>
      <w:tr>
        <w:trPr>
          <w:trHeight w:val="181"/>
        </w:trPr>
        <w:tc>
          <w:tcPr>
            <w:tcW w:w="4840" w:type="dxa"/>
            <w:vAlign w:val="bottom"/>
          </w:tcPr>
          <w:p>
            <w:pPr>
              <w:spacing w:after="0" w:line="181" w:lineRule="exact"/>
              <w:rPr>
                <w:sz w:val="20"/>
                <w:szCs w:val="20"/>
                <w:color w:val="auto"/>
              </w:rPr>
            </w:pPr>
            <w:r>
              <w:rPr>
                <w:rFonts w:ascii="Arial" w:cs="Arial" w:eastAsia="Arial" w:hAnsi="Arial"/>
                <w:sz w:val="16"/>
                <w:szCs w:val="16"/>
                <w:color w:val="auto"/>
              </w:rPr>
              <w:t>Benefit (provision) for income taxes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(36)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auto"/>
              </w:rPr>
              <w:t>53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Net loss and comprehensive loss</w:t>
            </w:r>
          </w:p>
        </w:tc>
        <w:tc>
          <w:tcPr>
            <w:tcW w:w="24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(23,973)</w:t>
            </w:r>
          </w:p>
        </w:tc>
        <w:tc>
          <w:tcPr>
            <w:tcW w:w="20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(64,873)</w:t>
            </w:r>
          </w:p>
        </w:tc>
        <w:tc>
          <w:tcPr>
            <w:tcW w:w="20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(4,941)</w:t>
            </w:r>
          </w:p>
        </w:tc>
        <w:tc>
          <w:tcPr>
            <w:tcW w:w="18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6"/>
                <w:szCs w:val="16"/>
                <w:color w:val="auto"/>
              </w:rPr>
              <w:t>Net loss per share attributable to common shareholders—basic and</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40" w:type="dxa"/>
            <w:vAlign w:val="bottom"/>
          </w:tcPr>
          <w:p>
            <w:pPr>
              <w:ind w:left="160"/>
              <w:spacing w:after="0" w:line="178" w:lineRule="exact"/>
              <w:rPr>
                <w:sz w:val="20"/>
                <w:szCs w:val="20"/>
                <w:color w:val="auto"/>
              </w:rPr>
            </w:pPr>
            <w:r>
              <w:rPr>
                <w:rFonts w:ascii="Arial" w:cs="Arial" w:eastAsia="Arial" w:hAnsi="Arial"/>
                <w:sz w:val="16"/>
                <w:szCs w:val="16"/>
                <w:color w:val="auto"/>
              </w:rPr>
              <w:t>diluted</w:t>
            </w:r>
          </w:p>
        </w:tc>
        <w:tc>
          <w:tcPr>
            <w:tcW w:w="24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(91.61)</w:t>
            </w:r>
          </w:p>
        </w:tc>
        <w:tc>
          <w:tcPr>
            <w:tcW w:w="20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(35.85)</w:t>
            </w:r>
          </w:p>
        </w:tc>
        <w:tc>
          <w:tcPr>
            <w:tcW w:w="20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(3.52)</w:t>
            </w:r>
          </w:p>
        </w:tc>
        <w:tc>
          <w:tcPr>
            <w:tcW w:w="1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40" w:type="dxa"/>
            <w:vAlign w:val="bottom"/>
            <w:shd w:val="clear" w:color="auto" w:fill="CCEEFF"/>
          </w:tcPr>
          <w:p>
            <w:pPr>
              <w:spacing w:after="0" w:line="157" w:lineRule="exact"/>
              <w:rPr>
                <w:sz w:val="20"/>
                <w:szCs w:val="20"/>
                <w:color w:val="auto"/>
              </w:rPr>
            </w:pPr>
            <w:r>
              <w:rPr>
                <w:rFonts w:ascii="Arial" w:cs="Arial" w:eastAsia="Arial" w:hAnsi="Arial"/>
                <w:sz w:val="16"/>
                <w:szCs w:val="16"/>
                <w:color w:val="auto"/>
              </w:rPr>
              <w:t>Weighted average common shares outstanding—basic and diluted</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6"/>
                <w:szCs w:val="16"/>
                <w:color w:val="auto"/>
              </w:rPr>
              <w:t>261,695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6"/>
                <w:szCs w:val="16"/>
                <w:color w:val="auto"/>
              </w:rPr>
              <w:t>1,809,751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6"/>
                <w:szCs w:val="16"/>
                <w:color w:val="auto"/>
              </w:rPr>
              <w:t>1,405,400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6"/>
                <w:szCs w:val="16"/>
                <w:color w:val="auto"/>
              </w:rPr>
              <w:t>2,478,903</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6"/>
                <w:szCs w:val="16"/>
                <w:color w:val="auto"/>
                <w:w w:val="99"/>
              </w:rPr>
              <w:t>Pro forma net loss per share attributable to common shareholders—</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40" w:type="dxa"/>
            <w:vAlign w:val="bottom"/>
          </w:tcPr>
          <w:p>
            <w:pPr>
              <w:ind w:left="160"/>
              <w:spacing w:after="0" w:line="178" w:lineRule="exact"/>
              <w:rPr>
                <w:sz w:val="20"/>
                <w:szCs w:val="20"/>
                <w:color w:val="auto"/>
              </w:rPr>
            </w:pPr>
            <w:r>
              <w:rPr>
                <w:rFonts w:ascii="Arial" w:cs="Arial" w:eastAsia="Arial" w:hAnsi="Arial"/>
                <w:sz w:val="16"/>
                <w:szCs w:val="16"/>
                <w:color w:val="auto"/>
              </w:rPr>
              <w:t>basic and diluted (unaudited)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(2.74)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40" w:type="dxa"/>
            <w:vAlign w:val="bottom"/>
            <w:shd w:val="clear" w:color="auto" w:fill="CCEEFF"/>
          </w:tcPr>
          <w:p>
            <w:pPr>
              <w:spacing w:after="0" w:line="160" w:lineRule="exact"/>
              <w:rPr>
                <w:sz w:val="20"/>
                <w:szCs w:val="20"/>
                <w:color w:val="auto"/>
              </w:rPr>
            </w:pPr>
            <w:r>
              <w:rPr>
                <w:rFonts w:ascii="Arial" w:cs="Arial" w:eastAsia="Arial" w:hAnsi="Arial"/>
                <w:sz w:val="16"/>
                <w:szCs w:val="16"/>
                <w:color w:val="auto"/>
              </w:rPr>
              <w:t>Pro forma weighted average common shares outstanding—basic</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and diluted (unaudited)</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99"/>
              </w:rPr>
              <w:t>23,638,410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32,466,951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42" w:right="1379" w:bottom="1440" w:gutter="0" w:footer="0" w:header="0"/>
        </w:sectPr>
      </w:pPr>
    </w:p>
    <w:bookmarkStart w:id="224" w:name="page225"/>
    <w:bookmarkEnd w:id="2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979"/>
        <w:spacing w:after="0"/>
        <w:rPr>
          <w:sz w:val="20"/>
          <w:szCs w:val="20"/>
          <w:color w:val="auto"/>
        </w:rPr>
      </w:pPr>
      <w:r>
        <w:rPr>
          <w:rFonts w:ascii="Arial" w:cs="Arial" w:eastAsia="Arial" w:hAnsi="Arial"/>
          <w:sz w:val="16"/>
          <w:szCs w:val="16"/>
          <w:b w:val="1"/>
          <w:bCs w:val="1"/>
          <w:color w:val="auto"/>
        </w:rPr>
        <w:t>KINIKSA PHARMACEUTICALS, LTD.</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CONSOLIDATED STATEMENTS OF CONVERTIBLE PREFERRED SHARES AND SHAREHOLDERS' DEFICIT</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10"/>
          </w:tcPr>
          <w:p>
            <w:pPr>
              <w:jc w:val="right"/>
              <w:ind w:right="542"/>
              <w:spacing w:after="0"/>
              <w:rPr>
                <w:sz w:val="20"/>
                <w:szCs w:val="20"/>
                <w:color w:val="auto"/>
              </w:rPr>
            </w:pPr>
            <w:r>
              <w:rPr>
                <w:rFonts w:ascii="Arial" w:cs="Arial" w:eastAsia="Arial" w:hAnsi="Arial"/>
                <w:sz w:val="16"/>
                <w:szCs w:val="16"/>
                <w:b w:val="1"/>
                <w:bCs w:val="1"/>
                <w:color w:val="auto"/>
              </w:rPr>
              <w:t>(In thousands, except share amounts)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00" w:type="dxa"/>
            <w:vAlign w:val="bottom"/>
            <w:gridSpan w:val="4"/>
            <w:vMerge w:val="restart"/>
          </w:tcPr>
          <w:p>
            <w:pPr>
              <w:jc w:val="center"/>
              <w:ind w:left="2"/>
              <w:spacing w:after="0"/>
              <w:rPr>
                <w:sz w:val="20"/>
                <w:szCs w:val="20"/>
                <w:color w:val="auto"/>
              </w:rPr>
            </w:pPr>
            <w:r>
              <w:rPr>
                <w:rFonts w:ascii="Arial" w:cs="Arial" w:eastAsia="Arial" w:hAnsi="Arial"/>
                <w:sz w:val="16"/>
                <w:szCs w:val="16"/>
                <w:b w:val="1"/>
                <w:bCs w:val="1"/>
                <w:color w:val="auto"/>
                <w:w w:val="97"/>
              </w:rPr>
              <w:t>Convertible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700" w:type="dxa"/>
            <w:vAlign w:val="bottom"/>
            <w:gridSpan w:val="4"/>
          </w:tcPr>
          <w:p>
            <w:pPr>
              <w:jc w:val="center"/>
              <w:ind w:left="2"/>
              <w:spacing w:after="0" w:line="181" w:lineRule="exact"/>
              <w:rPr>
                <w:sz w:val="20"/>
                <w:szCs w:val="20"/>
                <w:color w:val="auto"/>
              </w:rPr>
            </w:pPr>
            <w:r>
              <w:rPr>
                <w:rFonts w:ascii="Arial" w:cs="Arial" w:eastAsia="Arial" w:hAnsi="Arial"/>
                <w:sz w:val="16"/>
                <w:szCs w:val="16"/>
                <w:b w:val="1"/>
                <w:bCs w:val="1"/>
                <w:color w:val="auto"/>
                <w:w w:val="97"/>
              </w:rPr>
              <w:t>Preferred Shares</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4"/>
          </w:tcPr>
          <w:p>
            <w:pPr>
              <w:jc w:val="right"/>
              <w:ind w:right="82"/>
              <w:spacing w:after="0" w:line="181" w:lineRule="exact"/>
              <w:rPr>
                <w:sz w:val="20"/>
                <w:szCs w:val="20"/>
                <w:color w:val="auto"/>
              </w:rPr>
            </w:pPr>
            <w:r>
              <w:rPr>
                <w:rFonts w:ascii="Arial" w:cs="Arial" w:eastAsia="Arial" w:hAnsi="Arial"/>
                <w:sz w:val="16"/>
                <w:szCs w:val="16"/>
                <w:b w:val="1"/>
                <w:bCs w:val="1"/>
                <w:color w:val="auto"/>
              </w:rPr>
              <w:t>Common 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60"/>
              <w:spacing w:after="0" w:line="181"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7"/>
              </w:rPr>
              <w:t>(Series A, B and C)</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6"/>
                <w:szCs w:val="16"/>
                <w:b w:val="1"/>
                <w:bCs w:val="1"/>
                <w:color w:val="auto"/>
              </w:rPr>
              <w:t>(Class A and B)</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7"/>
              </w:rPr>
              <w:t>Accumulated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Shareholders'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5"/>
              </w:rPr>
              <w:t>Amount</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Deficit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60" w:type="dxa"/>
            <w:vAlign w:val="bottom"/>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Balances at</w:t>
            </w: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2015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8,028,809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37,398</w:t>
            </w:r>
          </w:p>
        </w:tc>
        <w:tc>
          <w:tcPr>
            <w:tcW w:w="240" w:type="dxa"/>
            <w:vAlign w:val="bottom"/>
            <w:tcBorders>
              <w:right w:val="single" w:sz="8" w:color="auto"/>
            </w:tcBorders>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4,282,020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(2,152)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184"/>
        </w:trPr>
        <w:tc>
          <w:tcPr>
            <w:tcW w:w="1880" w:type="dxa"/>
            <w:vAlign w:val="bottom"/>
            <w:gridSpan w:val="2"/>
          </w:tcPr>
          <w:p>
            <w:pPr>
              <w:spacing w:after="0"/>
              <w:rPr>
                <w:sz w:val="20"/>
                <w:szCs w:val="20"/>
                <w:color w:val="auto"/>
              </w:rPr>
            </w:pPr>
            <w:r>
              <w:rPr>
                <w:rFonts w:ascii="Arial" w:cs="Arial" w:eastAsia="Arial" w:hAnsi="Arial"/>
                <w:sz w:val="16"/>
                <w:szCs w:val="16"/>
                <w:color w:val="auto"/>
              </w:rPr>
              <w:t>Issuance of Series A</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tcPr>
          <w:p>
            <w:pPr>
              <w:ind w:left="100"/>
              <w:spacing w:after="0" w:line="181" w:lineRule="exact"/>
              <w:rPr>
                <w:sz w:val="20"/>
                <w:szCs w:val="20"/>
                <w:color w:val="auto"/>
              </w:rPr>
            </w:pPr>
            <w:r>
              <w:rPr>
                <w:rFonts w:ascii="Arial" w:cs="Arial" w:eastAsia="Arial" w:hAnsi="Arial"/>
                <w:sz w:val="16"/>
                <w:szCs w:val="16"/>
                <w:color w:val="auto"/>
              </w:rPr>
              <w:t>convertible preferred</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tcPr>
          <w:p>
            <w:pPr>
              <w:ind w:left="100"/>
              <w:spacing w:after="0" w:line="181" w:lineRule="exact"/>
              <w:rPr>
                <w:sz w:val="20"/>
                <w:szCs w:val="20"/>
                <w:color w:val="auto"/>
              </w:rPr>
            </w:pPr>
            <w:r>
              <w:rPr>
                <w:rFonts w:ascii="Arial" w:cs="Arial" w:eastAsia="Arial" w:hAnsi="Arial"/>
                <w:sz w:val="16"/>
                <w:szCs w:val="16"/>
                <w:color w:val="auto"/>
              </w:rPr>
              <w:t>shares, net of</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tcPr>
          <w:p>
            <w:pPr>
              <w:ind w:left="100"/>
              <w:spacing w:after="0" w:line="178" w:lineRule="exact"/>
              <w:rPr>
                <w:sz w:val="20"/>
                <w:szCs w:val="20"/>
                <w:color w:val="auto"/>
              </w:rPr>
            </w:pPr>
            <w:r>
              <w:rPr>
                <w:rFonts w:ascii="Arial" w:cs="Arial" w:eastAsia="Arial" w:hAnsi="Arial"/>
                <w:sz w:val="16"/>
                <w:szCs w:val="16"/>
                <w:color w:val="auto"/>
              </w:rPr>
              <w:t>issuance costs of $1</w:t>
            </w: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9,099,311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42,499</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Exercise of options</w:t>
            </w: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6,309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gridSpan w:val="2"/>
          </w:tcPr>
          <w:p>
            <w:pPr>
              <w:spacing w:after="0"/>
              <w:rPr>
                <w:sz w:val="20"/>
                <w:szCs w:val="20"/>
                <w:color w:val="auto"/>
              </w:rPr>
            </w:pPr>
            <w:r>
              <w:rPr>
                <w:rFonts w:ascii="Arial" w:cs="Arial" w:eastAsia="Arial" w:hAnsi="Arial"/>
                <w:sz w:val="16"/>
                <w:szCs w:val="16"/>
                <w:color w:val="auto"/>
              </w:rPr>
              <w:t>Share-based</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tcPr>
          <w:p>
            <w:pPr>
              <w:ind w:left="100"/>
              <w:spacing w:after="0" w:line="181" w:lineRule="exact"/>
              <w:rPr>
                <w:sz w:val="20"/>
                <w:szCs w:val="20"/>
                <w:color w:val="auto"/>
              </w:rPr>
            </w:pPr>
            <w:r>
              <w:rPr>
                <w:rFonts w:ascii="Arial" w:cs="Arial" w:eastAsia="Arial" w:hAnsi="Arial"/>
                <w:sz w:val="16"/>
                <w:szCs w:val="16"/>
                <w:color w:val="auto"/>
              </w:rPr>
              <w:t>compensation</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tcPr>
          <w:p>
            <w:pPr>
              <w:ind w:left="100"/>
              <w:spacing w:after="0" w:line="178" w:lineRule="exact"/>
              <w:rPr>
                <w:sz w:val="20"/>
                <w:szCs w:val="20"/>
                <w:color w:val="auto"/>
              </w:rPr>
            </w:pPr>
            <w:r>
              <w:rPr>
                <w:rFonts w:ascii="Arial" w:cs="Arial" w:eastAsia="Arial" w:hAnsi="Arial"/>
                <w:sz w:val="16"/>
                <w:szCs w:val="16"/>
                <w:color w:val="auto"/>
              </w:rPr>
              <w:t>expense</w:t>
            </w: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368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368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w:t>
            </w: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(23,973)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(23,973)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spacing w:after="0" w:line="156" w:lineRule="exact"/>
              <w:rPr>
                <w:sz w:val="20"/>
                <w:szCs w:val="20"/>
                <w:color w:val="auto"/>
              </w:rPr>
            </w:pPr>
            <w:r>
              <w:rPr>
                <w:rFonts w:ascii="Arial" w:cs="Arial" w:eastAsia="Arial" w:hAnsi="Arial"/>
                <w:sz w:val="16"/>
                <w:szCs w:val="16"/>
                <w:b w:val="1"/>
                <w:bCs w:val="1"/>
                <w:color w:val="auto"/>
              </w:rPr>
              <w:t>Balances at</w:t>
            </w: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Pr>
          <w:p>
            <w:pPr>
              <w:ind w:left="100"/>
              <w:spacing w:after="0"/>
              <w:rPr>
                <w:sz w:val="20"/>
                <w:szCs w:val="20"/>
                <w:color w:val="auto"/>
              </w:rPr>
            </w:pPr>
            <w:r>
              <w:rPr>
                <w:rFonts w:ascii="Arial" w:cs="Arial" w:eastAsia="Arial" w:hAnsi="Arial"/>
                <w:sz w:val="16"/>
                <w:szCs w:val="16"/>
                <w:b w:val="1"/>
                <w:bCs w:val="1"/>
                <w:color w:val="auto"/>
              </w:rPr>
              <w:t>December 31, 2016</w:t>
            </w:r>
          </w:p>
        </w:tc>
        <w:tc>
          <w:tcPr>
            <w:tcW w:w="860" w:type="dxa"/>
            <w:vAlign w:val="bottom"/>
          </w:tcPr>
          <w:p>
            <w:pPr>
              <w:jc w:val="right"/>
              <w:spacing w:after="0"/>
              <w:rPr>
                <w:sz w:val="20"/>
                <w:szCs w:val="20"/>
                <w:color w:val="auto"/>
              </w:rPr>
            </w:pPr>
            <w:r>
              <w:rPr>
                <w:rFonts w:ascii="Arial" w:cs="Arial" w:eastAsia="Arial" w:hAnsi="Arial"/>
                <w:sz w:val="16"/>
                <w:szCs w:val="16"/>
                <w:color w:val="auto"/>
              </w:rPr>
              <w:t>17,128,120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79,897</w:t>
            </w:r>
          </w:p>
        </w:tc>
        <w:tc>
          <w:tcPr>
            <w:tcW w:w="240" w:type="dxa"/>
            <w:vAlign w:val="bottom"/>
            <w:tcBorders>
              <w:right w:val="single" w:sz="8" w:color="auto"/>
            </w:tcBorders>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4,288,329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(26,125)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(25,732)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B</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convertible preferred</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shares, net of</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issuance costs of $127</w:t>
            </w: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5,757,372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39,873</w:t>
            </w: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1880" w:type="dxa"/>
            <w:vAlign w:val="bottom"/>
            <w:gridSpan w:val="2"/>
          </w:tcPr>
          <w:p>
            <w:pPr>
              <w:spacing w:after="0"/>
              <w:rPr>
                <w:sz w:val="20"/>
                <w:szCs w:val="20"/>
                <w:color w:val="auto"/>
              </w:rPr>
            </w:pPr>
            <w:r>
              <w:rPr>
                <w:rFonts w:ascii="Arial" w:cs="Arial" w:eastAsia="Arial" w:hAnsi="Arial"/>
                <w:sz w:val="16"/>
                <w:szCs w:val="16"/>
                <w:color w:val="auto"/>
              </w:rPr>
              <w:t>Share-based</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tcPr>
          <w:p>
            <w:pPr>
              <w:ind w:left="100"/>
              <w:spacing w:after="0" w:line="181" w:lineRule="exact"/>
              <w:rPr>
                <w:sz w:val="20"/>
                <w:szCs w:val="20"/>
                <w:color w:val="auto"/>
              </w:rPr>
            </w:pPr>
            <w:r>
              <w:rPr>
                <w:rFonts w:ascii="Arial" w:cs="Arial" w:eastAsia="Arial" w:hAnsi="Arial"/>
                <w:sz w:val="16"/>
                <w:szCs w:val="16"/>
                <w:color w:val="auto"/>
              </w:rPr>
              <w:t>compensation</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tcPr>
          <w:p>
            <w:pPr>
              <w:ind w:left="100"/>
              <w:spacing w:after="0" w:line="178" w:lineRule="exact"/>
              <w:rPr>
                <w:sz w:val="20"/>
                <w:szCs w:val="20"/>
                <w:color w:val="auto"/>
              </w:rPr>
            </w:pPr>
            <w:r>
              <w:rPr>
                <w:rFonts w:ascii="Arial" w:cs="Arial" w:eastAsia="Arial" w:hAnsi="Arial"/>
                <w:sz w:val="16"/>
                <w:szCs w:val="16"/>
                <w:color w:val="auto"/>
              </w:rPr>
              <w:t>expense</w:t>
            </w: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897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897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loss</w:t>
            </w: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(64,873)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(64,873)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spacing w:after="0" w:line="156" w:lineRule="exact"/>
              <w:rPr>
                <w:sz w:val="20"/>
                <w:szCs w:val="20"/>
                <w:color w:val="auto"/>
              </w:rPr>
            </w:pPr>
            <w:r>
              <w:rPr>
                <w:rFonts w:ascii="Arial" w:cs="Arial" w:eastAsia="Arial" w:hAnsi="Arial"/>
                <w:sz w:val="16"/>
                <w:szCs w:val="16"/>
                <w:b w:val="1"/>
                <w:bCs w:val="1"/>
                <w:color w:val="auto"/>
              </w:rPr>
              <w:t>Balances at</w:t>
            </w: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Pr>
          <w:p>
            <w:pPr>
              <w:ind w:left="100"/>
              <w:spacing w:after="0"/>
              <w:rPr>
                <w:sz w:val="20"/>
                <w:szCs w:val="20"/>
                <w:color w:val="auto"/>
              </w:rPr>
            </w:pPr>
            <w:r>
              <w:rPr>
                <w:rFonts w:ascii="Arial" w:cs="Arial" w:eastAsia="Arial" w:hAnsi="Arial"/>
                <w:sz w:val="16"/>
                <w:szCs w:val="16"/>
                <w:b w:val="1"/>
                <w:bCs w:val="1"/>
                <w:color w:val="auto"/>
              </w:rPr>
              <w:t>December 31, 2017</w:t>
            </w:r>
          </w:p>
        </w:tc>
        <w:tc>
          <w:tcPr>
            <w:tcW w:w="860" w:type="dxa"/>
            <w:vAlign w:val="bottom"/>
          </w:tcPr>
          <w:p>
            <w:pPr>
              <w:jc w:val="right"/>
              <w:spacing w:after="0"/>
              <w:rPr>
                <w:sz w:val="20"/>
                <w:szCs w:val="20"/>
                <w:color w:val="auto"/>
              </w:rPr>
            </w:pPr>
            <w:r>
              <w:rPr>
                <w:rFonts w:ascii="Arial" w:cs="Arial" w:eastAsia="Arial" w:hAnsi="Arial"/>
                <w:sz w:val="16"/>
                <w:szCs w:val="16"/>
                <w:color w:val="auto"/>
              </w:rPr>
              <w:t>22,885,492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119,770</w:t>
            </w:r>
          </w:p>
        </w:tc>
        <w:tc>
          <w:tcPr>
            <w:tcW w:w="240" w:type="dxa"/>
            <w:vAlign w:val="bottom"/>
            <w:tcBorders>
              <w:right w:val="single" w:sz="8" w:color="auto"/>
            </w:tcBorders>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4,288,329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(90,998)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(89,708)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C</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convertible preferred</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shares, net of</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issuance costs of</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$9,178</w:t>
            </w: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12,784,601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190,822</w:t>
            </w: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1880" w:type="dxa"/>
            <w:vAlign w:val="bottom"/>
            <w:gridSpan w:val="2"/>
          </w:tcPr>
          <w:p>
            <w:pPr>
              <w:spacing w:after="0" w:line="181" w:lineRule="exact"/>
              <w:rPr>
                <w:sz w:val="20"/>
                <w:szCs w:val="20"/>
                <w:color w:val="auto"/>
              </w:rPr>
            </w:pPr>
            <w:r>
              <w:rPr>
                <w:rFonts w:ascii="Arial" w:cs="Arial" w:eastAsia="Arial" w:hAnsi="Arial"/>
                <w:sz w:val="16"/>
                <w:szCs w:val="16"/>
                <w:color w:val="auto"/>
              </w:rPr>
              <w:t>Exercise of options</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5"/>
                <w:szCs w:val="15"/>
                <w:color w:val="auto"/>
              </w:rPr>
            </w:pPr>
          </w:p>
        </w:tc>
        <w:tc>
          <w:tcPr>
            <w:tcW w:w="9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4,574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17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Share-based</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compensation</w:t>
            </w: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expense</w:t>
            </w: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558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558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80" w:type="dxa"/>
            <w:vAlign w:val="bottom"/>
            <w:gridSpan w:val="2"/>
          </w:tcPr>
          <w:p>
            <w:pPr>
              <w:spacing w:after="0" w:line="181" w:lineRule="exact"/>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(15,982)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Balances at March 31,</w:t>
            </w: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2018 (unaudited)</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35,670,093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310,592</w:t>
            </w:r>
          </w:p>
        </w:tc>
        <w:tc>
          <w:tcPr>
            <w:tcW w:w="240" w:type="dxa"/>
            <w:vAlign w:val="bottom"/>
            <w:tcBorders>
              <w:right w:val="single" w:sz="8" w:color="auto"/>
            </w:tcBorders>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4,292,903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(106,980)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0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400"/>
          </w:cols>
          <w:pgMar w:left="240" w:top="142" w:right="125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184"/>
        </w:trPr>
        <w:tc>
          <w:tcPr>
            <w:tcW w:w="688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9"/>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80" w:type="dxa"/>
            <w:vAlign w:val="bottom"/>
            <w:gridSpan w:val="3"/>
          </w:tcPr>
          <w:p>
            <w:pPr>
              <w:jc w:val="center"/>
              <w:ind w:left="2982"/>
              <w:spacing w:after="0"/>
              <w:rPr>
                <w:sz w:val="20"/>
                <w:szCs w:val="20"/>
                <w:color w:val="auto"/>
              </w:rPr>
            </w:pPr>
            <w:r>
              <w:rPr>
                <w:rFonts w:ascii="Arial" w:cs="Arial" w:eastAsia="Arial" w:hAnsi="Arial"/>
                <w:sz w:val="16"/>
                <w:szCs w:val="16"/>
                <w:b w:val="1"/>
                <w:bCs w:val="1"/>
                <w:color w:val="auto"/>
                <w:w w:val="97"/>
              </w:rPr>
              <w:t>KINIKSA PHARMACEUTICALS, LTD.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40" w:type="dxa"/>
            <w:vAlign w:val="bottom"/>
            <w:gridSpan w:val="5"/>
          </w:tcPr>
          <w:p>
            <w:pPr>
              <w:jc w:val="center"/>
              <w:ind w:left="2322"/>
              <w:spacing w:after="0"/>
              <w:rPr>
                <w:sz w:val="20"/>
                <w:szCs w:val="20"/>
                <w:color w:val="auto"/>
              </w:rPr>
            </w:pPr>
            <w:r>
              <w:rPr>
                <w:rFonts w:ascii="Arial" w:cs="Arial" w:eastAsia="Arial" w:hAnsi="Arial"/>
                <w:sz w:val="16"/>
                <w:szCs w:val="16"/>
                <w:b w:val="1"/>
                <w:bCs w:val="1"/>
                <w:color w:val="auto"/>
                <w:w w:val="97"/>
              </w:rPr>
              <w:t>CONSOLIDATED STATEMENTS OF CASH FLOWS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tcPr>
          <w:p>
            <w:pPr>
              <w:jc w:val="center"/>
              <w:ind w:left="3222"/>
              <w:spacing w:after="0"/>
              <w:rPr>
                <w:sz w:val="20"/>
                <w:szCs w:val="20"/>
                <w:color w:val="auto"/>
              </w:rPr>
            </w:pPr>
            <w:r>
              <w:rPr>
                <w:rFonts w:ascii="Arial" w:cs="Arial" w:eastAsia="Arial" w:hAnsi="Arial"/>
                <w:sz w:val="16"/>
                <w:szCs w:val="16"/>
                <w:b w:val="1"/>
                <w:bCs w:val="1"/>
                <w:color w:val="auto"/>
                <w:w w:val="97"/>
              </w:rPr>
              <w:t>(In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9"/>
              </w:rPr>
              <w:t>Three Months</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6"/>
          </w:tcPr>
          <w:p>
            <w:pPr>
              <w:jc w:val="right"/>
              <w:ind w:right="380"/>
              <w:spacing w:after="0" w:line="181" w:lineRule="exact"/>
              <w:rPr>
                <w:sz w:val="20"/>
                <w:szCs w:val="20"/>
                <w:color w:val="auto"/>
              </w:rPr>
            </w:pPr>
            <w:r>
              <w:rPr>
                <w:rFonts w:ascii="Arial" w:cs="Arial" w:eastAsia="Arial" w:hAnsi="Arial"/>
                <w:sz w:val="16"/>
                <w:szCs w:val="16"/>
                <w:b w:val="1"/>
                <w:bCs w:val="1"/>
                <w:color w:val="auto"/>
              </w:rPr>
              <w:t>Year Ended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6"/>
          </w:tcPr>
          <w:p>
            <w:pPr>
              <w:jc w:val="center"/>
              <w:ind w:right="160"/>
              <w:spacing w:after="0" w:line="181" w:lineRule="exact"/>
              <w:rPr>
                <w:sz w:val="20"/>
                <w:szCs w:val="20"/>
                <w:color w:val="auto"/>
              </w:rPr>
            </w:pPr>
            <w:r>
              <w:rPr>
                <w:rFonts w:ascii="Arial" w:cs="Arial" w:eastAsia="Arial" w:hAnsi="Arial"/>
                <w:sz w:val="16"/>
                <w:szCs w:val="16"/>
                <w:b w:val="1"/>
                <w:bCs w:val="1"/>
                <w:color w:val="auto"/>
                <w:w w:val="98"/>
              </w:rPr>
              <w:t>Ended</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w w:val="80"/>
              </w:rPr>
              <w:t>(unaudited)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Net loss</w:t>
            </w:r>
          </w:p>
        </w:tc>
        <w:tc>
          <w:tcPr>
            <w:tcW w:w="2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(23,973)</w:t>
            </w:r>
          </w:p>
        </w:tc>
        <w:tc>
          <w:tcPr>
            <w:tcW w:w="1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(64,873)</w:t>
            </w:r>
          </w:p>
        </w:tc>
        <w:tc>
          <w:tcPr>
            <w:tcW w:w="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(4,941)</w:t>
            </w:r>
          </w:p>
        </w:tc>
        <w:tc>
          <w:tcPr>
            <w:tcW w:w="16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60"/>
              <w:spacing w:after="0" w:line="181" w:lineRule="exact"/>
              <w:rPr>
                <w:sz w:val="20"/>
                <w:szCs w:val="20"/>
                <w:color w:val="auto"/>
              </w:rPr>
            </w:pPr>
            <w:r>
              <w:rPr>
                <w:rFonts w:ascii="Arial" w:cs="Arial" w:eastAsia="Arial" w:hAnsi="Arial"/>
                <w:sz w:val="16"/>
                <w:szCs w:val="16"/>
                <w:color w:val="auto"/>
              </w:rPr>
              <w:t>Depreciation expense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28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rPr>
              <w:t>Share-based compensation expense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897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60"/>
              <w:spacing w:after="0" w:line="181" w:lineRule="exact"/>
              <w:rPr>
                <w:sz w:val="20"/>
                <w:szCs w:val="20"/>
                <w:color w:val="auto"/>
              </w:rPr>
            </w:pPr>
            <w:r>
              <w:rPr>
                <w:rFonts w:ascii="Arial" w:cs="Arial" w:eastAsia="Arial" w:hAnsi="Arial"/>
                <w:sz w:val="16"/>
                <w:szCs w:val="16"/>
                <w:color w:val="auto"/>
              </w:rPr>
              <w:t>Loss on disposal of property and equipment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66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rPr>
              <w:t>Non-cash rent expense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60"/>
              <w:spacing w:after="0" w:line="181" w:lineRule="exact"/>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(197)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(34)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220"/>
              <w:spacing w:after="0" w:line="181" w:lineRule="exact"/>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(219)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(1,185)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204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1,091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220"/>
              <w:spacing w:after="0" w:line="181" w:lineRule="exact"/>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1,862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4,105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(1,078)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Accrued milestone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60" w:type="dxa"/>
            <w:vAlign w:val="bottom"/>
            <w:vMerge w:val="restart"/>
          </w:tcPr>
          <w:p>
            <w:pPr>
              <w:ind w:left="60"/>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(21,867)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(50,219)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(5,679)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(14,972)</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Purchases of property and equipment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73" w:lineRule="exact"/>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(69)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4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Proceeds from issuance of Series A convertible preferred shares, net of issuance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78" w:lineRule="exact"/>
              <w:rPr>
                <w:sz w:val="20"/>
                <w:szCs w:val="20"/>
                <w:color w:val="auto"/>
              </w:rPr>
            </w:pPr>
            <w:r>
              <w:rPr>
                <w:rFonts w:ascii="Arial" w:cs="Arial" w:eastAsia="Arial" w:hAnsi="Arial"/>
                <w:sz w:val="16"/>
                <w:szCs w:val="16"/>
                <w:color w:val="auto"/>
              </w:rPr>
              <w:t>costs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42,499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6880" w:type="dxa"/>
            <w:vAlign w:val="bottom"/>
            <w:gridSpan w:val="3"/>
          </w:tcPr>
          <w:p>
            <w:pPr>
              <w:ind w:left="1140"/>
              <w:spacing w:after="0"/>
              <w:rPr>
                <w:sz w:val="20"/>
                <w:szCs w:val="20"/>
                <w:color w:val="auto"/>
              </w:rPr>
            </w:pPr>
            <w:r>
              <w:rPr>
                <w:rFonts w:ascii="Arial" w:cs="Arial" w:eastAsia="Arial" w:hAnsi="Arial"/>
                <w:sz w:val="16"/>
                <w:szCs w:val="16"/>
                <w:color w:val="auto"/>
                <w:w w:val="99"/>
              </w:rPr>
              <w:t>Proceeds from issuance of Series B convertible preferred shares, net of issuance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60"/>
              <w:spacing w:after="0" w:line="178" w:lineRule="exact"/>
              <w:rPr>
                <w:sz w:val="20"/>
                <w:szCs w:val="20"/>
                <w:color w:val="auto"/>
              </w:rPr>
            </w:pPr>
            <w:r>
              <w:rPr>
                <w:rFonts w:ascii="Arial" w:cs="Arial" w:eastAsia="Arial" w:hAnsi="Arial"/>
                <w:sz w:val="16"/>
                <w:szCs w:val="16"/>
                <w:color w:val="auto"/>
              </w:rPr>
              <w:t>costs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rPr>
              <w:t>39,873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78" w:lineRule="exact"/>
              <w:rPr>
                <w:sz w:val="20"/>
                <w:szCs w:val="20"/>
                <w:color w:val="auto"/>
              </w:rPr>
            </w:pPr>
            <w:r>
              <w:rPr>
                <w:rFonts w:ascii="Arial" w:cs="Arial" w:eastAsia="Arial" w:hAnsi="Arial"/>
                <w:sz w:val="16"/>
                <w:szCs w:val="16"/>
                <w:color w:val="auto"/>
              </w:rPr>
              <w:t>39,873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Proceeds from issuance of Series C convertible preferred shares, net of issuance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60" w:type="dxa"/>
            <w:vAlign w:val="bottom"/>
            <w:shd w:val="clear" w:color="auto" w:fill="CCEEFF"/>
          </w:tcPr>
          <w:p>
            <w:pPr>
              <w:ind w:left="60"/>
              <w:spacing w:after="0" w:line="178" w:lineRule="exact"/>
              <w:rPr>
                <w:sz w:val="20"/>
                <w:szCs w:val="20"/>
                <w:color w:val="auto"/>
              </w:rPr>
            </w:pPr>
            <w:r>
              <w:rPr>
                <w:rFonts w:ascii="Arial" w:cs="Arial" w:eastAsia="Arial" w:hAnsi="Arial"/>
                <w:sz w:val="16"/>
                <w:szCs w:val="16"/>
                <w:color w:val="auto"/>
              </w:rPr>
              <w:t>costs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190,822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Payments of deferred offering costs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Proceeds from exercise of options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60" w:type="dxa"/>
            <w:vAlign w:val="bottom"/>
          </w:tcPr>
          <w:p>
            <w:pPr>
              <w:ind w:left="60"/>
              <w:spacing w:after="0" w:line="173" w:lineRule="exact"/>
              <w:rPr>
                <w:sz w:val="20"/>
                <w:szCs w:val="20"/>
                <w:color w:val="auto"/>
              </w:rPr>
            </w:pPr>
            <w:r>
              <w:rPr>
                <w:rFonts w:ascii="Arial" w:cs="Arial" w:eastAsia="Arial" w:hAnsi="Arial"/>
                <w:sz w:val="16"/>
                <w:szCs w:val="16"/>
                <w:color w:val="auto"/>
              </w:rPr>
              <w:t>Net cash provided by financing activities</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42,509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39,873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39,873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190,810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Net increase (decrease) in cash and cash equivalents and restricted cash</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20,639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(10,415)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34,176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175,763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Cash and cash equivalents and restricted cash at beginning of period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35,436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56,075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56,075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45,660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Cash and cash equivalents and restricted cash at end of period</w:t>
            </w:r>
          </w:p>
        </w:tc>
        <w:tc>
          <w:tcPr>
            <w:tcW w:w="22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56,075</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45,660</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90,251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40"/>
              <w:spacing w:after="0" w:line="173"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221,423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ind w:left="1140"/>
              <w:spacing w:after="0"/>
              <w:rPr>
                <w:sz w:val="20"/>
                <w:szCs w:val="20"/>
                <w:color w:val="auto"/>
              </w:rPr>
            </w:pPr>
            <w:r>
              <w:rPr>
                <w:rFonts w:ascii="Arial" w:cs="Arial" w:eastAsia="Arial" w:hAnsi="Arial"/>
                <w:sz w:val="16"/>
                <w:szCs w:val="16"/>
                <w:b w:val="1"/>
                <w:bCs w:val="1"/>
                <w:color w:val="auto"/>
              </w:rPr>
              <w:t>Supplemental information:</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Cash paid for income taxes</w:t>
            </w:r>
          </w:p>
        </w:tc>
        <w:tc>
          <w:tcPr>
            <w:tcW w:w="2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2"/>
        </w:trPr>
        <w:tc>
          <w:tcPr>
            <w:tcW w:w="6880" w:type="dxa"/>
            <w:vAlign w:val="bottom"/>
            <w:gridSpan w:val="3"/>
          </w:tcPr>
          <w:p>
            <w:pPr>
              <w:ind w:left="114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57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Deferred offering costs included in accrued expenses and accounts payable</w:t>
            </w:r>
          </w:p>
        </w:tc>
        <w:tc>
          <w:tcPr>
            <w:tcW w:w="2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1,579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12" w:right="1379" w:bottom="1440" w:gutter="0" w:footer="0" w:header="0"/>
        </w:sectPr>
      </w:pPr>
    </w:p>
    <w:bookmarkStart w:id="226" w:name="page227"/>
    <w:bookmarkEnd w:id="2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KINIKSA PHARMACEUTICALS, LTD.</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8"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 and Basis of Presentation</w:t>
      </w:r>
    </w:p>
    <w:p>
      <w:pPr>
        <w:spacing w:after="0" w:line="210" w:lineRule="exact"/>
        <w:rPr>
          <w:sz w:val="20"/>
          <w:szCs w:val="20"/>
          <w:color w:val="auto"/>
        </w:rPr>
      </w:pPr>
    </w:p>
    <w:p>
      <w:pPr>
        <w:ind w:right="140" w:firstLine="436"/>
        <w:spacing w:after="0" w:line="238" w:lineRule="auto"/>
        <w:rPr>
          <w:sz w:val="20"/>
          <w:szCs w:val="20"/>
          <w:color w:val="auto"/>
        </w:rPr>
      </w:pPr>
      <w:r>
        <w:rPr>
          <w:rFonts w:ascii="Arial" w:cs="Arial" w:eastAsia="Arial" w:hAnsi="Arial"/>
          <w:sz w:val="16"/>
          <w:szCs w:val="16"/>
          <w:color w:val="auto"/>
        </w:rPr>
        <w:t>Kiniksa Pharmaceuticals, Ltd. (the "Company") is a clinical-stage biopharmaceutical company focused on discovering, acquiring, developing and commercializing therapeutic medicines for patients suffering from debilitating diseases with significant unmet medical need. The Company was incorporated in July 2015 as a Bermuda exempted company. The Company has a pipeline of product candidates across various stages of development, currently focused on autoinflammatory and autoimmune conditions.</w:t>
      </w:r>
    </w:p>
    <w:p>
      <w:pPr>
        <w:spacing w:after="0" w:line="187" w:lineRule="exact"/>
        <w:rPr>
          <w:sz w:val="20"/>
          <w:szCs w:val="20"/>
          <w:color w:val="auto"/>
        </w:rPr>
      </w:pPr>
    </w:p>
    <w:p>
      <w:pPr>
        <w:ind w:right="120" w:firstLine="433"/>
        <w:spacing w:after="0" w:line="237"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There can be no assurance that the Company's research and development will be successfully completed, that adequate protection for the Company's technology will be obtained, that any products developed will obtain necessary government regulatory approval or that any products, if approved, will be commercially viable. The Company operates in an environment of rapid technological innovation and substantial competition from pharmaceutical and biotechnological companies. In addition, the Company is dependent upon the services of its employees, consultants and service providers. Even if the Company's product development efforts are successful, it is uncertain when, if ever, the Company will realize significant revenue from product sales.</w:t>
      </w:r>
    </w:p>
    <w:p>
      <w:pPr>
        <w:spacing w:after="0" w:line="188" w:lineRule="exact"/>
        <w:rPr>
          <w:sz w:val="20"/>
          <w:szCs w:val="20"/>
          <w:color w:val="auto"/>
        </w:rPr>
      </w:pPr>
    </w:p>
    <w:p>
      <w:pPr>
        <w:ind w:right="140" w:firstLine="433"/>
        <w:spacing w:after="0" w:line="251" w:lineRule="auto"/>
        <w:rPr>
          <w:sz w:val="20"/>
          <w:szCs w:val="20"/>
          <w:color w:val="auto"/>
        </w:rPr>
      </w:pPr>
      <w:r>
        <w:rPr>
          <w:rFonts w:ascii="Arial" w:cs="Arial" w:eastAsia="Arial" w:hAnsi="Arial"/>
          <w:sz w:val="15"/>
          <w:szCs w:val="15"/>
          <w:color w:val="auto"/>
        </w:rPr>
        <w:t>Through December 31, 2017 and March 31, 2018 (unaudited), the Company has funded its operations primarily with proceeds from the sale of convertible preferred shares. The Company has incurred recurring losses since its inception, including net losses of $23,973 and $64,873 for the years ended December 31, 2016 and 2017, respectively and $4,941 and $15,982 for the three months ended March 31, 2017 and 2018 (unaudited), respectively. In addition, as of December 31, 2017 and March 31, 2018 (unaudited), the Company had an accumulated deficit of $90,998 and $106,980, respectively. The Company expects to continue to generate operating losses for the foreseeable future. As of February 27, 2018, the issuance date of the annual consolidated financial statements for the years ended December 31, 2016 and 2017, the Company expected that its cash and cash equivalents of $45,555 as of December 31, 2017, together with the</w:t>
      </w:r>
    </w:p>
    <w:p>
      <w:pPr>
        <w:spacing w:after="0" w:line="3"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$200,000 of gross proceeds received from the Company's sale of Series C convertible preferred shares in February 2018 (see Note 6), would be sufficient to fund its operating expenses and capital expenditure requirements for at least twelve months from the issuance date of the annual consolidated financial statements. As of April 27, 2018, the issuance date of the interim consolidated financial statements for the three months ended March 31, 2018, the Company expected that its cash and cash equivalents of $221,108 as of March 31, 2018 (unaudited) would be sufficient to fund its operating expenses and capital expenditure requirements for at least twelve months from the issuance date of the interim consolidated financial statements. The future viability of the Company beyond that point is dependent on its ability to raise additional capital to finance its operations.</w:t>
      </w:r>
    </w:p>
    <w:p>
      <w:pPr>
        <w:spacing w:after="0" w:line="188" w:lineRule="exact"/>
        <w:rPr>
          <w:sz w:val="20"/>
          <w:szCs w:val="20"/>
          <w:color w:val="auto"/>
        </w:rPr>
      </w:pPr>
    </w:p>
    <w:p>
      <w:pPr>
        <w:ind w:right="100" w:firstLine="433"/>
        <w:spacing w:after="0" w:line="237" w:lineRule="auto"/>
        <w:rPr>
          <w:sz w:val="20"/>
          <w:szCs w:val="20"/>
          <w:color w:val="auto"/>
        </w:rPr>
      </w:pPr>
      <w:r>
        <w:rPr>
          <w:rFonts w:ascii="Arial" w:cs="Arial" w:eastAsia="Arial" w:hAnsi="Arial"/>
          <w:sz w:val="16"/>
          <w:szCs w:val="16"/>
          <w:color w:val="auto"/>
        </w:rPr>
        <w:t>The Company is seeking to complete an initial public offering ("IPO") of its common shares. Upon the closing of a qualified public offering, on specified terms, the Company's outstanding convertible preferred shares will automatically convert into common shares (see Note 6). In the event the Company does not complete an IPO, the Company expects to seek additional funding through private equity financings, debt financings, or other capital sources, which may include collaborations with other companies, government funding arrangements or other strategic transactions. The Company may not be able to obtain financing on acceptable terms, or at all.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7" w:name="page228"/>
    <w:bookmarkEnd w:id="227"/>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4"/>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 Nature of the Business and Basis of Presentation (Continued)</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6"/>
          <w:szCs w:val="16"/>
          <w:color w:val="auto"/>
        </w:rPr>
        <w:t>terms of any financing may adversely affect the holdings or the rights of the Company's shareholders.</w:t>
      </w:r>
    </w:p>
    <w:p>
      <w:pPr>
        <w:spacing w:after="0" w:line="190" w:lineRule="exact"/>
        <w:rPr>
          <w:sz w:val="20"/>
          <w:szCs w:val="20"/>
          <w:color w:val="auto"/>
        </w:rPr>
      </w:pPr>
    </w:p>
    <w:p>
      <w:pPr>
        <w:ind w:left="4" w:right="40" w:firstLine="436"/>
        <w:spacing w:after="0" w:line="238" w:lineRule="auto"/>
        <w:rPr>
          <w:sz w:val="20"/>
          <w:szCs w:val="20"/>
          <w:color w:val="auto"/>
        </w:rPr>
      </w:pPr>
      <w:r>
        <w:rPr>
          <w:rFonts w:ascii="Arial" w:cs="Arial" w:eastAsia="Arial" w:hAnsi="Arial"/>
          <w:sz w:val="16"/>
          <w:szCs w:val="16"/>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67" w:lineRule="exact"/>
        <w:rPr>
          <w:sz w:val="20"/>
          <w:szCs w:val="20"/>
          <w:color w:val="auto"/>
        </w:rPr>
      </w:pPr>
    </w:p>
    <w:p>
      <w:pPr>
        <w:ind w:left="484" w:right="7960" w:hanging="484"/>
        <w:spacing w:after="0" w:line="500" w:lineRule="auto"/>
        <w:tabs>
          <w:tab w:leader="none" w:pos="175"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Principles of Consolidation</w:t>
      </w:r>
    </w:p>
    <w:p>
      <w:pPr>
        <w:spacing w:after="0" w:line="1" w:lineRule="exact"/>
        <w:rPr>
          <w:sz w:val="20"/>
          <w:szCs w:val="20"/>
          <w:color w:val="auto"/>
        </w:rPr>
      </w:pPr>
    </w:p>
    <w:p>
      <w:pPr>
        <w:jc w:val="both"/>
        <w:ind w:left="4" w:right="40" w:firstLine="433"/>
        <w:spacing w:after="0" w:line="239"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the Company and its wholly owned U.S. subsidiary, Kiniksa Pharmaceuticals Corp. ("Kiniksa US"), after elimination of all significant intercompany accounts and transactions.</w:t>
      </w:r>
    </w:p>
    <w:p>
      <w:pPr>
        <w:spacing w:after="0" w:line="186" w:lineRule="exact"/>
        <w:rPr>
          <w:sz w:val="20"/>
          <w:szCs w:val="20"/>
          <w:color w:val="auto"/>
        </w:rPr>
      </w:pPr>
    </w:p>
    <w:p>
      <w:pPr>
        <w:ind w:left="4" w:right="20" w:firstLine="436"/>
        <w:spacing w:after="0" w:line="237" w:lineRule="auto"/>
        <w:rPr>
          <w:sz w:val="20"/>
          <w:szCs w:val="20"/>
          <w:color w:val="auto"/>
        </w:rPr>
      </w:pPr>
      <w:r>
        <w:rPr>
          <w:rFonts w:ascii="Arial" w:cs="Arial" w:eastAsia="Arial" w:hAnsi="Arial"/>
          <w:sz w:val="16"/>
          <w:szCs w:val="16"/>
          <w:color w:val="auto"/>
        </w:rPr>
        <w:t>In assessing the consolidation requirement for variable interest entities ("VIEs"), the Company focuses on identifying whether it has both the power to direct the activities that most significantly impact the VIE's economic performance and the obligation to absorb losses or the right to receive benefits from the VIE. In the event that the Company is the primary beneficiary of a VIE, the assets, liabilities, and results of operations of the VIE would be included in the Company's consolidated financial statements. At December 31, 2016 and 2017 and during the years then ended and at March 31, 2018 and during the three months then ended (unaudited), the Company was not the primary beneficiary of a VIE.</w:t>
      </w:r>
    </w:p>
    <w:p>
      <w:pPr>
        <w:spacing w:after="0" w:line="171"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08" w:lineRule="exact"/>
        <w:rPr>
          <w:sz w:val="20"/>
          <w:szCs w:val="20"/>
          <w:color w:val="auto"/>
        </w:rPr>
      </w:pPr>
    </w:p>
    <w:p>
      <w:pPr>
        <w:ind w:left="4" w:right="120" w:firstLine="433"/>
        <w:spacing w:after="0" w:line="237"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for research and development expenses and the valuation of common shares and share-based awards. Estimates are periodically reviewed in light of changes in circumstances, facts and experience. Changes in estimates are recorded in the period in which they become known. Actual results could differ from those estimates.</w:t>
      </w:r>
    </w:p>
    <w:p>
      <w:pPr>
        <w:spacing w:after="0" w:line="170"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Unaudited Interim Financial Information</w:t>
      </w:r>
    </w:p>
    <w:p>
      <w:pPr>
        <w:spacing w:after="0" w:line="208" w:lineRule="exact"/>
        <w:rPr>
          <w:sz w:val="20"/>
          <w:szCs w:val="20"/>
          <w:color w:val="auto"/>
        </w:rPr>
      </w:pPr>
    </w:p>
    <w:p>
      <w:pPr>
        <w:ind w:left="4" w:firstLine="433"/>
        <w:spacing w:after="0" w:line="239" w:lineRule="auto"/>
        <w:rPr>
          <w:sz w:val="20"/>
          <w:szCs w:val="20"/>
          <w:color w:val="auto"/>
        </w:rPr>
      </w:pPr>
      <w:r>
        <w:rPr>
          <w:rFonts w:ascii="Arial" w:cs="Arial" w:eastAsia="Arial" w:hAnsi="Arial"/>
          <w:sz w:val="16"/>
          <w:szCs w:val="16"/>
          <w:color w:val="auto"/>
        </w:rPr>
        <w:t>The accompanying consolidated balance sheet as of March 31, 2018, the consolidated statements of operations and comprehensive loss and of cash flows for the three months ended March 31, 2017 and 2018, and the consolidated statement of convertible preferred shares and shareholders' deficit for the three months ended March 31, 2018 are unaudited. The unaudited interim consolidated financial statements have been prepared on the same basis as the audited</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228" w:name="page229"/>
    <w:bookmarkEnd w:id="2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jc w:val="both"/>
        <w:ind w:right="60"/>
        <w:spacing w:after="0" w:line="251" w:lineRule="auto"/>
        <w:rPr>
          <w:sz w:val="20"/>
          <w:szCs w:val="20"/>
          <w:color w:val="auto"/>
        </w:rPr>
      </w:pPr>
      <w:r>
        <w:rPr>
          <w:rFonts w:ascii="Arial" w:cs="Arial" w:eastAsia="Arial" w:hAnsi="Arial"/>
          <w:sz w:val="15"/>
          <w:szCs w:val="15"/>
          <w:color w:val="auto"/>
        </w:rPr>
        <w:t>annual consolidated financial statements and, in the opinion of management, reflect all adjustments, which include only normal recurring adjustments, necessary for the fair statement of the Company's financial position as of March 31, 2018 and the results of its operations and its cash flows for the three months ended March 31, 2017 and 2018. The financial data and other information disclosed in these notes related to the three months ended March 31, 2017 and 2018 are also unaudited.</w:t>
      </w:r>
    </w:p>
    <w:p>
      <w:pPr>
        <w:spacing w:after="0" w:line="2" w:lineRule="exact"/>
        <w:rPr>
          <w:sz w:val="20"/>
          <w:szCs w:val="20"/>
          <w:color w:val="auto"/>
        </w:rPr>
      </w:pPr>
    </w:p>
    <w:p>
      <w:pPr>
        <w:ind w:right="260"/>
        <w:spacing w:after="0" w:line="241" w:lineRule="auto"/>
        <w:rPr>
          <w:sz w:val="20"/>
          <w:szCs w:val="20"/>
          <w:color w:val="auto"/>
        </w:rPr>
      </w:pPr>
      <w:r>
        <w:rPr>
          <w:rFonts w:ascii="Arial" w:cs="Arial" w:eastAsia="Arial" w:hAnsi="Arial"/>
          <w:sz w:val="16"/>
          <w:szCs w:val="16"/>
          <w:color w:val="auto"/>
        </w:rPr>
        <w:t>The results for the three months ended March 31, 2018 are not necessarily indicative of results to be expected for the year ending December 31, 2018, any other interim periods, or any future year or period.</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Unaudited Pro Forma Information</w:t>
      </w:r>
    </w:p>
    <w:p>
      <w:pPr>
        <w:spacing w:after="0" w:line="208" w:lineRule="exact"/>
        <w:rPr>
          <w:sz w:val="20"/>
          <w:szCs w:val="20"/>
          <w:color w:val="auto"/>
        </w:rPr>
      </w:pPr>
    </w:p>
    <w:p>
      <w:pPr>
        <w:ind w:right="300" w:firstLine="433"/>
        <w:spacing w:after="0" w:line="238" w:lineRule="auto"/>
        <w:rPr>
          <w:sz w:val="20"/>
          <w:szCs w:val="20"/>
          <w:color w:val="auto"/>
        </w:rPr>
      </w:pPr>
      <w:r>
        <w:rPr>
          <w:rFonts w:ascii="Arial" w:cs="Arial" w:eastAsia="Arial" w:hAnsi="Arial"/>
          <w:sz w:val="16"/>
          <w:szCs w:val="16"/>
          <w:color w:val="auto"/>
        </w:rPr>
        <w:t>The accompanying unaudited pro forma consolidated balance sheet as of March 31, 2018 has been prepared to give effect, upon the closing of a qualified IPO, to the automatic conversion of (i) all outstanding Series A convertible preferred shares into 1,070,502 Class B common shares and 16,057,618 Class B1 common shares and (ii) all outstanding Series B and Series C convertible preferred shares into 5,546,019 Class A common shares and 12,995,954 Class A1 common shares as if the Company's proposed IPO had occurred on March 31, 2018.</w:t>
      </w:r>
    </w:p>
    <w:p>
      <w:pPr>
        <w:spacing w:after="0" w:line="187" w:lineRule="exact"/>
        <w:rPr>
          <w:sz w:val="20"/>
          <w:szCs w:val="20"/>
          <w:color w:val="auto"/>
        </w:rPr>
      </w:pPr>
    </w:p>
    <w:p>
      <w:pPr>
        <w:ind w:right="40" w:firstLine="436"/>
        <w:spacing w:after="0" w:line="257" w:lineRule="auto"/>
        <w:rPr>
          <w:sz w:val="20"/>
          <w:szCs w:val="20"/>
          <w:color w:val="auto"/>
        </w:rPr>
      </w:pPr>
      <w:r>
        <w:rPr>
          <w:rFonts w:ascii="Arial" w:cs="Arial" w:eastAsia="Arial" w:hAnsi="Arial"/>
          <w:sz w:val="15"/>
          <w:szCs w:val="15"/>
          <w:color w:val="auto"/>
        </w:rPr>
        <w:t>In the accompanying consolidated statements of operations and comprehensive loss, the unaudited pro forma basic and diluted net loss per share attributable to common shareholders for the year ended December 31, 2017 and the three months ended March 31, 2018 have been prepared to give effect, upon the closing of a qualified IPO, to the automatic conversion of (i) all outstanding Series A convertible preferred shares into 1,070,502 Class B common shares and 16,057,618 Class B1 common shares and (ii) all outstanding Series B and Series C convertible preferred shares into 5,546,019 Class A common shares and 12,995,954 Class A1 common shares as if the proposed IPO had occurred on the later of January 1, 2017 or the issuance date of the convertible preferred shares.</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08"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Company classifies deposits in banks, money market funds and cash invested temporarily in various instruments with maturities of three months or less at the time of purchase as cash and cash equivalents. At December 31, 2016 and 2017 and March 31, 2018 (unaudited), cash and cash equivalents consisted principally of U.S. Treasury notes, amounts held in money market accounts and cash on deposit at commercial banks.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Concentrations of Credit Risk</w:t>
      </w:r>
    </w:p>
    <w:p>
      <w:pPr>
        <w:spacing w:after="0" w:line="208" w:lineRule="exact"/>
        <w:rPr>
          <w:sz w:val="20"/>
          <w:szCs w:val="20"/>
          <w:color w:val="auto"/>
        </w:rPr>
      </w:pPr>
    </w:p>
    <w:p>
      <w:pPr>
        <w:ind w:right="40" w:firstLine="436"/>
        <w:spacing w:after="0" w:line="237"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and cash equivalents. At December 31, 2016 and 2017 and March 31, 2018 (unaudited), all of the Company's cash and cash equivalents were held at two financial institutions.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9" w:name="page230"/>
    <w:bookmarkEnd w:id="229"/>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7020" w:hanging="484"/>
        <w:spacing w:after="0" w:line="500" w:lineRule="auto"/>
        <w:tabs>
          <w:tab w:leader="none" w:pos="175"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i w:val="1"/>
          <w:iCs w:val="1"/>
          <w:color w:val="auto"/>
        </w:rPr>
        <w:t>Restricted Cash</w:t>
      </w:r>
    </w:p>
    <w:p>
      <w:pPr>
        <w:spacing w:after="0" w:line="1" w:lineRule="exact"/>
        <w:rPr>
          <w:sz w:val="20"/>
          <w:szCs w:val="20"/>
          <w:color w:val="auto"/>
        </w:rPr>
      </w:pPr>
    </w:p>
    <w:p>
      <w:pPr>
        <w:ind w:left="4" w:right="120" w:firstLine="436"/>
        <w:spacing w:after="0" w:line="239" w:lineRule="auto"/>
        <w:rPr>
          <w:sz w:val="20"/>
          <w:szCs w:val="20"/>
          <w:color w:val="auto"/>
        </w:rPr>
      </w:pPr>
      <w:r>
        <w:rPr>
          <w:rFonts w:ascii="Arial" w:cs="Arial" w:eastAsia="Arial" w:hAnsi="Arial"/>
          <w:sz w:val="16"/>
          <w:szCs w:val="16"/>
          <w:color w:val="auto"/>
        </w:rPr>
        <w:t>Restricted cash classified as a current asset as of December 31, 2016 and 2017 and March 31, 2018 (unaudited) includes cash held in a money market fund in connection with the Company's corporate credit cards. These amounts have been classified as current assets based on the contractual release date of the restrictions.</w:t>
      </w:r>
    </w:p>
    <w:p>
      <w:pPr>
        <w:spacing w:after="0" w:line="186" w:lineRule="exact"/>
        <w:rPr>
          <w:sz w:val="20"/>
          <w:szCs w:val="20"/>
          <w:color w:val="auto"/>
        </w:rPr>
      </w:pPr>
    </w:p>
    <w:p>
      <w:pPr>
        <w:ind w:left="4" w:right="180" w:firstLine="436"/>
        <w:spacing w:after="0" w:line="239" w:lineRule="auto"/>
        <w:rPr>
          <w:sz w:val="20"/>
          <w:szCs w:val="20"/>
          <w:color w:val="auto"/>
        </w:rPr>
      </w:pPr>
      <w:r>
        <w:rPr>
          <w:rFonts w:ascii="Arial" w:cs="Arial" w:eastAsia="Arial" w:hAnsi="Arial"/>
          <w:sz w:val="16"/>
          <w:szCs w:val="16"/>
          <w:color w:val="auto"/>
        </w:rPr>
        <w:t>In conjunction with the Company's lease agreement entered into in March 2018 (see Note 12), the Company maintains a letter of credit for the benefit of the landlord. As of March 31, 2018 (unaudited), the underlying cash balance of $210 securing this letter of credit, was classified as non-current in the consolidated balance sheet.</w:t>
      </w:r>
    </w:p>
    <w:p>
      <w:pPr>
        <w:spacing w:after="0" w:line="168"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208" w:lineRule="exact"/>
        <w:rPr>
          <w:sz w:val="20"/>
          <w:szCs w:val="20"/>
          <w:color w:val="auto"/>
        </w:rPr>
      </w:pPr>
    </w:p>
    <w:p>
      <w:pPr>
        <w:ind w:left="4" w:firstLine="436"/>
        <w:spacing w:after="0" w:line="238" w:lineRule="auto"/>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using the straight-line method.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and comprehensive loss in the period of disposal. The expected useful lives of the respective assets are as follows:</w:t>
      </w:r>
    </w:p>
    <w:p>
      <w:pPr>
        <w:spacing w:after="0" w:line="191" w:lineRule="exact"/>
        <w:rPr>
          <w:sz w:val="20"/>
          <w:szCs w:val="20"/>
          <w:color w:val="auto"/>
        </w:rPr>
      </w:pPr>
    </w:p>
    <w:tbl>
      <w:tblPr>
        <w:tblLayout w:type="fixed"/>
        <w:tblInd w:w="1704" w:type="dxa"/>
        <w:tblCellMar>
          <w:top w:w="0" w:type="dxa"/>
          <w:left w:w="0" w:type="dxa"/>
          <w:bottom w:w="0" w:type="dxa"/>
          <w:right w:w="0" w:type="dxa"/>
        </w:tblCellMar>
      </w:tblPr>
      <w:tr>
        <w:trPr>
          <w:trHeight w:val="214"/>
        </w:trPr>
        <w:tc>
          <w:tcPr>
            <w:tcW w:w="3520" w:type="dxa"/>
            <w:vAlign w:val="bottom"/>
          </w:tcPr>
          <w:p>
            <w:pPr>
              <w:spacing w:after="0"/>
              <w:rPr>
                <w:sz w:val="18"/>
                <w:szCs w:val="18"/>
                <w:color w:val="auto"/>
              </w:rPr>
            </w:pPr>
          </w:p>
        </w:tc>
        <w:tc>
          <w:tcPr>
            <w:tcW w:w="448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Estimated Useful Life</w:t>
            </w:r>
          </w:p>
        </w:tc>
      </w:tr>
      <w:tr>
        <w:trPr>
          <w:trHeight w:val="181"/>
        </w:trPr>
        <w:tc>
          <w:tcPr>
            <w:tcW w:w="35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Computer hardware and software</w:t>
            </w:r>
          </w:p>
        </w:tc>
        <w:tc>
          <w:tcPr>
            <w:tcW w:w="44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7"/>
              </w:rPr>
              <w:t>3 - 5 years</w:t>
            </w:r>
          </w:p>
        </w:tc>
      </w:tr>
      <w:tr>
        <w:trPr>
          <w:trHeight w:val="181"/>
        </w:trPr>
        <w:tc>
          <w:tcPr>
            <w:tcW w:w="3520" w:type="dxa"/>
            <w:vAlign w:val="bottom"/>
          </w:tcPr>
          <w:p>
            <w:pPr>
              <w:ind w:left="20"/>
              <w:spacing w:after="0" w:line="181" w:lineRule="exact"/>
              <w:rPr>
                <w:sz w:val="20"/>
                <w:szCs w:val="20"/>
                <w:color w:val="auto"/>
              </w:rPr>
            </w:pPr>
            <w:r>
              <w:rPr>
                <w:rFonts w:ascii="Arial" w:cs="Arial" w:eastAsia="Arial" w:hAnsi="Arial"/>
                <w:sz w:val="16"/>
                <w:szCs w:val="16"/>
                <w:color w:val="auto"/>
              </w:rPr>
              <w:t>Vehicles</w:t>
            </w:r>
          </w:p>
        </w:tc>
        <w:tc>
          <w:tcPr>
            <w:tcW w:w="4480" w:type="dxa"/>
            <w:vAlign w:val="bottom"/>
          </w:tcPr>
          <w:p>
            <w:pPr>
              <w:jc w:val="center"/>
              <w:spacing w:after="0" w:line="181" w:lineRule="exact"/>
              <w:rPr>
                <w:sz w:val="20"/>
                <w:szCs w:val="20"/>
                <w:color w:val="auto"/>
              </w:rPr>
            </w:pPr>
            <w:r>
              <w:rPr>
                <w:rFonts w:ascii="Arial" w:cs="Arial" w:eastAsia="Arial" w:hAnsi="Arial"/>
                <w:sz w:val="16"/>
                <w:szCs w:val="16"/>
                <w:color w:val="auto"/>
                <w:w w:val="95"/>
              </w:rPr>
              <w:t>5 years</w:t>
            </w:r>
          </w:p>
        </w:tc>
      </w:tr>
      <w:tr>
        <w:trPr>
          <w:trHeight w:val="181"/>
        </w:trPr>
        <w:tc>
          <w:tcPr>
            <w:tcW w:w="35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Laboratory and facility equipment</w:t>
            </w:r>
          </w:p>
        </w:tc>
        <w:tc>
          <w:tcPr>
            <w:tcW w:w="44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5"/>
              </w:rPr>
              <w:t>5 years</w:t>
            </w:r>
          </w:p>
        </w:tc>
      </w:tr>
      <w:tr>
        <w:trPr>
          <w:trHeight w:val="181"/>
        </w:trPr>
        <w:tc>
          <w:tcPr>
            <w:tcW w:w="3520" w:type="dxa"/>
            <w:vAlign w:val="bottom"/>
          </w:tcPr>
          <w:p>
            <w:pPr>
              <w:ind w:left="20"/>
              <w:spacing w:after="0" w:line="181" w:lineRule="exact"/>
              <w:rPr>
                <w:sz w:val="20"/>
                <w:szCs w:val="20"/>
                <w:color w:val="auto"/>
              </w:rPr>
            </w:pPr>
            <w:r>
              <w:rPr>
                <w:rFonts w:ascii="Arial" w:cs="Arial" w:eastAsia="Arial" w:hAnsi="Arial"/>
                <w:sz w:val="16"/>
                <w:szCs w:val="16"/>
                <w:color w:val="auto"/>
              </w:rPr>
              <w:t>Furniture and fixtures</w:t>
            </w:r>
          </w:p>
        </w:tc>
        <w:tc>
          <w:tcPr>
            <w:tcW w:w="4480" w:type="dxa"/>
            <w:vAlign w:val="bottom"/>
          </w:tcPr>
          <w:p>
            <w:pPr>
              <w:jc w:val="center"/>
              <w:spacing w:after="0" w:line="181" w:lineRule="exact"/>
              <w:rPr>
                <w:sz w:val="20"/>
                <w:szCs w:val="20"/>
                <w:color w:val="auto"/>
              </w:rPr>
            </w:pPr>
            <w:r>
              <w:rPr>
                <w:rFonts w:ascii="Arial" w:cs="Arial" w:eastAsia="Arial" w:hAnsi="Arial"/>
                <w:sz w:val="16"/>
                <w:szCs w:val="16"/>
                <w:color w:val="auto"/>
                <w:w w:val="97"/>
              </w:rPr>
              <w:t>5 - 7 years</w:t>
            </w:r>
          </w:p>
        </w:tc>
      </w:tr>
      <w:tr>
        <w:trPr>
          <w:trHeight w:val="181"/>
        </w:trPr>
        <w:tc>
          <w:tcPr>
            <w:tcW w:w="35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Leasehold improvements</w:t>
            </w:r>
          </w:p>
        </w:tc>
        <w:tc>
          <w:tcPr>
            <w:tcW w:w="44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7"/>
              </w:rPr>
              <w:t>Shorter of estimated useful life or lease term</w:t>
            </w:r>
          </w:p>
        </w:tc>
      </w:tr>
    </w:tbl>
    <w:p>
      <w:pPr>
        <w:spacing w:after="0" w:line="178"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208" w:lineRule="exact"/>
        <w:rPr>
          <w:sz w:val="20"/>
          <w:szCs w:val="20"/>
          <w:color w:val="auto"/>
        </w:rPr>
      </w:pPr>
    </w:p>
    <w:p>
      <w:pPr>
        <w:ind w:left="4" w:right="20" w:firstLine="436"/>
        <w:spacing w:after="0" w:line="237"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87"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4"/>
          </w:cols>
          <w:pgMar w:left="236" w:top="142" w:right="259" w:bottom="1440" w:gutter="0" w:footer="0" w:header="0"/>
        </w:sectPr>
      </w:pPr>
    </w:p>
    <w:bookmarkStart w:id="230" w:name="page231"/>
    <w:bookmarkEnd w:id="230"/>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7040" w:hanging="484"/>
        <w:spacing w:after="0" w:line="500" w:lineRule="auto"/>
        <w:tabs>
          <w:tab w:leader="none" w:pos="175"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i w:val="1"/>
          <w:iCs w:val="1"/>
          <w:color w:val="auto"/>
        </w:rPr>
        <w:t>Deferred Offering Costs</w:t>
      </w:r>
    </w:p>
    <w:p>
      <w:pPr>
        <w:spacing w:after="0" w:line="1" w:lineRule="exact"/>
        <w:rPr>
          <w:sz w:val="20"/>
          <w:szCs w:val="20"/>
          <w:color w:val="auto"/>
        </w:rPr>
      </w:pPr>
    </w:p>
    <w:p>
      <w:pPr>
        <w:ind w:left="4" w:firstLine="433"/>
        <w:spacing w:after="0" w:line="237"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preferred share or common equity financings as deferred offering costs until such financings are consummated. After consummation of the equity financing, these costs are recorded as a reduction to the carrying value of convertible preferred shares or in shareholders' equity (deficit) as a reduction of additional paid-in capital generated as a result of the offering. Should an in-process equity financing be abandoned, the deferred offering costs will be expensed immediately as a charge to operating expenses in the consolidated statements of operations and comprehensive loss. The Company recorded deferred offering costs related to the sale of convertible preferred shares of $8 and $25 as of December 31, 2016 or 2017, respectively. The Company recorded deferred offering costs in contemplation of an initial public offering of its Class A common shares of $1,608 as of March 31, 2018 (unaudited).</w:t>
      </w:r>
    </w:p>
    <w:p>
      <w:pPr>
        <w:spacing w:after="0" w:line="170"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08" w:lineRule="exact"/>
        <w:rPr>
          <w:sz w:val="20"/>
          <w:szCs w:val="20"/>
          <w:color w:val="auto"/>
        </w:rPr>
      </w:pPr>
    </w:p>
    <w:p>
      <w:pPr>
        <w:ind w:left="4" w:right="220" w:firstLine="436"/>
        <w:spacing w:after="0" w:line="237" w:lineRule="auto"/>
        <w:rPr>
          <w:sz w:val="20"/>
          <w:szCs w:val="20"/>
          <w:color w:val="auto"/>
        </w:rPr>
      </w:pPr>
      <w:r>
        <w:rPr>
          <w:rFonts w:ascii="Arial" w:cs="Arial" w:eastAsia="Arial" w:hAnsi="Arial"/>
          <w:sz w:val="16"/>
          <w:szCs w:val="16"/>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9" w:lineRule="exact"/>
        <w:rPr>
          <w:sz w:val="20"/>
          <w:szCs w:val="20"/>
          <w:color w:val="auto"/>
        </w:rPr>
      </w:pPr>
    </w:p>
    <w:p>
      <w:pPr>
        <w:ind w:left="964" w:hanging="481"/>
        <w:spacing w:after="0"/>
        <w:tabs>
          <w:tab w:leader="none" w:pos="96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189" w:lineRule="exact"/>
        <w:rPr>
          <w:rFonts w:ascii="Arial" w:cs="Arial" w:eastAsia="Arial" w:hAnsi="Arial"/>
          <w:sz w:val="16"/>
          <w:szCs w:val="16"/>
          <w:color w:val="auto"/>
        </w:rPr>
      </w:pPr>
    </w:p>
    <w:p>
      <w:pPr>
        <w:ind w:left="964" w:hanging="481"/>
        <w:spacing w:after="0" w:line="239" w:lineRule="auto"/>
        <w:tabs>
          <w:tab w:leader="none" w:pos="96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4" w:lineRule="exact"/>
        <w:rPr>
          <w:rFonts w:ascii="Arial" w:cs="Arial" w:eastAsia="Arial" w:hAnsi="Arial"/>
          <w:sz w:val="16"/>
          <w:szCs w:val="16"/>
          <w:color w:val="auto"/>
        </w:rPr>
      </w:pPr>
    </w:p>
    <w:p>
      <w:pPr>
        <w:ind w:left="964" w:right="580" w:hanging="481"/>
        <w:spacing w:after="0" w:line="241" w:lineRule="auto"/>
        <w:tabs>
          <w:tab w:leader="none" w:pos="96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85" w:lineRule="exact"/>
        <w:rPr>
          <w:sz w:val="20"/>
          <w:szCs w:val="20"/>
          <w:color w:val="auto"/>
        </w:rPr>
      </w:pPr>
    </w:p>
    <w:p>
      <w:pPr>
        <w:ind w:left="4" w:firstLine="433"/>
        <w:spacing w:after="0" w:line="238" w:lineRule="auto"/>
        <w:rPr>
          <w:sz w:val="20"/>
          <w:szCs w:val="20"/>
          <w:color w:val="auto"/>
        </w:rPr>
      </w:pPr>
      <w:r>
        <w:rPr>
          <w:rFonts w:ascii="Arial" w:cs="Arial" w:eastAsia="Arial" w:hAnsi="Arial"/>
          <w:sz w:val="16"/>
          <w:szCs w:val="16"/>
          <w:color w:val="auto"/>
        </w:rPr>
        <w:t>The Company's restricted cash, which is held in a money market fund, is carried at fair value, determined based on Level 1 inputs in the fair value hierarchy described above (see Note 3). The Company's cash equivalents, consisting of money market accounts and U.S. Treasury notes, are carried at fair value, determined based on Level 1 and 2 inputs in the fair value hierarchy described above (see Note 3). The carrying values of the Company's prepaid expenses and other current assets, accounts payable and accrued expenses approximate their fair values due to the short-term nature of these assets and liabilities.</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3" w:right="239" w:bottom="1440" w:gutter="0" w:footer="0" w:header="0"/>
        </w:sectPr>
      </w:pPr>
    </w:p>
    <w:bookmarkStart w:id="231" w:name="page232"/>
    <w:bookmarkEnd w:id="231"/>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7020" w:hanging="484"/>
        <w:spacing w:after="0" w:line="500" w:lineRule="auto"/>
        <w:tabs>
          <w:tab w:leader="none" w:pos="175"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i w:val="1"/>
          <w:iCs w:val="1"/>
          <w:color w:val="auto"/>
        </w:rPr>
        <w:t>Segment Information</w:t>
      </w:r>
    </w:p>
    <w:p>
      <w:pPr>
        <w:spacing w:after="0" w:line="1" w:lineRule="exact"/>
        <w:rPr>
          <w:sz w:val="20"/>
          <w:szCs w:val="20"/>
          <w:color w:val="auto"/>
        </w:rPr>
      </w:pPr>
    </w:p>
    <w:p>
      <w:pPr>
        <w:ind w:left="4" w:right="20" w:firstLine="433"/>
        <w:spacing w:after="0" w:line="273" w:lineRule="auto"/>
        <w:rPr>
          <w:sz w:val="20"/>
          <w:szCs w:val="20"/>
          <w:color w:val="auto"/>
        </w:rPr>
      </w:pPr>
      <w:r>
        <w:rPr>
          <w:rFonts w:ascii="Arial" w:cs="Arial" w:eastAsia="Arial" w:hAnsi="Arial"/>
          <w:sz w:val="15"/>
          <w:szCs w:val="15"/>
          <w:color w:val="auto"/>
        </w:rPr>
        <w:t>The Company manages its operations as a single operating segment for the purposes of assessing performance and making operating decisions. The Company's singular focus is on developing and delivering therapeutic medicines for patients suffering from debilitating diseases with significant unmet medical need.</w:t>
      </w:r>
    </w:p>
    <w:p>
      <w:pPr>
        <w:spacing w:after="0" w:line="144"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208" w:lineRule="exact"/>
        <w:rPr>
          <w:sz w:val="20"/>
          <w:szCs w:val="20"/>
          <w:color w:val="auto"/>
        </w:rPr>
      </w:pPr>
    </w:p>
    <w:p>
      <w:pPr>
        <w:ind w:left="4" w:firstLine="436"/>
        <w:spacing w:after="0" w:line="237"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to discover, research and develop drug candidates, including personnel expenses, share-based compensation expense, allocated facility-related and depreciation expenses, third-party license fees and external costs of outside vendors engaged to conduct clinical development activities and clinical trials as well as to manufacture clinical trial materials.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0"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Research Contract Costs and Accruals</w:t>
      </w:r>
    </w:p>
    <w:p>
      <w:pPr>
        <w:spacing w:after="0" w:line="208" w:lineRule="exact"/>
        <w:rPr>
          <w:sz w:val="20"/>
          <w:szCs w:val="20"/>
          <w:color w:val="auto"/>
        </w:rPr>
      </w:pPr>
    </w:p>
    <w:p>
      <w:pPr>
        <w:ind w:left="4" w:right="60" w:firstLine="433"/>
        <w:spacing w:after="0" w:line="257" w:lineRule="auto"/>
        <w:rPr>
          <w:sz w:val="20"/>
          <w:szCs w:val="20"/>
          <w:color w:val="auto"/>
        </w:rPr>
      </w:pPr>
      <w:r>
        <w:rPr>
          <w:rFonts w:ascii="Arial" w:cs="Arial" w:eastAsia="Arial" w:hAnsi="Arial"/>
          <w:sz w:val="15"/>
          <w:szCs w:val="15"/>
          <w:color w:val="auto"/>
        </w:rPr>
        <w:t>The Company has entered into various research and development-related contracts with companies both inside and outside of the United States. The related costs are recorded as research and development expenses as incurred. The Company records accruals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56"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Patent Costs</w:t>
      </w:r>
    </w:p>
    <w:p>
      <w:pPr>
        <w:spacing w:after="0" w:line="208" w:lineRule="exact"/>
        <w:rPr>
          <w:sz w:val="20"/>
          <w:szCs w:val="20"/>
          <w:color w:val="auto"/>
        </w:rPr>
      </w:pPr>
    </w:p>
    <w:p>
      <w:pPr>
        <w:ind w:left="4" w:right="560" w:firstLine="433"/>
        <w:spacing w:after="0" w:line="241" w:lineRule="auto"/>
        <w:rPr>
          <w:sz w:val="20"/>
          <w:szCs w:val="20"/>
          <w:color w:val="auto"/>
        </w:rPr>
      </w:pPr>
      <w:r>
        <w:rPr>
          <w:rFonts w:ascii="Arial" w:cs="Arial" w:eastAsia="Arial" w:hAnsi="Arial"/>
          <w:sz w:val="16"/>
          <w:szCs w:val="16"/>
          <w:color w:val="auto"/>
        </w:rPr>
        <w:t>The Company charges patent-related costs in connection with filing and prosecuting patent applications to operations as incurred as their realization is uncertain. These costs are classified as general and administrative expenses.</w:t>
      </w:r>
    </w:p>
    <w:p>
      <w:pPr>
        <w:spacing w:after="0" w:line="167"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08" w:lineRule="exact"/>
        <w:rPr>
          <w:sz w:val="20"/>
          <w:szCs w:val="20"/>
          <w:color w:val="auto"/>
        </w:rPr>
      </w:pPr>
    </w:p>
    <w:p>
      <w:pPr>
        <w:ind w:left="4" w:firstLine="433"/>
        <w:spacing w:after="0" w:line="238" w:lineRule="auto"/>
        <w:rPr>
          <w:sz w:val="20"/>
          <w:szCs w:val="20"/>
          <w:color w:val="auto"/>
        </w:rPr>
      </w:pPr>
      <w:r>
        <w:rPr>
          <w:rFonts w:ascii="Arial" w:cs="Arial" w:eastAsia="Arial" w:hAnsi="Arial"/>
          <w:sz w:val="16"/>
          <w:szCs w:val="16"/>
          <w:color w:val="auto"/>
        </w:rPr>
        <w:t>The Company measures all share-based awards granted to employees and directors based on their fair value on the date of the grant and recognizes compensation expense for those awards over the requisite service period, which is generally the vesting period of the respective award. Forfeitures are accounted for as they occur. The Company issues share-based awards with only service-based vesting conditions and records the expense for these awards using the straight-line method. The Company has not issued any share-based awards with performance-based vesting conditions.</w:t>
      </w:r>
    </w:p>
    <w:p>
      <w:pPr>
        <w:spacing w:after="0" w:line="187"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4"/>
          </w:cols>
          <w:pgMar w:left="236" w:top="143" w:right="259" w:bottom="1440" w:gutter="0" w:footer="0" w:header="0"/>
        </w:sectPr>
      </w:pPr>
    </w:p>
    <w:bookmarkStart w:id="232" w:name="page233"/>
    <w:bookmarkEnd w:id="2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ind w:right="140" w:firstLine="436"/>
        <w:spacing w:after="0" w:line="238" w:lineRule="auto"/>
        <w:rPr>
          <w:sz w:val="20"/>
          <w:szCs w:val="20"/>
          <w:color w:val="auto"/>
        </w:rPr>
      </w:pPr>
      <w:r>
        <w:rPr>
          <w:rFonts w:ascii="Arial" w:cs="Arial" w:eastAsia="Arial" w:hAnsi="Arial"/>
          <w:sz w:val="16"/>
          <w:szCs w:val="16"/>
          <w:color w:val="auto"/>
        </w:rPr>
        <w:t>For share-based awards granted to consultants and non-employees, compensation expense is recognized over the vesting period of the awards, which is generally the period during which services are rendered by such consultants and non-employees until completed. At the end of each financial reporting period prior to completion of the service, the fair value of these awards is remeasured using the then-current fair value of the Company's Class A common shares and updated assumption inputs in the Black-Scholes option-pricing model.</w:t>
      </w:r>
    </w:p>
    <w:p>
      <w:pPr>
        <w:spacing w:after="0" w:line="187" w:lineRule="exact"/>
        <w:rPr>
          <w:sz w:val="20"/>
          <w:szCs w:val="20"/>
          <w:color w:val="auto"/>
        </w:rPr>
      </w:pPr>
    </w:p>
    <w:p>
      <w:pPr>
        <w:ind w:right="380" w:firstLine="433"/>
        <w:spacing w:after="0" w:line="241" w:lineRule="auto"/>
        <w:rPr>
          <w:sz w:val="20"/>
          <w:szCs w:val="20"/>
          <w:color w:val="auto"/>
        </w:rPr>
      </w:pPr>
      <w:r>
        <w:rPr>
          <w:rFonts w:ascii="Arial" w:cs="Arial" w:eastAsia="Arial" w:hAnsi="Arial"/>
          <w:sz w:val="16"/>
          <w:szCs w:val="16"/>
          <w:color w:val="auto"/>
        </w:rPr>
        <w:t>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85" w:lineRule="exact"/>
        <w:rPr>
          <w:sz w:val="20"/>
          <w:szCs w:val="20"/>
          <w:color w:val="auto"/>
        </w:rPr>
      </w:pPr>
    </w:p>
    <w:p>
      <w:pPr>
        <w:ind w:firstLine="433"/>
        <w:spacing w:after="0" w:line="236" w:lineRule="auto"/>
        <w:rPr>
          <w:sz w:val="20"/>
          <w:szCs w:val="20"/>
          <w:color w:val="auto"/>
        </w:rPr>
      </w:pPr>
      <w:r>
        <w:rPr>
          <w:rFonts w:ascii="Arial" w:cs="Arial" w:eastAsia="Arial" w:hAnsi="Arial"/>
          <w:sz w:val="16"/>
          <w:szCs w:val="16"/>
          <w:color w:val="auto"/>
        </w:rPr>
        <w:t>The fair value of each restricted share award is estimated on the date of grant based on the fair value of the Company's Class A or Class B common shares on that same date. The fair value of each option grant is estimated on the date of grant using the Black-Scholes option-pricing model, which requires inputs based on certain subjective assumptions, including the expected share price volatility, the expected term of the award, the risk-free interest rate, and expected dividends (see Note 8). The Company historically has been a private company and lacks company-specific historical and implied volatility information for its shares. Therefore, it estimates its expected share price volatility based on the historical volatility of publicly traded peer companies and expects to continue to do so until such time as it has adequate historical data regarding the volatility of its own traded share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shares and does not expect to pay any cash dividends in the foreseeable future.</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208" w:lineRule="exact"/>
        <w:rPr>
          <w:sz w:val="20"/>
          <w:szCs w:val="20"/>
          <w:color w:val="auto"/>
        </w:rPr>
      </w:pPr>
    </w:p>
    <w:p>
      <w:pPr>
        <w:ind w:right="180" w:firstLine="436"/>
        <w:spacing w:after="0" w:line="239" w:lineRule="auto"/>
        <w:rPr>
          <w:sz w:val="20"/>
          <w:szCs w:val="20"/>
          <w:color w:val="auto"/>
        </w:rPr>
      </w:pPr>
      <w:r>
        <w:rPr>
          <w:rFonts w:ascii="Arial" w:cs="Arial" w:eastAsia="Arial" w:hAnsi="Arial"/>
          <w:sz w:val="16"/>
          <w:szCs w:val="16"/>
          <w:color w:val="auto"/>
        </w:rPr>
        <w:t>Comprehensive loss includes net loss as well as other changes in shareholders' equity (deficit) that result from transactions and economic events other than those with shareholders. There was no difference between net loss and comprehensive loss for each of the periods presented in the accompanying consolidated financial statements.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Income Taxes</w:t>
      </w:r>
    </w:p>
    <w:p>
      <w:pPr>
        <w:spacing w:after="0" w:line="208" w:lineRule="exact"/>
        <w:rPr>
          <w:sz w:val="20"/>
          <w:szCs w:val="20"/>
          <w:color w:val="auto"/>
        </w:rPr>
      </w:pPr>
    </w:p>
    <w:p>
      <w:pPr>
        <w:ind w:right="20" w:firstLine="433"/>
        <w:spacing w:after="0" w:line="237"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3" w:name="page234"/>
    <w:bookmarkEnd w:id="2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ind w:right="460"/>
        <w:spacing w:after="0" w:line="241" w:lineRule="auto"/>
        <w:rPr>
          <w:sz w:val="20"/>
          <w:szCs w:val="20"/>
          <w:color w:val="auto"/>
        </w:rPr>
      </w:pPr>
      <w:r>
        <w:rPr>
          <w:rFonts w:ascii="Arial" w:cs="Arial" w:eastAsia="Arial" w:hAnsi="Arial"/>
          <w:sz w:val="16"/>
          <w:szCs w:val="16"/>
          <w:color w:val="auto"/>
        </w:rPr>
        <w:t>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5" w:lineRule="exact"/>
        <w:rPr>
          <w:sz w:val="20"/>
          <w:szCs w:val="20"/>
          <w:color w:val="auto"/>
        </w:rPr>
      </w:pPr>
    </w:p>
    <w:p>
      <w:pPr>
        <w:ind w:right="40" w:firstLine="433"/>
        <w:spacing w:after="0" w:line="237"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To date, the Company has not taken any uncertain tax positions or recorded any reserves, interest or penalties.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Net Income (Loss) per Share</w:t>
      </w:r>
    </w:p>
    <w:p>
      <w:pPr>
        <w:spacing w:after="0" w:line="208" w:lineRule="exact"/>
        <w:rPr>
          <w:sz w:val="20"/>
          <w:szCs w:val="20"/>
          <w:color w:val="auto"/>
        </w:rPr>
      </w:pPr>
    </w:p>
    <w:p>
      <w:pPr>
        <w:ind w:right="160" w:firstLine="433"/>
        <w:spacing w:after="0" w:line="237" w:lineRule="auto"/>
        <w:rPr>
          <w:sz w:val="20"/>
          <w:szCs w:val="20"/>
          <w:color w:val="auto"/>
        </w:rPr>
      </w:pPr>
      <w:r>
        <w:rPr>
          <w:rFonts w:ascii="Arial" w:cs="Arial" w:eastAsia="Arial" w:hAnsi="Arial"/>
          <w:sz w:val="16"/>
          <w:szCs w:val="16"/>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shareholders for the period to be allocated between common and participating securities based upon their respective rights to receive dividends as if all income for the period had been distributed.</w:t>
      </w:r>
    </w:p>
    <w:p>
      <w:pPr>
        <w:spacing w:after="0" w:line="189"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Basic net income (loss) per share attributable to common shareholders is computed by dividing the net income (loss) attributable to common shareholders by the weighted average number of common shares outstanding for the period. Diluted net income (loss) attributable to common shareholders is computed by adjusting net income (loss) attributable to common shareholders to reallocate undistributed earnings based on the potential impact of dilutive securities. Diluted net income (loss) per share attributable to common shareholders is computed by dividing the diluted net income (loss) attributable to common shareholders by the weighted average number of common shares outstanding for the period, including potential dilutive common shares. For purpose of this calculation, outstanding options, unvested restricted common shares and convertible preferred shares are considered potential dilutive common shares.</w:t>
      </w:r>
    </w:p>
    <w:p>
      <w:pPr>
        <w:spacing w:after="0" w:line="188"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Company's convertible preferred shares contractually entitle the holders of such shares to participate in dividends but do not contractually require the holders of such shares to participate in losses of the Company. Accordingly, in periods in which the Company reports a net loss attributable to common shareholders, such losses are not allocated to such participating securities. In periods in which the Company reports a net loss attributable to common shareholders, diluted net loss per share attributable to common shareholders is the same as basic net loss per share attributable to common shareholders, since dilutive common shares are not assumed to have been issued if their effect is anti-dilutive. The Company reported a net loss attributable to common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4" w:name="page235"/>
    <w:bookmarkEnd w:id="2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shareholders for the years ended December 31, 2016 and 2017 and the three months ended March 31, 2017 and 2018 (unaudited).</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May 2017, the Financial Accounting Standards Board ("FASB") issued Accounting Standards Update ("ASU") No. 2017-09, Compensation — Stock</w:t>
      </w:r>
    </w:p>
    <w:p>
      <w:pPr>
        <w:spacing w:after="0"/>
        <w:rPr>
          <w:sz w:val="20"/>
          <w:szCs w:val="20"/>
          <w:color w:val="auto"/>
        </w:rPr>
      </w:pPr>
      <w:r>
        <w:rPr>
          <w:rFonts w:ascii="Arial" w:cs="Arial" w:eastAsia="Arial" w:hAnsi="Arial"/>
          <w:sz w:val="15"/>
          <w:szCs w:val="15"/>
          <w:color w:val="auto"/>
        </w:rPr>
        <w:t>Compensation (Topic 718): Scope of Modification Accounting ("ASU 2017-09"), which clarifies when to account for a change to the terms or conditions of a share-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based payment award as a modification. Under the new guidance, modification accounting is required only if the fair value, the vesting conditions or the classification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the award (as equity or liability) changes as a result of the change in terms or conditions. ASU 2017-09 is effective for annual periods beginning after</w:t>
      </w:r>
    </w:p>
    <w:p>
      <w:pPr>
        <w:spacing w:after="0"/>
        <w:rPr>
          <w:sz w:val="20"/>
          <w:szCs w:val="20"/>
          <w:color w:val="auto"/>
        </w:rPr>
      </w:pPr>
      <w:r>
        <w:rPr>
          <w:rFonts w:ascii="Arial" w:cs="Arial" w:eastAsia="Arial" w:hAnsi="Arial"/>
          <w:sz w:val="15"/>
          <w:szCs w:val="15"/>
          <w:color w:val="auto"/>
        </w:rPr>
        <w:t>December 15, 2017, including interim periods within those fiscal years. Early adoption is permitted. The Company adopted ASU 2017-09 as of the required effective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date of January 1, 2018. The adoption of ASU 2017-09 will have an impact on the modification of stock-based awards, if any, after the date of adoption. The adoption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of ASU 2017-09 did not have an impact on the Company's financial position, results of operations or cash flows.</w:t>
      </w:r>
    </w:p>
    <w:p>
      <w:pPr>
        <w:spacing w:after="0" w:line="174"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ASU 2017-01 clarifies the definition of a business by adding guidance to assist entities in evaluating whether transactions should be accounted for as acquisitions of assets or businesses. The definition of a business affects many areas of accounting including acquisitions, disposals, goodwill and consolidation. The ASU is effective for fiscal years beginning after December 15, 2018. Early adoption is permitted. The Company adopted this standard effective as of January 1, 2016 and applied it to its license and asset purchase agreements during the years ended December 31, 2016 and 2017 and the three months ended March 31, 2017 and 2018 (unaudited) (see Note 9).</w:t>
      </w:r>
    </w:p>
    <w:p>
      <w:pPr>
        <w:spacing w:after="0" w:line="170" w:lineRule="exact"/>
        <w:rPr>
          <w:sz w:val="20"/>
          <w:szCs w:val="20"/>
          <w:color w:val="auto"/>
        </w:rPr>
      </w:pPr>
    </w:p>
    <w:p>
      <w:pPr>
        <w:ind w:right="20" w:firstLine="436"/>
        <w:spacing w:after="0"/>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amounts generally described as restricted cash and restricted cash equivalents be included with cash and cash equivalents when reconciling the beginning-of-period and end-of-period total amounts shown on the statement of cash flows. ASU 2016-18 is effective for fiscal years beginning after December 15, 2017 and interim periods within those fiscal years and should be applied using a retrospective transition method to each period presented. Early adoption is permitted. The Company elected to early adopt ASU 2016-18 effective as of January 1, 2017 and has reflected the adoption retrospectively to all periods presented in its consolidated financial statements. As a result, the Company's consolidated statements of cash flows include restricted cash with cash and cash equivalents when reconciling the beginning-of-period and end-of-period total amounts shown on the such statements.</w:t>
      </w:r>
    </w:p>
    <w:p>
      <w:pPr>
        <w:spacing w:after="0" w:line="188" w:lineRule="exact"/>
        <w:rPr>
          <w:sz w:val="20"/>
          <w:szCs w:val="20"/>
          <w:color w:val="auto"/>
        </w:rPr>
      </w:pPr>
    </w:p>
    <w:p>
      <w:pPr>
        <w:ind w:right="40" w:firstLine="436"/>
        <w:spacing w:after="0" w:line="238"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("ASU 2016-15"). This guidance addresses diversity in practice in how certain cash receipts and cash payments are presented in the statement of cash flows. The standard is effective for fiscal years beginning after December 15, 2017, including interim periods in those fiscal years, and early adoption is permitted. The adoption of ASU 2016-15 is required to be applied retrospectively. The Company adopted ASU 2017-09 as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35" w:name="page236"/>
    <w:bookmarkEnd w:id="2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required effective date of January 1, 2018, and the adoption did not have an impact on the Company's consolidated statement of cash flows.</w:t>
      </w:r>
    </w:p>
    <w:p>
      <w:pPr>
        <w:spacing w:after="0" w:line="174" w:lineRule="exact"/>
        <w:rPr>
          <w:sz w:val="20"/>
          <w:szCs w:val="20"/>
          <w:color w:val="auto"/>
        </w:rPr>
      </w:pPr>
    </w:p>
    <w:p>
      <w:pPr>
        <w:ind w:right="20" w:firstLine="436"/>
        <w:spacing w:after="0"/>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ASU 2016-09 addresses several aspects of the accounting for share-based payment transactions, including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an option to recognize gross share compensation expense with actual forfeitures recognized as they occur, and classification on the statement of cash flows. Certain of these changes are required to be applied retrospectively, while other changes are required to be applied prospectively. The Company adopted ASU 2016-09 effective as of January 1, 2016 and elected prospectively to account for forfeitures as they occur rather than apply an estimated forfeiture rate to share-based compensation expense. The adoption of ASU 2016-09 did not have a material impact on the Company's financial position, results of operations or cash flows.</w:t>
      </w:r>
    </w:p>
    <w:p>
      <w:pPr>
        <w:spacing w:after="0" w:line="172" w:lineRule="exact"/>
        <w:rPr>
          <w:sz w:val="20"/>
          <w:szCs w:val="20"/>
          <w:color w:val="auto"/>
        </w:rPr>
      </w:pPr>
    </w:p>
    <w:p>
      <w:pPr>
        <w:ind w:right="60" w:firstLine="436"/>
        <w:spacing w:after="0" w:line="242" w:lineRule="auto"/>
        <w:rPr>
          <w:sz w:val="20"/>
          <w:szCs w:val="20"/>
          <w:color w:val="auto"/>
        </w:rPr>
      </w:pPr>
      <w:r>
        <w:rPr>
          <w:rFonts w:ascii="Arial" w:cs="Arial" w:eastAsia="Arial" w:hAnsi="Arial"/>
          <w:sz w:val="16"/>
          <w:szCs w:val="16"/>
          <w:color w:val="auto"/>
        </w:rPr>
        <w:t>In November 2015, the FASB issued ASU No. 2015-17</w:t>
      </w:r>
      <w:r>
        <w:rPr>
          <w:rFonts w:ascii="Arial" w:cs="Arial" w:eastAsia="Arial" w:hAnsi="Arial"/>
          <w:sz w:val="16"/>
          <w:szCs w:val="16"/>
          <w:i w:val="1"/>
          <w:iCs w:val="1"/>
          <w:color w:val="auto"/>
        </w:rPr>
        <w:t>, Income Taxes (Topic 740): Balance Sheet Classification of Deferred Taxes</w:t>
      </w:r>
      <w:r>
        <w:rPr>
          <w:rFonts w:ascii="Arial" w:cs="Arial" w:eastAsia="Arial" w:hAnsi="Arial"/>
          <w:sz w:val="16"/>
          <w:szCs w:val="16"/>
          <w:color w:val="auto"/>
        </w:rPr>
        <w:t xml:space="preserve"> ("ASU 2015-17"). ASU 2015-17 requires deferred tax liabilities and assets to be classified as non-current in the consolidated balance sheet. The amendment may be applied either prospectively to all deferred tax liabilities and assets or retrospectively to all periods presented. The Company adopted ASU 2015-17 effective as of January 1, 2016 and has reflected the adoption retrospectively to all periods presented in its consolidated financial statements. The adoption of ASU 2015-17 did not have a material impact on the Company's financial position, results of operations or cash flows.</w:t>
      </w:r>
    </w:p>
    <w:p>
      <w:pPr>
        <w:spacing w:after="0" w:line="170" w:lineRule="exact"/>
        <w:rPr>
          <w:sz w:val="20"/>
          <w:szCs w:val="20"/>
          <w:color w:val="auto"/>
        </w:rPr>
      </w:pPr>
    </w:p>
    <w:p>
      <w:pPr>
        <w:ind w:right="20" w:firstLine="436"/>
        <w:spacing w:after="0" w:line="242"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 — Going Concern (Subtopic 205-40):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an Entity's Ability to Continue as a Going Concern </w:t>
      </w:r>
      <w:r>
        <w:rPr>
          <w:rFonts w:ascii="Arial" w:cs="Arial" w:eastAsia="Arial" w:hAnsi="Arial"/>
          <w:sz w:val="16"/>
          <w:szCs w:val="16"/>
          <w:color w:val="auto"/>
        </w:rPr>
        <w:t>("ASU 2014-15"). The amendments in this update explicitly require a company's management to assess if</w:t>
      </w:r>
      <w:r>
        <w:rPr>
          <w:rFonts w:ascii="Arial" w:cs="Arial" w:eastAsia="Arial" w:hAnsi="Arial"/>
          <w:sz w:val="16"/>
          <w:szCs w:val="16"/>
          <w:i w:val="1"/>
          <w:iCs w:val="1"/>
          <w:color w:val="auto"/>
        </w:rPr>
        <w:t xml:space="preserve"> </w:t>
      </w:r>
      <w:r>
        <w:rPr>
          <w:rFonts w:ascii="Arial" w:cs="Arial" w:eastAsia="Arial" w:hAnsi="Arial"/>
          <w:sz w:val="16"/>
          <w:szCs w:val="16"/>
          <w:color w:val="auto"/>
        </w:rPr>
        <w:t>there is substantial doubt about an entity's ability to continue as a going concern within one year of the date of issuance of the entity's financial statements and to provide related footnote disclosures in certain circumstances. The Company adopted ASU 2014-15 effective as of January 1, 2016. This guidance relates to footnote disclosure only and its adoption had no impact on the Company's financial position, results of operations or cash flows.</w:t>
      </w:r>
    </w:p>
    <w:p>
      <w:pPr>
        <w:spacing w:after="0" w:line="170"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In May 2014, the FASB issued ASU No. 2014-09</w:t>
      </w:r>
      <w:r>
        <w:rPr>
          <w:rFonts w:ascii="Arial" w:cs="Arial" w:eastAsia="Arial" w:hAnsi="Arial"/>
          <w:sz w:val="16"/>
          <w:szCs w:val="16"/>
          <w:i w:val="1"/>
          <w:iCs w:val="1"/>
          <w:color w:val="auto"/>
        </w:rPr>
        <w:t>, Revenue from Contracts with Customers (Topic 606)</w:t>
      </w:r>
      <w:r>
        <w:rPr>
          <w:rFonts w:ascii="Arial" w:cs="Arial" w:eastAsia="Arial" w:hAnsi="Arial"/>
          <w:sz w:val="16"/>
          <w:szCs w:val="16"/>
          <w:color w:val="auto"/>
        </w:rPr>
        <w:t xml:space="preserve"> ("ASU 2014-09"), which supersedes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The standard defines a five-step process to achieve this principle, and will require companies to use more judgment and make more estimates than under the current guidance. The Company expects that these judgments and estimates will include identifying performance obligations in the customer contract, estimating the amount of variable consideration to include in the transaction price and allocating the transaction price to each separate performance obligation. ASU 2014-09 also requires additional disclosure about the nature, amount, timing and uncertainty of revenue and cash flows arising from customer contracts. In August 2015,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delays the effective date of ASU</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6" w:name="page237"/>
    <w:bookmarkEnd w:id="2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10"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2014-09 such that the standard is effective for public entities for annual periods beginning after December 15, 2017 and for interim periods within those fiscal years. The FASB subsequently issued amendments to ASU 2014-09 that have the same effective date and transition date. The Company adopted ASU 2014-09 as of the required effective date of January 1, 2018 and the adoption did not have an impact on the Company's consolidated financial statements as the Company does not currently have any revenue-generating arrangements.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92"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("ASU 2017-11")</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Part I</w:t>
      </w:r>
      <w:r>
        <w:rPr>
          <w:rFonts w:ascii="Arial" w:cs="Arial" w:eastAsia="Arial" w:hAnsi="Arial"/>
          <w:sz w:val="16"/>
          <w:szCs w:val="16"/>
          <w:i w:val="1"/>
          <w:iCs w:val="1"/>
          <w:color w:val="auto"/>
        </w:rPr>
        <w:t xml:space="preserve"> </w:t>
      </w:r>
      <w:r>
        <w:rPr>
          <w:rFonts w:ascii="Arial" w:cs="Arial" w:eastAsia="Arial" w:hAnsi="Arial"/>
          <w:sz w:val="16"/>
          <w:szCs w:val="16"/>
          <w:color w:val="auto"/>
        </w:rPr>
        <w:t>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ASU 2017-11 is required to be adopted for annual periods beginning after December 15, 2018, including interim periods within those fiscal years. The Company is currently evaluating the impact that the adoption of ASU 2017-11 will have on its consolidated financial statements.</w:t>
      </w:r>
    </w:p>
    <w:p>
      <w:pPr>
        <w:spacing w:after="0" w:line="175" w:lineRule="exact"/>
        <w:rPr>
          <w:sz w:val="20"/>
          <w:szCs w:val="20"/>
          <w:color w:val="auto"/>
        </w:rPr>
      </w:pPr>
    </w:p>
    <w:p>
      <w:pPr>
        <w:ind w:right="180" w:firstLine="436"/>
        <w:spacing w:after="0" w:line="239"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The guidance is effective for annual periods beginning after December 15, 2018 and for interim periods within those fiscal years, and early adoption is permitted. The Company is currently evaluating the impact that the adoption of ASU 2016-02 will have on its consolidated financial statements.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37" w:name="page238"/>
    <w:bookmarkEnd w:id="2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of Financial Assets and Liabilities</w:t>
      </w:r>
    </w:p>
    <w:p>
      <w:pPr>
        <w:spacing w:after="0" w:line="210" w:lineRule="exact"/>
        <w:rPr>
          <w:sz w:val="20"/>
          <w:szCs w:val="20"/>
          <w:color w:val="auto"/>
        </w:rPr>
      </w:pPr>
    </w:p>
    <w:p>
      <w:pPr>
        <w:ind w:firstLine="433"/>
        <w:spacing w:after="0" w:line="241" w:lineRule="auto"/>
        <w:rPr>
          <w:sz w:val="20"/>
          <w:szCs w:val="20"/>
          <w:color w:val="auto"/>
        </w:rPr>
      </w:pPr>
      <w:r>
        <w:rPr>
          <w:rFonts w:ascii="Arial" w:cs="Arial" w:eastAsia="Arial" w:hAnsi="Arial"/>
          <w:sz w:val="16"/>
          <w:szCs w:val="16"/>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140" w:type="dxa"/>
            <w:vAlign w:val="bottom"/>
            <w:gridSpan w:val="8"/>
          </w:tcPr>
          <w:p>
            <w:pPr>
              <w:jc w:val="center"/>
              <w:spacing w:after="0"/>
              <w:rPr>
                <w:sz w:val="20"/>
                <w:szCs w:val="20"/>
                <w:color w:val="auto"/>
              </w:rPr>
            </w:pPr>
            <w:r>
              <w:rPr>
                <w:rFonts w:ascii="Arial" w:cs="Arial" w:eastAsia="Arial" w:hAnsi="Arial"/>
                <w:sz w:val="16"/>
                <w:szCs w:val="16"/>
                <w:b w:val="1"/>
                <w:bCs w:val="1"/>
                <w:color w:val="auto"/>
                <w:w w:val="97"/>
              </w:rPr>
              <w:t>Fair Value Measurements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2"/>
        </w:trPr>
        <w:tc>
          <w:tcPr>
            <w:tcW w:w="4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11"/>
          </w:tcPr>
          <w:p>
            <w:pPr>
              <w:jc w:val="center"/>
              <w:ind w:right="100"/>
              <w:spacing w:after="0"/>
              <w:rPr>
                <w:sz w:val="20"/>
                <w:szCs w:val="20"/>
                <w:color w:val="auto"/>
              </w:rPr>
            </w:pPr>
            <w:r>
              <w:rPr>
                <w:rFonts w:ascii="Arial" w:cs="Arial" w:eastAsia="Arial" w:hAnsi="Arial"/>
                <w:sz w:val="16"/>
                <w:szCs w:val="16"/>
                <w:b w:val="1"/>
                <w:bCs w:val="1"/>
                <w:color w:val="auto"/>
                <w:w w:val="98"/>
              </w:rPr>
              <w:t>as of December 31, 2016 Using:</w:t>
            </w:r>
          </w:p>
        </w:tc>
      </w:tr>
      <w:tr>
        <w:trPr>
          <w:trHeight w:val="197"/>
        </w:trPr>
        <w:tc>
          <w:tcPr>
            <w:tcW w:w="4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2</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w w:val="99"/>
              </w:rPr>
              <w:t>Level 3</w:t>
            </w: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81"/>
        </w:trPr>
        <w:tc>
          <w:tcPr>
            <w:tcW w:w="4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Assets:</w:t>
            </w: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4280" w:type="dxa"/>
            <w:vAlign w:val="bottom"/>
          </w:tcPr>
          <w:p>
            <w:pPr>
              <w:ind w:left="160"/>
              <w:spacing w:after="0" w:line="181" w:lineRule="exact"/>
              <w:rPr>
                <w:sz w:val="20"/>
                <w:szCs w:val="20"/>
                <w:color w:val="auto"/>
              </w:rPr>
            </w:pPr>
            <w:r>
              <w:rPr>
                <w:rFonts w:ascii="Arial" w:cs="Arial" w:eastAsia="Arial" w:hAnsi="Arial"/>
                <w:sz w:val="16"/>
                <w:szCs w:val="16"/>
                <w:color w:val="auto"/>
              </w:rPr>
              <w:t>Restricted cash — money market funds</w:t>
            </w:r>
          </w:p>
        </w:tc>
        <w:tc>
          <w:tcPr>
            <w:tcW w:w="14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c>
          <w:tcPr>
            <w:tcW w:w="28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center"/>
              <w:ind w:left="22"/>
              <w:spacing w:after="0" w:line="181" w:lineRule="exact"/>
              <w:rPr>
                <w:sz w:val="20"/>
                <w:szCs w:val="20"/>
                <w:color w:val="auto"/>
              </w:rPr>
            </w:pPr>
            <w:r>
              <w:rPr>
                <w:rFonts w:ascii="Arial" w:cs="Arial" w:eastAsia="Arial" w:hAnsi="Arial"/>
                <w:sz w:val="16"/>
                <w:szCs w:val="16"/>
                <w:color w:val="auto"/>
              </w:rPr>
              <w:t>$</w:t>
            </w:r>
          </w:p>
        </w:tc>
        <w:tc>
          <w:tcPr>
            <w:tcW w:w="620" w:type="dxa"/>
            <w:vAlign w:val="bottom"/>
          </w:tcPr>
          <w:p>
            <w:pPr>
              <w:ind w:left="460"/>
              <w:spacing w:after="0" w:line="181" w:lineRule="exact"/>
              <w:rPr>
                <w:sz w:val="20"/>
                <w:szCs w:val="20"/>
                <w:color w:val="auto"/>
              </w:rPr>
            </w:pPr>
            <w:r>
              <w:rPr>
                <w:rFonts w:ascii="Arial" w:cs="Arial" w:eastAsia="Arial" w:hAnsi="Arial"/>
                <w:sz w:val="16"/>
                <w:szCs w:val="16"/>
                <w:color w:val="auto"/>
                <w:w w:val="87"/>
              </w:rPr>
              <w:t>—</w:t>
            </w:r>
          </w:p>
        </w:tc>
        <w:tc>
          <w:tcPr>
            <w:tcW w:w="3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c>
          <w:tcPr>
            <w:tcW w:w="140" w:type="dxa"/>
            <w:vAlign w:val="bottom"/>
          </w:tcPr>
          <w:p>
            <w:pPr>
              <w:spacing w:after="0"/>
              <w:rPr>
                <w:sz w:val="15"/>
                <w:szCs w:val="15"/>
                <w:color w:val="auto"/>
              </w:rPr>
            </w:pPr>
          </w:p>
        </w:tc>
      </w:tr>
      <w:tr>
        <w:trPr>
          <w:trHeight w:val="181"/>
        </w:trPr>
        <w:tc>
          <w:tcPr>
            <w:tcW w:w="42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Cash equivalents — money market funds</w:t>
            </w: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ind w:left="46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550</w:t>
            </w:r>
          </w:p>
        </w:tc>
        <w:tc>
          <w:tcPr>
            <w:tcW w:w="140" w:type="dxa"/>
            <w:vAlign w:val="bottom"/>
            <w:shd w:val="clear" w:color="auto" w:fill="CCEEFF"/>
          </w:tcPr>
          <w:p>
            <w:pPr>
              <w:spacing w:after="0"/>
              <w:rPr>
                <w:sz w:val="15"/>
                <w:szCs w:val="15"/>
                <w:color w:val="auto"/>
              </w:rPr>
            </w:pPr>
          </w:p>
        </w:tc>
      </w:tr>
      <w:tr>
        <w:trPr>
          <w:trHeight w:val="181"/>
        </w:trPr>
        <w:tc>
          <w:tcPr>
            <w:tcW w:w="4280" w:type="dxa"/>
            <w:vAlign w:val="bottom"/>
          </w:tcPr>
          <w:p>
            <w:pPr>
              <w:ind w:left="160"/>
              <w:spacing w:after="0" w:line="181" w:lineRule="exact"/>
              <w:rPr>
                <w:sz w:val="20"/>
                <w:szCs w:val="20"/>
                <w:color w:val="auto"/>
              </w:rPr>
            </w:pPr>
            <w:r>
              <w:rPr>
                <w:rFonts w:ascii="Arial" w:cs="Arial" w:eastAsia="Arial" w:hAnsi="Arial"/>
                <w:sz w:val="16"/>
                <w:szCs w:val="16"/>
                <w:color w:val="auto"/>
              </w:rPr>
              <w:t>Cash equivalents — U.S. Treasury notes</w:t>
            </w:r>
          </w:p>
        </w:tc>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52,504</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6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52,504</w:t>
            </w:r>
          </w:p>
        </w:tc>
        <w:tc>
          <w:tcPr>
            <w:tcW w:w="140" w:type="dxa"/>
            <w:vAlign w:val="bottom"/>
          </w:tcPr>
          <w:p>
            <w:pPr>
              <w:spacing w:after="0"/>
              <w:rPr>
                <w:sz w:val="15"/>
                <w:szCs w:val="15"/>
                <w:color w:val="auto"/>
              </w:rPr>
            </w:pPr>
          </w:p>
        </w:tc>
      </w:tr>
      <w:tr>
        <w:trPr>
          <w:trHeight w:val="185"/>
        </w:trPr>
        <w:tc>
          <w:tcPr>
            <w:tcW w:w="42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52,504</w:t>
            </w:r>
          </w:p>
        </w:tc>
        <w:tc>
          <w:tcPr>
            <w:tcW w:w="28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460"/>
              <w:spacing w:after="0"/>
              <w:rPr>
                <w:sz w:val="20"/>
                <w:szCs w:val="20"/>
                <w:color w:val="auto"/>
              </w:rPr>
            </w:pPr>
            <w:r>
              <w:rPr>
                <w:rFonts w:ascii="Arial" w:cs="Arial" w:eastAsia="Arial" w:hAnsi="Arial"/>
                <w:sz w:val="16"/>
                <w:szCs w:val="16"/>
                <w:color w:val="auto"/>
                <w:w w:val="87"/>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53,159</w:t>
            </w:r>
          </w:p>
        </w:tc>
        <w:tc>
          <w:tcPr>
            <w:tcW w:w="140" w:type="dxa"/>
            <w:vAlign w:val="bottom"/>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11"/>
          </w:tcPr>
          <w:p>
            <w:pPr>
              <w:jc w:val="center"/>
              <w:ind w:right="60"/>
              <w:spacing w:after="0"/>
              <w:rPr>
                <w:sz w:val="20"/>
                <w:szCs w:val="20"/>
                <w:color w:val="auto"/>
              </w:rPr>
            </w:pPr>
            <w:r>
              <w:rPr>
                <w:rFonts w:ascii="Arial" w:cs="Arial" w:eastAsia="Arial" w:hAnsi="Arial"/>
                <w:sz w:val="16"/>
                <w:szCs w:val="16"/>
                <w:b w:val="1"/>
                <w:bCs w:val="1"/>
                <w:color w:val="auto"/>
                <w:w w:val="97"/>
              </w:rPr>
              <w:t>Fair Value Measurements</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2"/>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gridSpan w:val="15"/>
          </w:tcPr>
          <w:p>
            <w:pPr>
              <w:jc w:val="center"/>
              <w:ind w:right="140"/>
              <w:spacing w:after="0"/>
              <w:rPr>
                <w:sz w:val="20"/>
                <w:szCs w:val="20"/>
                <w:color w:val="auto"/>
              </w:rPr>
            </w:pPr>
            <w:r>
              <w:rPr>
                <w:rFonts w:ascii="Arial" w:cs="Arial" w:eastAsia="Arial" w:hAnsi="Arial"/>
                <w:sz w:val="16"/>
                <w:szCs w:val="16"/>
                <w:b w:val="1"/>
                <w:bCs w:val="1"/>
                <w:color w:val="auto"/>
                <w:w w:val="98"/>
              </w:rPr>
              <w:t>as of December 31, 2017 Using:</w:t>
            </w:r>
          </w:p>
        </w:tc>
      </w:tr>
      <w:tr>
        <w:trPr>
          <w:trHeight w:val="197"/>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6"/>
                <w:szCs w:val="16"/>
                <w:b w:val="1"/>
                <w:bCs w:val="1"/>
                <w:color w:val="auto"/>
                <w:w w:val="95"/>
              </w:rPr>
              <w:t>Level 1</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9"/>
              </w:rPr>
              <w:t>Level 3</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81"/>
        </w:trPr>
        <w:tc>
          <w:tcPr>
            <w:tcW w:w="5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5300" w:type="dxa"/>
            <w:vAlign w:val="bottom"/>
          </w:tcPr>
          <w:p>
            <w:pPr>
              <w:ind w:left="160"/>
              <w:spacing w:after="0" w:line="181" w:lineRule="exact"/>
              <w:rPr>
                <w:sz w:val="20"/>
                <w:szCs w:val="20"/>
                <w:color w:val="auto"/>
              </w:rPr>
            </w:pPr>
            <w:r>
              <w:rPr>
                <w:rFonts w:ascii="Arial" w:cs="Arial" w:eastAsia="Arial" w:hAnsi="Arial"/>
                <w:sz w:val="16"/>
                <w:szCs w:val="16"/>
                <w:color w:val="auto"/>
              </w:rPr>
              <w:t>Restricted cash — money market funds</w:t>
            </w:r>
          </w:p>
        </w:tc>
        <w:tc>
          <w:tcPr>
            <w:tcW w:w="42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c>
          <w:tcPr>
            <w:tcW w:w="100" w:type="dxa"/>
            <w:vAlign w:val="bottom"/>
          </w:tcPr>
          <w:p>
            <w:pPr>
              <w:spacing w:after="0"/>
              <w:rPr>
                <w:sz w:val="15"/>
                <w:szCs w:val="15"/>
                <w:color w:val="auto"/>
              </w:rPr>
            </w:pPr>
          </w:p>
        </w:tc>
        <w:tc>
          <w:tcPr>
            <w:tcW w:w="1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260" w:type="dxa"/>
            <w:vAlign w:val="bottom"/>
            <w:gridSpan w:val="3"/>
          </w:tcPr>
          <w:p>
            <w:pPr>
              <w:jc w:val="center"/>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ind w:left="440"/>
              <w:spacing w:after="0" w:line="181" w:lineRule="exact"/>
              <w:rPr>
                <w:sz w:val="20"/>
                <w:szCs w:val="20"/>
                <w:color w:val="auto"/>
              </w:rPr>
            </w:pPr>
            <w:r>
              <w:rPr>
                <w:rFonts w:ascii="Arial" w:cs="Arial" w:eastAsia="Arial" w:hAnsi="Arial"/>
                <w:sz w:val="16"/>
                <w:szCs w:val="16"/>
                <w:color w:val="auto"/>
                <w:w w:val="87"/>
              </w:rPr>
              <w:t>—</w:t>
            </w:r>
          </w:p>
        </w:tc>
        <w:tc>
          <w:tcPr>
            <w:tcW w:w="3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105</w:t>
            </w:r>
          </w:p>
        </w:tc>
        <w:tc>
          <w:tcPr>
            <w:tcW w:w="140" w:type="dxa"/>
            <w:vAlign w:val="bottom"/>
          </w:tcPr>
          <w:p>
            <w:pPr>
              <w:spacing w:after="0"/>
              <w:rPr>
                <w:sz w:val="15"/>
                <w:szCs w:val="15"/>
                <w:color w:val="auto"/>
              </w:rPr>
            </w:pPr>
          </w:p>
        </w:tc>
      </w:tr>
      <w:tr>
        <w:trPr>
          <w:trHeight w:val="181"/>
        </w:trPr>
        <w:tc>
          <w:tcPr>
            <w:tcW w:w="53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Cash equivalents — money market funds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5,487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5,487</w:t>
            </w:r>
          </w:p>
        </w:tc>
        <w:tc>
          <w:tcPr>
            <w:tcW w:w="140" w:type="dxa"/>
            <w:vAlign w:val="bottom"/>
            <w:shd w:val="clear" w:color="auto" w:fill="CCEEFF"/>
          </w:tcPr>
          <w:p>
            <w:pPr>
              <w:spacing w:after="0"/>
              <w:rPr>
                <w:sz w:val="15"/>
                <w:szCs w:val="15"/>
                <w:color w:val="auto"/>
              </w:rPr>
            </w:pPr>
          </w:p>
        </w:tc>
      </w:tr>
      <w:tr>
        <w:trPr>
          <w:trHeight w:val="181"/>
        </w:trPr>
        <w:tc>
          <w:tcPr>
            <w:tcW w:w="5300" w:type="dxa"/>
            <w:vAlign w:val="bottom"/>
          </w:tcPr>
          <w:p>
            <w:pPr>
              <w:ind w:left="160"/>
              <w:spacing w:after="0" w:line="181" w:lineRule="exact"/>
              <w:rPr>
                <w:sz w:val="20"/>
                <w:szCs w:val="20"/>
                <w:color w:val="auto"/>
              </w:rPr>
            </w:pPr>
            <w:r>
              <w:rPr>
                <w:rFonts w:ascii="Arial" w:cs="Arial" w:eastAsia="Arial" w:hAnsi="Arial"/>
                <w:sz w:val="16"/>
                <w:szCs w:val="16"/>
                <w:color w:val="auto"/>
              </w:rPr>
              <w:t>Cash equivalents — U.S. Treasury notes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14,995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44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14,995</w:t>
            </w:r>
          </w:p>
        </w:tc>
        <w:tc>
          <w:tcPr>
            <w:tcW w:w="140" w:type="dxa"/>
            <w:vAlign w:val="bottom"/>
          </w:tcPr>
          <w:p>
            <w:pPr>
              <w:spacing w:after="0"/>
              <w:rPr>
                <w:sz w:val="15"/>
                <w:szCs w:val="15"/>
                <w:color w:val="auto"/>
              </w:rPr>
            </w:pPr>
          </w:p>
        </w:tc>
      </w:tr>
      <w:tr>
        <w:trPr>
          <w:trHeight w:val="185"/>
        </w:trPr>
        <w:tc>
          <w:tcPr>
            <w:tcW w:w="530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5,592</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14,995</w:t>
            </w:r>
          </w:p>
        </w:tc>
        <w:tc>
          <w:tcPr>
            <w:tcW w:w="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20,587</w:t>
            </w:r>
          </w:p>
        </w:tc>
        <w:tc>
          <w:tcPr>
            <w:tcW w:w="140" w:type="dxa"/>
            <w:vAlign w:val="bottom"/>
            <w:shd w:val="clear" w:color="auto" w:fill="CCEEFF"/>
          </w:tcPr>
          <w:p>
            <w:pPr>
              <w:spacing w:after="0"/>
              <w:rPr>
                <w:sz w:val="16"/>
                <w:szCs w:val="16"/>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07"/>
        </w:trPr>
        <w:tc>
          <w:tcPr>
            <w:tcW w:w="5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11"/>
          </w:tcPr>
          <w:p>
            <w:pPr>
              <w:jc w:val="center"/>
              <w:ind w:right="60"/>
              <w:spacing w:after="0"/>
              <w:rPr>
                <w:sz w:val="20"/>
                <w:szCs w:val="20"/>
                <w:color w:val="auto"/>
              </w:rPr>
            </w:pPr>
            <w:r>
              <w:rPr>
                <w:rFonts w:ascii="Arial" w:cs="Arial" w:eastAsia="Arial" w:hAnsi="Arial"/>
                <w:sz w:val="16"/>
                <w:szCs w:val="16"/>
                <w:b w:val="1"/>
                <w:bCs w:val="1"/>
                <w:color w:val="auto"/>
                <w:w w:val="97"/>
              </w:rPr>
              <w:t>Fair Value Measurements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12"/>
          </w:tcPr>
          <w:p>
            <w:pPr>
              <w:jc w:val="center"/>
              <w:spacing w:after="0"/>
              <w:rPr>
                <w:sz w:val="20"/>
                <w:szCs w:val="20"/>
                <w:color w:val="auto"/>
              </w:rPr>
            </w:pPr>
            <w:r>
              <w:rPr>
                <w:rFonts w:ascii="Arial" w:cs="Arial" w:eastAsia="Arial" w:hAnsi="Arial"/>
                <w:sz w:val="16"/>
                <w:szCs w:val="16"/>
                <w:b w:val="1"/>
                <w:bCs w:val="1"/>
                <w:color w:val="auto"/>
                <w:w w:val="98"/>
              </w:rPr>
              <w:t>as of March 31, 2018 Using:</w:t>
            </w: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9"/>
              </w:rPr>
              <w:t>Level 3</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81"/>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6"/>
          </w:tcPr>
          <w:p>
            <w:pPr>
              <w:ind w:left="240"/>
              <w:spacing w:after="0" w:line="181" w:lineRule="exact"/>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5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5300" w:type="dxa"/>
            <w:vAlign w:val="bottom"/>
          </w:tcPr>
          <w:p>
            <w:pPr>
              <w:ind w:left="160"/>
              <w:spacing w:after="0" w:line="181" w:lineRule="exact"/>
              <w:rPr>
                <w:sz w:val="20"/>
                <w:szCs w:val="20"/>
                <w:color w:val="auto"/>
              </w:rPr>
            </w:pPr>
            <w:r>
              <w:rPr>
                <w:rFonts w:ascii="Arial" w:cs="Arial" w:eastAsia="Arial" w:hAnsi="Arial"/>
                <w:sz w:val="16"/>
                <w:szCs w:val="16"/>
                <w:color w:val="auto"/>
              </w:rPr>
              <w:t>Restricted cash — money market funds (including non-current portion)</w:t>
            </w:r>
          </w:p>
        </w:tc>
        <w:tc>
          <w:tcPr>
            <w:tcW w:w="42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315</w:t>
            </w:r>
          </w:p>
        </w:tc>
        <w:tc>
          <w:tcPr>
            <w:tcW w:w="24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ind w:left="440"/>
              <w:spacing w:after="0" w:line="181" w:lineRule="exact"/>
              <w:rPr>
                <w:sz w:val="20"/>
                <w:szCs w:val="20"/>
                <w:color w:val="auto"/>
              </w:rPr>
            </w:pPr>
            <w:r>
              <w:rPr>
                <w:rFonts w:ascii="Arial" w:cs="Arial" w:eastAsia="Arial" w:hAnsi="Arial"/>
                <w:sz w:val="16"/>
                <w:szCs w:val="16"/>
                <w:color w:val="auto"/>
                <w:w w:val="87"/>
              </w:rPr>
              <w:t>—</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1" w:lineRule="exact"/>
              <w:rPr>
                <w:sz w:val="20"/>
                <w:szCs w:val="20"/>
                <w:color w:val="auto"/>
              </w:rPr>
            </w:pPr>
            <w:r>
              <w:rPr>
                <w:rFonts w:ascii="Arial" w:cs="Arial" w:eastAsia="Arial" w:hAnsi="Arial"/>
                <w:sz w:val="16"/>
                <w:szCs w:val="16"/>
                <w:color w:val="auto"/>
              </w:rPr>
              <w:t>315</w:t>
            </w:r>
          </w:p>
        </w:tc>
        <w:tc>
          <w:tcPr>
            <w:tcW w:w="140" w:type="dxa"/>
            <w:vAlign w:val="bottom"/>
          </w:tcPr>
          <w:p>
            <w:pPr>
              <w:spacing w:after="0"/>
              <w:rPr>
                <w:sz w:val="15"/>
                <w:szCs w:val="15"/>
                <w:color w:val="auto"/>
              </w:rPr>
            </w:pPr>
          </w:p>
        </w:tc>
      </w:tr>
      <w:tr>
        <w:trPr>
          <w:trHeight w:val="181"/>
        </w:trPr>
        <w:tc>
          <w:tcPr>
            <w:tcW w:w="53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Cash equivalents — money market funds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110,267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110,267</w:t>
            </w:r>
          </w:p>
        </w:tc>
        <w:tc>
          <w:tcPr>
            <w:tcW w:w="140" w:type="dxa"/>
            <w:vAlign w:val="bottom"/>
            <w:shd w:val="clear" w:color="auto" w:fill="CCEEFF"/>
          </w:tcPr>
          <w:p>
            <w:pPr>
              <w:spacing w:after="0"/>
              <w:rPr>
                <w:sz w:val="15"/>
                <w:szCs w:val="15"/>
                <w:color w:val="auto"/>
              </w:rPr>
            </w:pPr>
          </w:p>
        </w:tc>
      </w:tr>
      <w:tr>
        <w:trPr>
          <w:trHeight w:val="181"/>
        </w:trPr>
        <w:tc>
          <w:tcPr>
            <w:tcW w:w="5300" w:type="dxa"/>
            <w:vAlign w:val="bottom"/>
          </w:tcPr>
          <w:p>
            <w:pPr>
              <w:ind w:left="160"/>
              <w:spacing w:after="0" w:line="181" w:lineRule="exact"/>
              <w:rPr>
                <w:sz w:val="20"/>
                <w:szCs w:val="20"/>
                <w:color w:val="auto"/>
              </w:rPr>
            </w:pPr>
            <w:r>
              <w:rPr>
                <w:rFonts w:ascii="Arial" w:cs="Arial" w:eastAsia="Arial" w:hAnsi="Arial"/>
                <w:sz w:val="16"/>
                <w:szCs w:val="16"/>
                <w:color w:val="auto"/>
              </w:rPr>
              <w:t>Cash equivalents — U.S. Treasury notes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rPr>
              <w:t>84,429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440"/>
              <w:spacing w:after="0" w:line="181" w:lineRule="exact"/>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84,429</w:t>
            </w:r>
          </w:p>
        </w:tc>
        <w:tc>
          <w:tcPr>
            <w:tcW w:w="140" w:type="dxa"/>
            <w:vAlign w:val="bottom"/>
          </w:tcPr>
          <w:p>
            <w:pPr>
              <w:spacing w:after="0"/>
              <w:rPr>
                <w:sz w:val="15"/>
                <w:szCs w:val="15"/>
                <w:color w:val="auto"/>
              </w:rPr>
            </w:pPr>
          </w:p>
        </w:tc>
      </w:tr>
      <w:tr>
        <w:trPr>
          <w:trHeight w:val="185"/>
        </w:trPr>
        <w:tc>
          <w:tcPr>
            <w:tcW w:w="530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110,582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84,429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195,011</w:t>
            </w:r>
          </w:p>
        </w:tc>
        <w:tc>
          <w:tcPr>
            <w:tcW w:w="140" w:type="dxa"/>
            <w:vAlign w:val="bottom"/>
            <w:shd w:val="clear" w:color="auto" w:fill="CCEEFF"/>
          </w:tcPr>
          <w:p>
            <w:pPr>
              <w:spacing w:after="0"/>
              <w:rPr>
                <w:sz w:val="16"/>
                <w:szCs w:val="16"/>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40" w:firstLine="436"/>
        <w:spacing w:after="0" w:line="241" w:lineRule="auto"/>
        <w:rPr>
          <w:sz w:val="20"/>
          <w:szCs w:val="20"/>
          <w:color w:val="auto"/>
        </w:rPr>
      </w:pPr>
      <w:r>
        <w:rPr>
          <w:rFonts w:ascii="Arial" w:cs="Arial" w:eastAsia="Arial" w:hAnsi="Arial"/>
          <w:sz w:val="16"/>
          <w:szCs w:val="16"/>
          <w:color w:val="auto"/>
        </w:rPr>
        <w:t>During the years ended December 31, 2016 and 2017 and the three months ended March 31, 2017 and 2018 (unaudited), there were no transfers between Level 1, Level 2 and Level 3.</w:t>
      </w:r>
    </w:p>
    <w:p>
      <w:pPr>
        <w:spacing w:after="0" w:line="185" w:lineRule="exact"/>
        <w:rPr>
          <w:sz w:val="20"/>
          <w:szCs w:val="20"/>
          <w:color w:val="auto"/>
        </w:rPr>
      </w:pPr>
    </w:p>
    <w:p>
      <w:pPr>
        <w:ind w:right="60" w:firstLine="433"/>
        <w:spacing w:after="0" w:line="239" w:lineRule="auto"/>
        <w:rPr>
          <w:sz w:val="20"/>
          <w:szCs w:val="20"/>
          <w:color w:val="auto"/>
        </w:rPr>
      </w:pPr>
      <w:r>
        <w:rPr>
          <w:rFonts w:ascii="Arial" w:cs="Arial" w:eastAsia="Arial" w:hAnsi="Arial"/>
          <w:sz w:val="16"/>
          <w:szCs w:val="16"/>
          <w:color w:val="auto"/>
        </w:rPr>
        <w:t>The money market funds were valued using quoted prices in active markets, which represent a Level 1 measurement in the fair value hierarchy. The Company's cash equivalents as of December 31, 2016 and 2017 and March 31, 2018 (unaudited) also consisted of U.S. Treasury notes, which are not traded on a daily basis and, therefore, represent a Level 2 measurement in the fair value hierarchy at each period end.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238" w:name="page239"/>
    <w:bookmarkEnd w:id="2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4. Property and Equipment, Net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4"/>
        </w:trPr>
        <w:tc>
          <w:tcPr>
            <w:tcW w:w="7180" w:type="dxa"/>
            <w:vAlign w:val="bottom"/>
            <w:gridSpan w:val="2"/>
          </w:tcPr>
          <w:p>
            <w:pPr>
              <w:ind w:left="440"/>
              <w:spacing w:after="0"/>
              <w:rPr>
                <w:sz w:val="20"/>
                <w:szCs w:val="20"/>
                <w:color w:val="auto"/>
              </w:rPr>
            </w:pPr>
            <w:r>
              <w:rPr>
                <w:rFonts w:ascii="Arial" w:cs="Arial" w:eastAsia="Arial" w:hAnsi="Arial"/>
                <w:sz w:val="16"/>
                <w:szCs w:val="16"/>
                <w:color w:val="auto"/>
              </w:rPr>
              <w:t>Property and equipment, net consisted of the following:</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7"/>
              </w:rPr>
              <w:t>March 31,</w:t>
            </w:r>
          </w:p>
        </w:tc>
      </w:tr>
      <w:tr>
        <w:trPr>
          <w:trHeight w:val="197"/>
        </w:trPr>
        <w:tc>
          <w:tcPr>
            <w:tcW w:w="11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left="2"/>
              <w:spacing w:after="0"/>
              <w:rPr>
                <w:sz w:val="20"/>
                <w:szCs w:val="20"/>
                <w:color w:val="auto"/>
              </w:rPr>
            </w:pPr>
            <w:r>
              <w:rPr>
                <w:rFonts w:ascii="Arial" w:cs="Arial" w:eastAsia="Arial" w:hAnsi="Arial"/>
                <w:sz w:val="16"/>
                <w:szCs w:val="16"/>
                <w:b w:val="1"/>
                <w:bCs w:val="1"/>
                <w:color w:val="auto"/>
                <w:w w:val="96"/>
              </w:rPr>
              <w:t>(unaudited)</w:t>
            </w:r>
          </w:p>
        </w:tc>
        <w:tc>
          <w:tcPr>
            <w:tcW w:w="140" w:type="dxa"/>
            <w:vAlign w:val="bottom"/>
          </w:tcPr>
          <w:p>
            <w:pPr>
              <w:spacing w:after="0"/>
              <w:rPr>
                <w:sz w:val="16"/>
                <w:szCs w:val="16"/>
                <w:color w:val="auto"/>
              </w:rPr>
            </w:pPr>
          </w:p>
        </w:tc>
      </w:tr>
      <w:tr>
        <w:trPr>
          <w:trHeight w:val="181"/>
        </w:trPr>
        <w:tc>
          <w:tcPr>
            <w:tcW w:w="1140" w:type="dxa"/>
            <w:vAlign w:val="bottom"/>
          </w:tcPr>
          <w:p>
            <w:pPr>
              <w:spacing w:after="0"/>
              <w:rPr>
                <w:sz w:val="15"/>
                <w:szCs w:val="15"/>
                <w:color w:val="auto"/>
              </w:rPr>
            </w:pPr>
          </w:p>
        </w:tc>
        <w:tc>
          <w:tcPr>
            <w:tcW w:w="6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Furniture and fixtures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83</w:t>
            </w:r>
          </w:p>
        </w:tc>
        <w:tc>
          <w:tcPr>
            <w:tcW w:w="1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5"/>
                <w:szCs w:val="15"/>
                <w:color w:val="auto"/>
              </w:rPr>
            </w:pPr>
          </w:p>
        </w:tc>
      </w:tr>
      <w:tr>
        <w:trPr>
          <w:trHeight w:val="181"/>
        </w:trPr>
        <w:tc>
          <w:tcPr>
            <w:tcW w:w="718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Computer hardware and software</w:t>
            </w:r>
          </w:p>
        </w:tc>
        <w:tc>
          <w:tcPr>
            <w:tcW w:w="16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6"/>
                <w:szCs w:val="16"/>
                <w:color w:val="auto"/>
              </w:rPr>
              <w:t>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6"/>
                <w:szCs w:val="16"/>
                <w:color w:val="auto"/>
              </w:rPr>
              <w:t>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77</w:t>
            </w:r>
          </w:p>
        </w:tc>
        <w:tc>
          <w:tcPr>
            <w:tcW w:w="14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6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Vehicles</w:t>
            </w:r>
          </w:p>
        </w:tc>
        <w:tc>
          <w:tcPr>
            <w:tcW w:w="1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c>
          <w:tcPr>
            <w:tcW w:w="140" w:type="dxa"/>
            <w:vAlign w:val="bottom"/>
          </w:tcPr>
          <w:p>
            <w:pPr>
              <w:spacing w:after="0"/>
              <w:rPr>
                <w:sz w:val="16"/>
                <w:szCs w:val="16"/>
                <w:color w:val="auto"/>
              </w:rPr>
            </w:pPr>
          </w:p>
        </w:tc>
      </w:tr>
      <w:tr>
        <w:trPr>
          <w:trHeight w:val="181"/>
        </w:trPr>
        <w:tc>
          <w:tcPr>
            <w:tcW w:w="1140" w:type="dxa"/>
            <w:vAlign w:val="bottom"/>
          </w:tcPr>
          <w:p>
            <w:pPr>
              <w:spacing w:after="0"/>
              <w:rPr>
                <w:sz w:val="15"/>
                <w:szCs w:val="15"/>
                <w:color w:val="auto"/>
              </w:rPr>
            </w:pPr>
          </w:p>
        </w:tc>
        <w:tc>
          <w:tcPr>
            <w:tcW w:w="6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Less: Accumulated depreciation</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(42)</w:t>
            </w: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5"/>
        </w:trPr>
        <w:tc>
          <w:tcPr>
            <w:tcW w:w="11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6"/>
                <w:szCs w:val="16"/>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Depreciation expense for the years ended December 31, 2016 and 2017 was $22 and $28, respectively and $6 and $8 for the three months ended March 31, 2017 and 2018 (unaudited),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80" w:type="dxa"/>
            <w:vAlign w:val="bottom"/>
            <w:gridSpan w:val="2"/>
          </w:tcPr>
          <w:p>
            <w:pPr>
              <w:spacing w:after="0"/>
              <w:rPr>
                <w:sz w:val="20"/>
                <w:szCs w:val="20"/>
                <w:color w:val="auto"/>
              </w:rPr>
            </w:pPr>
            <w:r>
              <w:rPr>
                <w:rFonts w:ascii="Arial" w:cs="Arial" w:eastAsia="Arial" w:hAnsi="Arial"/>
                <w:sz w:val="16"/>
                <w:szCs w:val="16"/>
                <w:b w:val="1"/>
                <w:bCs w:val="1"/>
                <w:color w:val="auto"/>
              </w:rPr>
              <w:t>5. Accrued Expenses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74"/>
        </w:trPr>
        <w:tc>
          <w:tcPr>
            <w:tcW w:w="5880" w:type="dxa"/>
            <w:vAlign w:val="bottom"/>
            <w:gridSpan w:val="2"/>
          </w:tcPr>
          <w:p>
            <w:pPr>
              <w:ind w:left="420"/>
              <w:spacing w:after="0"/>
              <w:rPr>
                <w:sz w:val="20"/>
                <w:szCs w:val="20"/>
                <w:color w:val="auto"/>
              </w:rPr>
            </w:pPr>
            <w:r>
              <w:rPr>
                <w:rFonts w:ascii="Arial" w:cs="Arial" w:eastAsia="Arial" w:hAnsi="Arial"/>
                <w:sz w:val="16"/>
                <w:szCs w:val="16"/>
                <w:color w:val="auto"/>
              </w:rPr>
              <w:t>Accrued expenses consisted of the following:</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March 31,</w:t>
            </w:r>
          </w:p>
        </w:tc>
      </w:tr>
      <w:tr>
        <w:trPr>
          <w:trHeight w:val="197"/>
        </w:trPr>
        <w:tc>
          <w:tcPr>
            <w:tcW w:w="11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(unaudited)</w:t>
            </w:r>
          </w:p>
        </w:tc>
        <w:tc>
          <w:tcPr>
            <w:tcW w:w="140" w:type="dxa"/>
            <w:vAlign w:val="bottom"/>
          </w:tcPr>
          <w:p>
            <w:pPr>
              <w:spacing w:after="0"/>
              <w:rPr>
                <w:sz w:val="16"/>
                <w:szCs w:val="16"/>
                <w:color w:val="auto"/>
              </w:rPr>
            </w:pPr>
          </w:p>
        </w:tc>
      </w:tr>
      <w:tr>
        <w:trPr>
          <w:trHeight w:val="181"/>
        </w:trPr>
        <w:tc>
          <w:tcPr>
            <w:tcW w:w="1140" w:type="dxa"/>
            <w:vAlign w:val="bottom"/>
          </w:tcPr>
          <w:p>
            <w:pPr>
              <w:spacing w:after="0"/>
              <w:rPr>
                <w:sz w:val="15"/>
                <w:szCs w:val="15"/>
                <w:color w:val="auto"/>
              </w:rPr>
            </w:pPr>
          </w:p>
        </w:tc>
        <w:tc>
          <w:tcPr>
            <w:tcW w:w="47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Accrued employee compensation and benefits</w:t>
            </w:r>
          </w:p>
        </w:tc>
        <w:tc>
          <w:tcPr>
            <w:tcW w:w="17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986</w:t>
            </w:r>
          </w:p>
        </w:tc>
        <w:tc>
          <w:tcPr>
            <w:tcW w:w="3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1,570</w:t>
            </w:r>
          </w:p>
        </w:tc>
        <w:tc>
          <w:tcPr>
            <w:tcW w:w="3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843</w:t>
            </w:r>
          </w:p>
        </w:tc>
        <w:tc>
          <w:tcPr>
            <w:tcW w:w="140" w:type="dxa"/>
            <w:vAlign w:val="bottom"/>
            <w:shd w:val="clear" w:color="auto" w:fill="CCEEFF"/>
          </w:tcPr>
          <w:p>
            <w:pPr>
              <w:spacing w:after="0"/>
              <w:rPr>
                <w:sz w:val="15"/>
                <w:szCs w:val="15"/>
                <w:color w:val="auto"/>
              </w:rPr>
            </w:pPr>
          </w:p>
        </w:tc>
      </w:tr>
      <w:tr>
        <w:trPr>
          <w:trHeight w:val="181"/>
        </w:trPr>
        <w:tc>
          <w:tcPr>
            <w:tcW w:w="588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Accrued research and development expenses</w:t>
            </w: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979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3,905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3,742</w:t>
            </w:r>
          </w:p>
        </w:tc>
        <w:tc>
          <w:tcPr>
            <w:tcW w:w="14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47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Accrued legal and professional fees</w:t>
            </w: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688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1,599</w:t>
            </w:r>
          </w:p>
        </w:tc>
        <w:tc>
          <w:tcPr>
            <w:tcW w:w="140" w:type="dxa"/>
            <w:vAlign w:val="bottom"/>
            <w:shd w:val="clear" w:color="auto" w:fill="CCEEFF"/>
          </w:tcPr>
          <w:p>
            <w:pPr>
              <w:spacing w:after="0"/>
              <w:rPr>
                <w:sz w:val="15"/>
                <w:szCs w:val="15"/>
                <w:color w:val="auto"/>
              </w:rPr>
            </w:pPr>
          </w:p>
        </w:tc>
      </w:tr>
      <w:tr>
        <w:trPr>
          <w:trHeight w:val="181"/>
        </w:trPr>
        <w:tc>
          <w:tcPr>
            <w:tcW w:w="588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Other</w:t>
            </w:r>
          </w:p>
        </w:tc>
        <w:tc>
          <w:tcPr>
            <w:tcW w:w="1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49</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288</w:t>
            </w:r>
          </w:p>
        </w:tc>
        <w:tc>
          <w:tcPr>
            <w:tcW w:w="14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47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w:t>
            </w:r>
          </w:p>
        </w:tc>
        <w:tc>
          <w:tcPr>
            <w:tcW w:w="140" w:type="dxa"/>
            <w:vAlign w:val="bottom"/>
            <w:shd w:val="clear" w:color="auto" w:fill="CCEEFF"/>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w:t>
      </w:r>
    </w:p>
    <w:p>
      <w:pPr>
        <w:spacing w:after="0" w:line="210" w:lineRule="exact"/>
        <w:rPr>
          <w:sz w:val="20"/>
          <w:szCs w:val="20"/>
          <w:color w:val="auto"/>
        </w:rPr>
      </w:pPr>
    </w:p>
    <w:p>
      <w:pPr>
        <w:ind w:right="60" w:firstLine="427"/>
        <w:spacing w:after="0" w:line="237" w:lineRule="auto"/>
        <w:rPr>
          <w:sz w:val="20"/>
          <w:szCs w:val="20"/>
          <w:color w:val="auto"/>
        </w:rPr>
      </w:pPr>
      <w:r>
        <w:rPr>
          <w:rFonts w:ascii="Arial" w:cs="Arial" w:eastAsia="Arial" w:hAnsi="Arial"/>
          <w:sz w:val="16"/>
          <w:szCs w:val="16"/>
          <w:color w:val="auto"/>
        </w:rPr>
        <w:t>As of December 31, 2017, the Company's bye-laws, as amended and restated (the "Amended Bye-Laws"), designated 22,885,492 authorized shares to be issued as convertible preferred shares with a par value of $0.000273235 per share, of which 17,128,120 shares have been further designated as Series A convertible preferred shares (the "Series A preferred shares") and 5,757,372 shares have been further designated as Series B convertible preferred shares (the "Series B preferred shares"). As of March 31, 2018 (unaudited), the Company's bye-laws, as further amended and restated, designated 35,670,093 authorized shares to be issued as convertible preferred shares with a par value of $0.000273235 per share, of which 17,128,120 shares have been further designated as Series A preferred shares, 5,757,372 have been further designated as Series B preferred shares and 12,784,601 shares have been further designated as Series C convertible preferred shares (the "Series C preferred shares"). The holders of preferred shares have liquidation rights in the event of a deemed liquidation that, in certain situations, are not solely within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239" w:name="page240"/>
    <w:bookmarkEnd w:id="2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10" w:lineRule="exact"/>
        <w:rPr>
          <w:sz w:val="20"/>
          <w:szCs w:val="20"/>
          <w:color w:val="auto"/>
        </w:rPr>
      </w:pPr>
    </w:p>
    <w:p>
      <w:pPr>
        <w:ind w:right="720"/>
        <w:spacing w:after="0" w:line="241" w:lineRule="auto"/>
        <w:rPr>
          <w:sz w:val="20"/>
          <w:szCs w:val="20"/>
          <w:color w:val="auto"/>
        </w:rPr>
      </w:pPr>
      <w:r>
        <w:rPr>
          <w:rFonts w:ascii="Arial" w:cs="Arial" w:eastAsia="Arial" w:hAnsi="Arial"/>
          <w:sz w:val="16"/>
          <w:szCs w:val="16"/>
          <w:color w:val="auto"/>
        </w:rPr>
        <w:t>the control of the Company. Therefore, the Series A, Series B and Series C preferred shares (collectively, the "Preferred Shares") are classified outside of shareholders' equity (deficit).</w:t>
      </w:r>
    </w:p>
    <w:p>
      <w:pPr>
        <w:spacing w:after="0" w:line="185" w:lineRule="exact"/>
        <w:rPr>
          <w:sz w:val="20"/>
          <w:szCs w:val="20"/>
          <w:color w:val="auto"/>
        </w:rPr>
      </w:pPr>
    </w:p>
    <w:p>
      <w:pPr>
        <w:ind w:right="160" w:firstLine="436"/>
        <w:spacing w:after="0" w:line="241" w:lineRule="auto"/>
        <w:rPr>
          <w:sz w:val="20"/>
          <w:szCs w:val="20"/>
          <w:color w:val="auto"/>
        </w:rPr>
      </w:pPr>
      <w:r>
        <w:rPr>
          <w:rFonts w:ascii="Arial" w:cs="Arial" w:eastAsia="Arial" w:hAnsi="Arial"/>
          <w:sz w:val="16"/>
          <w:szCs w:val="16"/>
          <w:color w:val="auto"/>
        </w:rPr>
        <w:t>In October 2015, the Company issued and sold 8,028,809 Series A preferred shares at a price of $4.6707 per share (the "Series A Original Issue Price") for proceeds of $37,398, net of issuance costs of $102.</w:t>
      </w:r>
    </w:p>
    <w:p>
      <w:pPr>
        <w:spacing w:after="0" w:line="185"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In September 2016, the Company issued and sold an additional 9,099,311 Series A preferred shares at a price of $4.6707 per share for proceeds of $42,499, net of issuance costs of $1.</w:t>
      </w:r>
    </w:p>
    <w:p>
      <w:pPr>
        <w:spacing w:after="0" w:line="185" w:lineRule="exact"/>
        <w:rPr>
          <w:sz w:val="20"/>
          <w:szCs w:val="20"/>
          <w:color w:val="auto"/>
        </w:rPr>
      </w:pPr>
    </w:p>
    <w:p>
      <w:pPr>
        <w:ind w:right="260" w:firstLine="436"/>
        <w:spacing w:after="0" w:line="241" w:lineRule="auto"/>
        <w:rPr>
          <w:sz w:val="20"/>
          <w:szCs w:val="20"/>
          <w:color w:val="auto"/>
        </w:rPr>
      </w:pPr>
      <w:r>
        <w:rPr>
          <w:rFonts w:ascii="Arial" w:cs="Arial" w:eastAsia="Arial" w:hAnsi="Arial"/>
          <w:sz w:val="16"/>
          <w:szCs w:val="16"/>
          <w:color w:val="auto"/>
        </w:rPr>
        <w:t>In March 2017, the Company issued and sold 5,757,372 Series B preferred shares at a price of $6.9475 per share (the "Series B Original Issue Price") for proceeds of $39,873, net of issuance costs of $127.</w:t>
      </w:r>
    </w:p>
    <w:p>
      <w:pPr>
        <w:spacing w:after="0" w:line="185" w:lineRule="exact"/>
        <w:rPr>
          <w:sz w:val="20"/>
          <w:szCs w:val="20"/>
          <w:color w:val="auto"/>
        </w:rPr>
      </w:pPr>
    </w:p>
    <w:p>
      <w:pPr>
        <w:ind w:right="220" w:firstLine="436"/>
        <w:spacing w:after="0" w:line="241" w:lineRule="auto"/>
        <w:rPr>
          <w:sz w:val="20"/>
          <w:szCs w:val="20"/>
          <w:color w:val="auto"/>
        </w:rPr>
      </w:pPr>
      <w:r>
        <w:rPr>
          <w:rFonts w:ascii="Arial" w:cs="Arial" w:eastAsia="Arial" w:hAnsi="Arial"/>
          <w:sz w:val="16"/>
          <w:szCs w:val="16"/>
          <w:color w:val="auto"/>
        </w:rPr>
        <w:t>In February 2018, the Company issued and sold 12,784,601 Series C convertible preferred shares at a price of $15.6438 per share (the "Series C Original Issue Price") for proceeds of $190,822, net of issuance costs of $9,178.</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each balance sheet date, the Preferred Shares consisted of the following:</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35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ind w:right="642"/>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64"/>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left="2"/>
              <w:spacing w:after="0" w:line="164" w:lineRule="exact"/>
              <w:rPr>
                <w:sz w:val="20"/>
                <w:szCs w:val="20"/>
                <w:color w:val="auto"/>
              </w:rPr>
            </w:pPr>
            <w:r>
              <w:rPr>
                <w:rFonts w:ascii="Arial" w:cs="Arial" w:eastAsia="Arial" w:hAnsi="Arial"/>
                <w:sz w:val="16"/>
                <w:szCs w:val="16"/>
                <w:b w:val="1"/>
                <w:bCs w:val="1"/>
                <w:color w:val="auto"/>
                <w:w w:val="98"/>
              </w:rPr>
              <w:t>Preferred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8"/>
              </w:rPr>
              <w:t>Preferred</w:t>
            </w:r>
          </w:p>
        </w:tc>
        <w:tc>
          <w:tcPr>
            <w:tcW w:w="16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Common Shares</w:t>
            </w:r>
          </w:p>
        </w:tc>
      </w:tr>
      <w:tr>
        <w:trPr>
          <w:trHeight w:val="181"/>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Shares</w:t>
            </w:r>
          </w:p>
        </w:tc>
        <w:tc>
          <w:tcPr>
            <w:tcW w:w="160" w:type="dxa"/>
            <w:vAlign w:val="bottom"/>
          </w:tcPr>
          <w:p>
            <w:pPr>
              <w:spacing w:after="0"/>
              <w:rPr>
                <w:sz w:val="15"/>
                <w:szCs w:val="15"/>
                <w:color w:val="auto"/>
              </w:rPr>
            </w:pPr>
          </w:p>
        </w:tc>
        <w:tc>
          <w:tcPr>
            <w:tcW w:w="102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8"/>
              </w:rPr>
              <w:t>Issued and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60"/>
              <w:spacing w:after="0" w:line="181" w:lineRule="exact"/>
              <w:rPr>
                <w:sz w:val="20"/>
                <w:szCs w:val="20"/>
                <w:color w:val="auto"/>
              </w:rPr>
            </w:pPr>
            <w:r>
              <w:rPr>
                <w:rFonts w:ascii="Arial" w:cs="Arial" w:eastAsia="Arial" w:hAnsi="Arial"/>
                <w:sz w:val="16"/>
                <w:szCs w:val="16"/>
                <w:b w:val="1"/>
                <w:bCs w:val="1"/>
                <w:color w:val="auto"/>
                <w:w w:val="97"/>
              </w:rPr>
              <w:t>Liquidation</w:t>
            </w:r>
          </w:p>
        </w:tc>
        <w:tc>
          <w:tcPr>
            <w:tcW w:w="1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Issuable Upon</w:t>
            </w:r>
          </w:p>
        </w:tc>
      </w:tr>
      <w:tr>
        <w:trPr>
          <w:trHeight w:val="202"/>
        </w:trPr>
        <w:tc>
          <w:tcPr>
            <w:tcW w:w="35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Designated</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Outstanding</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9"/>
              </w:rPr>
              <w:t>Preference</w:t>
            </w: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Conversion</w:t>
            </w:r>
          </w:p>
        </w:tc>
      </w:tr>
      <w:tr>
        <w:trPr>
          <w:trHeight w:val="181"/>
        </w:trPr>
        <w:tc>
          <w:tcPr>
            <w:tcW w:w="3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Series A preferred shares</w:t>
            </w:r>
          </w:p>
        </w:tc>
        <w:tc>
          <w:tcPr>
            <w:tcW w:w="9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28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79,897</w:t>
            </w:r>
          </w:p>
        </w:tc>
        <w:tc>
          <w:tcPr>
            <w:tcW w:w="2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80,000</w:t>
            </w:r>
          </w:p>
        </w:tc>
        <w:tc>
          <w:tcPr>
            <w:tcW w:w="14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r>
      <w:tr>
        <w:trPr>
          <w:trHeight w:val="20"/>
        </w:trPr>
        <w:tc>
          <w:tcPr>
            <w:tcW w:w="3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spacing w:after="0" w:line="169" w:lineRule="exact"/>
              <w:rPr>
                <w:sz w:val="20"/>
                <w:szCs w:val="20"/>
                <w:color w:val="auto"/>
              </w:rPr>
            </w:pPr>
            <w:r>
              <w:rPr>
                <w:rFonts w:ascii="Arial" w:cs="Arial" w:eastAsia="Arial" w:hAnsi="Arial"/>
                <w:sz w:val="16"/>
                <w:szCs w:val="16"/>
                <w:b w:val="1"/>
                <w:bCs w:val="1"/>
                <w:color w:val="auto"/>
              </w:rPr>
              <w:t>December 31, 2017</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64"/>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left="2"/>
              <w:spacing w:after="0" w:line="164" w:lineRule="exact"/>
              <w:rPr>
                <w:sz w:val="20"/>
                <w:szCs w:val="20"/>
                <w:color w:val="auto"/>
              </w:rPr>
            </w:pPr>
            <w:r>
              <w:rPr>
                <w:rFonts w:ascii="Arial" w:cs="Arial" w:eastAsia="Arial" w:hAnsi="Arial"/>
                <w:sz w:val="16"/>
                <w:szCs w:val="16"/>
                <w:b w:val="1"/>
                <w:bCs w:val="1"/>
                <w:color w:val="auto"/>
                <w:w w:val="98"/>
              </w:rPr>
              <w:t>Preferred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8"/>
              </w:rPr>
              <w:t>Preferred</w:t>
            </w:r>
          </w:p>
        </w:tc>
        <w:tc>
          <w:tcPr>
            <w:tcW w:w="16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Common Shares</w:t>
            </w:r>
          </w:p>
        </w:tc>
      </w:tr>
      <w:tr>
        <w:trPr>
          <w:trHeight w:val="181"/>
        </w:trPr>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5"/>
                <w:szCs w:val="15"/>
                <w:color w:val="auto"/>
              </w:rPr>
            </w:pPr>
          </w:p>
        </w:tc>
        <w:tc>
          <w:tcPr>
            <w:tcW w:w="102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8"/>
              </w:rPr>
              <w:t>Issued and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60"/>
              <w:spacing w:after="0" w:line="181" w:lineRule="exact"/>
              <w:rPr>
                <w:sz w:val="20"/>
                <w:szCs w:val="20"/>
                <w:color w:val="auto"/>
              </w:rPr>
            </w:pPr>
            <w:r>
              <w:rPr>
                <w:rFonts w:ascii="Arial" w:cs="Arial" w:eastAsia="Arial" w:hAnsi="Arial"/>
                <w:sz w:val="16"/>
                <w:szCs w:val="16"/>
                <w:b w:val="1"/>
                <w:bCs w:val="1"/>
                <w:color w:val="auto"/>
                <w:w w:val="97"/>
              </w:rPr>
              <w:t>Liquidation</w:t>
            </w:r>
          </w:p>
        </w:tc>
        <w:tc>
          <w:tcPr>
            <w:tcW w:w="1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Issuable Upon</w:t>
            </w:r>
          </w:p>
        </w:tc>
      </w:tr>
      <w:tr>
        <w:trPr>
          <w:trHeight w:val="202"/>
        </w:trPr>
        <w:tc>
          <w:tcPr>
            <w:tcW w:w="3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9"/>
              </w:rPr>
              <w:t>Designated</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Outstanding</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9"/>
              </w:rPr>
              <w:t>Preference</w:t>
            </w:r>
          </w:p>
        </w:tc>
        <w:tc>
          <w:tcPr>
            <w:tcW w:w="14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Conversion</w:t>
            </w:r>
          </w:p>
        </w:tc>
      </w:tr>
      <w:tr>
        <w:trPr>
          <w:trHeight w:val="181"/>
        </w:trPr>
        <w:tc>
          <w:tcPr>
            <w:tcW w:w="3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Series A preferred shares</w:t>
            </w:r>
          </w:p>
        </w:tc>
        <w:tc>
          <w:tcPr>
            <w:tcW w:w="9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1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28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79,897</w:t>
            </w:r>
          </w:p>
        </w:tc>
        <w:tc>
          <w:tcPr>
            <w:tcW w:w="28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80,000</w:t>
            </w:r>
          </w:p>
        </w:tc>
        <w:tc>
          <w:tcPr>
            <w:tcW w:w="14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6"/>
                <w:szCs w:val="16"/>
                <w:color w:val="auto"/>
              </w:rPr>
              <w:t>Series B preferred shares</w:t>
            </w:r>
          </w:p>
        </w:tc>
        <w:tc>
          <w:tcPr>
            <w:tcW w:w="2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5,757,372</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5,757,372</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39,873</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40,000</w:t>
            </w:r>
          </w:p>
        </w:tc>
        <w:tc>
          <w:tcPr>
            <w:tcW w:w="140" w:type="dxa"/>
            <w:vAlign w:val="bottom"/>
          </w:tcPr>
          <w:p>
            <w:pPr>
              <w:spacing w:after="0"/>
              <w:rPr>
                <w:sz w:val="15"/>
                <w:szCs w:val="15"/>
                <w:color w:val="auto"/>
              </w:rPr>
            </w:pPr>
          </w:p>
        </w:tc>
        <w:tc>
          <w:tcPr>
            <w:tcW w:w="12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5,757,372</w:t>
            </w:r>
          </w:p>
        </w:tc>
      </w:tr>
      <w:tr>
        <w:trPr>
          <w:trHeight w:val="185"/>
        </w:trPr>
        <w:tc>
          <w:tcPr>
            <w:tcW w:w="35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22,885,492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22,885,492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22,885,492</w:t>
            </w: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240" w:name="page241"/>
    <w:bookmarkEnd w:id="2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40" w:type="dxa"/>
            <w:vAlign w:val="bottom"/>
            <w:gridSpan w:val="2"/>
          </w:tcPr>
          <w:p>
            <w:pPr>
              <w:spacing w:after="0"/>
              <w:rPr>
                <w:sz w:val="20"/>
                <w:szCs w:val="20"/>
                <w:color w:val="auto"/>
              </w:rPr>
            </w:pPr>
            <w:r>
              <w:rPr>
                <w:rFonts w:ascii="Arial" w:cs="Arial" w:eastAsia="Arial" w:hAnsi="Arial"/>
                <w:sz w:val="16"/>
                <w:szCs w:val="16"/>
                <w:b w:val="1"/>
                <w:bCs w:val="1"/>
                <w:color w:val="auto"/>
              </w:rPr>
              <w:t>6. Convertible Preferred Shares (Continued)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80"/>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6"/>
                <w:szCs w:val="16"/>
                <w:b w:val="1"/>
                <w:bCs w:val="1"/>
                <w:color w:val="auto"/>
                <w:w w:val="96"/>
              </w:rPr>
              <w:t>March 31, 2018</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8"/>
        </w:trPr>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06"/>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8"/>
              </w:rPr>
              <w:t>Preferred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60" w:type="dxa"/>
            <w:vAlign w:val="bottom"/>
          </w:tcPr>
          <w:p>
            <w:pPr>
              <w:jc w:val="center"/>
              <w:ind w:left="22"/>
              <w:spacing w:after="0" w:line="181" w:lineRule="exact"/>
              <w:rPr>
                <w:sz w:val="20"/>
                <w:szCs w:val="20"/>
                <w:color w:val="auto"/>
              </w:rPr>
            </w:pPr>
            <w:r>
              <w:rPr>
                <w:rFonts w:ascii="Arial" w:cs="Arial" w:eastAsia="Arial" w:hAnsi="Arial"/>
                <w:sz w:val="16"/>
                <w:szCs w:val="16"/>
                <w:b w:val="1"/>
                <w:bCs w:val="1"/>
                <w:color w:val="auto"/>
                <w:w w:val="98"/>
              </w:rPr>
              <w:t>Preferred</w:t>
            </w:r>
          </w:p>
        </w:tc>
        <w:tc>
          <w:tcPr>
            <w:tcW w:w="140" w:type="dxa"/>
            <w:vAlign w:val="bottom"/>
          </w:tcPr>
          <w:p>
            <w:pPr>
              <w:spacing w:after="0"/>
              <w:rPr>
                <w:sz w:val="15"/>
                <w:szCs w:val="15"/>
                <w:color w:val="auto"/>
              </w:rPr>
            </w:pPr>
          </w:p>
        </w:tc>
        <w:tc>
          <w:tcPr>
            <w:tcW w:w="104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7"/>
              </w:rPr>
              <w:t>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60"/>
              <w:spacing w:after="0" w:line="181" w:lineRule="exact"/>
              <w:rPr>
                <w:sz w:val="20"/>
                <w:szCs w:val="20"/>
                <w:color w:val="auto"/>
              </w:rPr>
            </w:pPr>
            <w:r>
              <w:rPr>
                <w:rFonts w:ascii="Arial" w:cs="Arial" w:eastAsia="Arial" w:hAnsi="Arial"/>
                <w:sz w:val="16"/>
                <w:szCs w:val="16"/>
                <w:b w:val="1"/>
                <w:bCs w:val="1"/>
                <w:color w:val="auto"/>
                <w:w w:val="97"/>
              </w:rPr>
              <w:t>Common Shares</w:t>
            </w:r>
          </w:p>
        </w:tc>
      </w:tr>
      <w:tr>
        <w:trPr>
          <w:trHeight w:val="181"/>
        </w:trPr>
        <w:tc>
          <w:tcPr>
            <w:tcW w:w="1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6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7"/>
              </w:rPr>
              <w:t>Shares</w:t>
            </w:r>
          </w:p>
        </w:tc>
        <w:tc>
          <w:tcPr>
            <w:tcW w:w="14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Issued and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w w:val="99"/>
              </w:rPr>
              <w:t>Liquidation</w:t>
            </w:r>
          </w:p>
        </w:tc>
        <w:tc>
          <w:tcPr>
            <w:tcW w:w="140" w:type="dxa"/>
            <w:vAlign w:val="bottom"/>
          </w:tcPr>
          <w:p>
            <w:pPr>
              <w:spacing w:after="0"/>
              <w:rPr>
                <w:sz w:val="15"/>
                <w:szCs w:val="15"/>
                <w:color w:val="auto"/>
              </w:rPr>
            </w:pPr>
          </w:p>
        </w:tc>
        <w:tc>
          <w:tcPr>
            <w:tcW w:w="150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w w:val="96"/>
              </w:rPr>
              <w:t>Issuable Upon</w:t>
            </w:r>
          </w:p>
        </w:tc>
      </w:tr>
      <w:tr>
        <w:trPr>
          <w:trHeight w:val="202"/>
        </w:trPr>
        <w:tc>
          <w:tcPr>
            <w:tcW w:w="11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96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7"/>
              </w:rPr>
              <w:t>Designated</w:t>
            </w:r>
          </w:p>
        </w:tc>
        <w:tc>
          <w:tcPr>
            <w:tcW w:w="140" w:type="dxa"/>
            <w:vAlign w:val="bottom"/>
          </w:tcPr>
          <w:p>
            <w:pPr>
              <w:spacing w:after="0"/>
              <w:rPr>
                <w:sz w:val="17"/>
                <w:szCs w:val="17"/>
                <w:color w:val="auto"/>
              </w:rPr>
            </w:pPr>
          </w:p>
        </w:tc>
        <w:tc>
          <w:tcPr>
            <w:tcW w:w="104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7"/>
              </w:rPr>
              <w:t>Outstanding</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Preference</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7"/>
              </w:rPr>
              <w:t>Conversion</w:t>
            </w:r>
          </w:p>
        </w:tc>
        <w:tc>
          <w:tcPr>
            <w:tcW w:w="160" w:type="dxa"/>
            <w:vAlign w:val="bottom"/>
          </w:tcPr>
          <w:p>
            <w:pPr>
              <w:spacing w:after="0"/>
              <w:rPr>
                <w:sz w:val="17"/>
                <w:szCs w:val="17"/>
                <w:color w:val="auto"/>
              </w:rPr>
            </w:pPr>
          </w:p>
        </w:tc>
      </w:tr>
      <w:tr>
        <w:trPr>
          <w:trHeight w:val="181"/>
        </w:trPr>
        <w:tc>
          <w:tcPr>
            <w:tcW w:w="1140" w:type="dxa"/>
            <w:vAlign w:val="bottom"/>
          </w:tcPr>
          <w:p>
            <w:pPr>
              <w:spacing w:after="0"/>
              <w:rPr>
                <w:sz w:val="15"/>
                <w:szCs w:val="15"/>
                <w:color w:val="auto"/>
              </w:rPr>
            </w:pPr>
          </w:p>
        </w:tc>
        <w:tc>
          <w:tcPr>
            <w:tcW w:w="3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Series A preferred shares</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11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24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79,897</w:t>
            </w:r>
          </w:p>
        </w:tc>
        <w:tc>
          <w:tcPr>
            <w:tcW w:w="3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80,000</w:t>
            </w:r>
          </w:p>
        </w:tc>
        <w:tc>
          <w:tcPr>
            <w:tcW w:w="14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160" w:type="dxa"/>
            <w:vAlign w:val="bottom"/>
            <w:shd w:val="clear" w:color="auto" w:fill="CCEEFF"/>
          </w:tcPr>
          <w:p>
            <w:pPr>
              <w:spacing w:after="0"/>
              <w:rPr>
                <w:sz w:val="15"/>
                <w:szCs w:val="15"/>
                <w:color w:val="auto"/>
              </w:rPr>
            </w:pPr>
          </w:p>
        </w:tc>
      </w:tr>
      <w:tr>
        <w:trPr>
          <w:trHeight w:val="181"/>
        </w:trPr>
        <w:tc>
          <w:tcPr>
            <w:tcW w:w="444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Series B preferred shares</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5,757,372</w:t>
            </w:r>
          </w:p>
        </w:tc>
        <w:tc>
          <w:tcPr>
            <w:tcW w:w="11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5,757,372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39,873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40,000</w:t>
            </w:r>
          </w:p>
        </w:tc>
        <w:tc>
          <w:tcPr>
            <w:tcW w:w="14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5,757,372</w:t>
            </w:r>
          </w:p>
        </w:tc>
        <w:tc>
          <w:tcPr>
            <w:tcW w:w="16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3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Series C preferred shares</w:t>
            </w: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12,784,601</w:t>
            </w:r>
          </w:p>
        </w:tc>
        <w:tc>
          <w:tcPr>
            <w:tcW w:w="14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12,784,601</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190,822</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200,000</w:t>
            </w:r>
          </w:p>
        </w:tc>
        <w:tc>
          <w:tcPr>
            <w:tcW w:w="14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12,784,601</w:t>
            </w:r>
          </w:p>
        </w:tc>
        <w:tc>
          <w:tcPr>
            <w:tcW w:w="160" w:type="dxa"/>
            <w:vAlign w:val="bottom"/>
            <w:shd w:val="clear" w:color="auto" w:fill="CCEEFF"/>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35,670,093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35,670,093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310,592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320,000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35,670,093</w:t>
            </w:r>
          </w:p>
        </w:tc>
        <w:tc>
          <w:tcPr>
            <w:tcW w:w="16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holders of the Preferred Shares have the following rights and preferences:</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Voting</w:t>
      </w:r>
    </w:p>
    <w:p>
      <w:pPr>
        <w:spacing w:after="0" w:line="206"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holders of Preferred Shares are entitled to vote, together with the holders of common shares, on all matters submitted to shareholders for a vote. The holders of Series A preferred shares are entitled to the number of votes per Series A preferred share equal to the number of whole Class B common shares into which the Series A preferred shares are convertible on the record date determining shareholders entitled to participate in such vote (which is ten votes for each Class B common share). The holders of Series B preferred shares are entitled to the number of votes per Series B preferred share equal to the number of whole Class A common shares into which the Series B preferred shares are convertible on the record date determining shareholders entitled to participate in such vote (which is one vote for each Class A common share). The holders of Series C preferred shares are entitled to the number of votes per Series C preferred share equal to the number of whole Class A common shares into which the Series C preferred shares are convertible on the record date determining shareholders entitled to participate in such vote (which is one vote for each Class A common share). Except as provided by law or by the other provisions of the Amended Bye-Laws, holders of Preferred Shares vote together with the holders of common shares as a single class.</w:t>
      </w:r>
    </w:p>
    <w:p>
      <w:pPr>
        <w:spacing w:after="0" w:line="186" w:lineRule="exact"/>
        <w:rPr>
          <w:sz w:val="20"/>
          <w:szCs w:val="20"/>
          <w:color w:val="auto"/>
        </w:rPr>
      </w:pPr>
    </w:p>
    <w:p>
      <w:pPr>
        <w:ind w:right="120" w:firstLine="433"/>
        <w:spacing w:after="0" w:line="239" w:lineRule="auto"/>
        <w:rPr>
          <w:sz w:val="20"/>
          <w:szCs w:val="20"/>
          <w:color w:val="auto"/>
        </w:rPr>
      </w:pPr>
      <w:r>
        <w:rPr>
          <w:rFonts w:ascii="Arial" w:cs="Arial" w:eastAsia="Arial" w:hAnsi="Arial"/>
          <w:sz w:val="16"/>
          <w:szCs w:val="16"/>
          <w:color w:val="auto"/>
        </w:rPr>
        <w:t>The holders of Preferred Shares, voting together as a single class, are entitled to elect two directors of the Company. The holders of Preferred Shares, voting together with the holders of common shares as a single class, are entitled to elect the remaining directors of the Company, except for the one director that the holders of Class A common shares and Class B common shares, voting together as a single class, are entitled to elect.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Conversion</w:t>
      </w:r>
    </w:p>
    <w:p>
      <w:pPr>
        <w:spacing w:after="0" w:line="206" w:lineRule="exact"/>
        <w:rPr>
          <w:sz w:val="20"/>
          <w:szCs w:val="20"/>
          <w:color w:val="auto"/>
        </w:rPr>
      </w:pPr>
    </w:p>
    <w:p>
      <w:pPr>
        <w:ind w:right="100" w:firstLine="436"/>
        <w:spacing w:after="0" w:line="239" w:lineRule="auto"/>
        <w:rPr>
          <w:sz w:val="20"/>
          <w:szCs w:val="20"/>
          <w:color w:val="auto"/>
        </w:rPr>
      </w:pPr>
      <w:r>
        <w:rPr>
          <w:rFonts w:ascii="Arial" w:cs="Arial" w:eastAsia="Arial" w:hAnsi="Arial"/>
          <w:sz w:val="16"/>
          <w:szCs w:val="16"/>
          <w:color w:val="auto"/>
        </w:rPr>
        <w:t>Each Series A preferred share shall be convertible, at the option of the holder, at any time and from time to time, and without the payment of additional consideration by the holder thereof, in such manner as is permitted by Bermuda law, into such number of fully paid and non-assessable Class B common shares as is determined by dividing the Series A Original Issue Price by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1" w:name="page242"/>
    <w:bookmarkEnd w:id="2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1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Series A Conversion Price (as defined below) in effect at the time of conversion. Each Series B preferred share shall be convertible, at the option of the holder, at any time and from time to time, and without the payment of additional consideration by the holder thereof, in such manner as is permitted by Bermuda law, into such number of fully paid and non-assessable Class A common shares as is determined by dividing the Series B Original Issue Price by the Series B Conversion Price (as defined below) in effect at the time of conversion. Each Series C preferred share shall be convertible, at the option of the holder, at any time and from time to time, and without the payment of additional consideration by the holder thereof, in such manner as is permitted by Bermuda law, into such number of fully paid and non-assessable Class A common shares as is determined by dividing the Series C Original Issue Price by the Series C Conversion Price (as defined below) in effect at the time of conversion.</w:t>
      </w:r>
    </w:p>
    <w:p>
      <w:pPr>
        <w:spacing w:after="0" w:line="188" w:lineRule="exact"/>
        <w:rPr>
          <w:sz w:val="20"/>
          <w:szCs w:val="20"/>
          <w:color w:val="auto"/>
        </w:rPr>
      </w:pPr>
    </w:p>
    <w:p>
      <w:pPr>
        <w:ind w:right="80" w:firstLine="433"/>
        <w:spacing w:after="0" w:line="236" w:lineRule="auto"/>
        <w:rPr>
          <w:sz w:val="20"/>
          <w:szCs w:val="20"/>
          <w:color w:val="auto"/>
        </w:rPr>
      </w:pPr>
      <w:r>
        <w:rPr>
          <w:rFonts w:ascii="Arial" w:cs="Arial" w:eastAsia="Arial" w:hAnsi="Arial"/>
          <w:sz w:val="16"/>
          <w:szCs w:val="16"/>
          <w:color w:val="auto"/>
        </w:rPr>
        <w:t>The Series A Original Issue Price and Series A Conversion Price were equal to $4.6707 as of December 31, 2016 and 2017 and March 31, 2018 (unaudited). The Series B Original Issue Price and Series B Conversion Price were equal to $6.9475 as of December 31, 2017 and March 31, 2018 (unaudited). The Series C Original Issue Price and Series C Conversion Price were equal to $15.6438 as of March 31, 2018 (unaudited). Such Series A, Series B and Series C Original Issue Prices and Series A, Series B and Series C Conversion Prices, and the rate at which each series of preferred shares may be converted into common shares, are subject to adjustment from time to time to reflect future share dividends, splits, combinations, recapitalizations and similar events. The Series A, Series B and Series C Conversion Prices are also subject to adjustments based on weighted-average anti-dilution provisions set forth in the Amended Bye-Laws in the event that additional securities are issued at a purchase price less than the Series A Conversion Price, the Series B Conversion Price or the Series C Conversion Price then in effect. As of December 31, 2016 and 2017 and March 31, 2018 (unaudited), each Series A preferred share was convertible into one Class B common share. As of December 31, 2017 and March 31, 2018 (unaudited), each Series B preferred share was convertible into one Class A common share. As of March 31, 2018 (unaudited), each Series C preferred share was convertible into one Class A common share.</w:t>
      </w:r>
    </w:p>
    <w:p>
      <w:pPr>
        <w:spacing w:after="0" w:line="193"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Upon either (a) the closing of the sale of Class A common shares or Class B common shares to the public at a price of at least $15.6438 per share ($14.0120 prior to the issuance of the Series C preferred shares) (subject to appropriate adjustment in the event of any share dividend, share split, combination or other similar recapitalization with respect to the applicable class of common shares) in an initial public offering resulting in at least $100,000 of gross proceeds to the Company (a "Qualified IPO") or (b) the date and time, or the occurrence of an event, specified by vote or written consent of the holders of a majority of the outstanding Preferred Shares, voting together as a single class on an as-if-converted to Class A common shares basis, all outstanding Series A preferred shares shall automatically be converted, in such manner as is permitted pursuant to Bermuda law, into Class B common shares at the then effective conversion rate, and all outstanding Series B and Series C preferred shares shall automatically be converted, in such manner as is permitted pursuant to Bermuda law, into Class A common shares at the then effective conversion rate. In the event of a mandatory conversion of preferred shares as a result of a Qualified IPO, (i) holders of Series A preferred shares may elect to receive Class B1 common shares in lieu of Class B common shares and (ii) holders of Series B and Series C preferred shares may elect to receive Class A1 common shares in lieu of Class A common shares.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2" w:name="page243"/>
    <w:bookmarkEnd w:id="242"/>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8160" w:hanging="484"/>
        <w:spacing w:after="0" w:line="500" w:lineRule="auto"/>
        <w:tabs>
          <w:tab w:leader="none" w:pos="175"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Convertible Preferred Shares (Continued) </w:t>
      </w:r>
      <w:r>
        <w:rPr>
          <w:rFonts w:ascii="Arial" w:cs="Arial" w:eastAsia="Arial" w:hAnsi="Arial"/>
          <w:sz w:val="16"/>
          <w:szCs w:val="16"/>
          <w:i w:val="1"/>
          <w:iCs w:val="1"/>
          <w:color w:val="auto"/>
        </w:rPr>
        <w:t>Dividends</w:t>
      </w:r>
    </w:p>
    <w:p>
      <w:pPr>
        <w:spacing w:after="0" w:line="1" w:lineRule="exact"/>
        <w:rPr>
          <w:sz w:val="20"/>
          <w:szCs w:val="20"/>
          <w:color w:val="auto"/>
        </w:rPr>
      </w:pPr>
    </w:p>
    <w:p>
      <w:pPr>
        <w:ind w:left="4" w:right="40" w:firstLine="433"/>
        <w:spacing w:after="0" w:line="236" w:lineRule="auto"/>
        <w:rPr>
          <w:sz w:val="20"/>
          <w:szCs w:val="20"/>
          <w:color w:val="auto"/>
        </w:rPr>
      </w:pPr>
      <w:r>
        <w:rPr>
          <w:rFonts w:ascii="Arial" w:cs="Arial" w:eastAsia="Arial" w:hAnsi="Arial"/>
          <w:sz w:val="16"/>
          <w:szCs w:val="16"/>
          <w:color w:val="auto"/>
        </w:rPr>
        <w:t>The holders of the Preferred Shares are entitled to receive noncumulative dividends when and if declared by Company's board of directors. The Company may not declare, pay or set aside any dividends on any other class or series of shares of the Company, other than dividends on common shares payable in common shares, unless the holders of the Preferred Share first receive, or simultaneously receive, a dividend on each outstanding Preferred Share equal to (A) in the case of a dividend on any class of common shares or any class or series that is convertible into common shares, that dividend per Preferred Share as would equal the product of (1) the dividend payable on each share of such class or series determined, if applicable, as if all shares of such class or series had been converted into common shares and (2) the number of common shares issuable upon conversion of a share the applicable series of Preferred Shares, or (B) in the case of a dividend on any class or series that is not convertible into common shares, at a rate per Preferred Share determined by (1) dividing the amount of the dividend payable on each share of such class or series of shares by the original issue price of such class or series (subject to appropriate adjustment in the event of any bonus share, share dividend, share split, combination of or other similar recapitalization with respect to such class or series) and (2) multiplying such fraction by an amount equal to the applicable Series A, Series B or Series C Original Issue Price. Through December 31, 2016 and 2017 and March 31, 2018 (unaudited), no cash dividends have been declared or paid.</w:t>
      </w:r>
    </w:p>
    <w:p>
      <w:pPr>
        <w:spacing w:after="0" w:line="177" w:lineRule="exact"/>
        <w:rPr>
          <w:sz w:val="20"/>
          <w:szCs w:val="20"/>
          <w:color w:val="auto"/>
        </w:rPr>
      </w:pPr>
    </w:p>
    <w:p>
      <w:pPr>
        <w:ind w:left="484"/>
        <w:spacing w:after="0"/>
        <w:rPr>
          <w:sz w:val="20"/>
          <w:szCs w:val="20"/>
          <w:color w:val="auto"/>
        </w:rPr>
      </w:pPr>
      <w:r>
        <w:rPr>
          <w:rFonts w:ascii="Arial" w:cs="Arial" w:eastAsia="Arial" w:hAnsi="Arial"/>
          <w:sz w:val="16"/>
          <w:szCs w:val="16"/>
          <w:i w:val="1"/>
          <w:iCs w:val="1"/>
          <w:color w:val="auto"/>
        </w:rPr>
        <w:t>Liquidation Preference</w:t>
      </w:r>
    </w:p>
    <w:p>
      <w:pPr>
        <w:spacing w:after="0" w:line="206" w:lineRule="exact"/>
        <w:rPr>
          <w:sz w:val="20"/>
          <w:szCs w:val="20"/>
          <w:color w:val="auto"/>
        </w:rPr>
      </w:pPr>
    </w:p>
    <w:p>
      <w:pPr>
        <w:ind w:left="4" w:firstLine="436"/>
        <w:spacing w:after="0" w:line="237" w:lineRule="auto"/>
        <w:rPr>
          <w:sz w:val="20"/>
          <w:szCs w:val="20"/>
          <w:color w:val="auto"/>
        </w:rPr>
      </w:pPr>
      <w:r>
        <w:rPr>
          <w:rFonts w:ascii="Arial" w:cs="Arial" w:eastAsia="Arial" w:hAnsi="Arial"/>
          <w:sz w:val="16"/>
          <w:szCs w:val="16"/>
          <w:color w:val="auto"/>
        </w:rPr>
        <w:t xml:space="preserve">In the event of any voluntary or involuntary liquidation, dissolution or winding up of the Company or deemed liquidation event (as defined below), the holders of Preferred Shares then outstanding shall be entitled to be paid out of the assets of the Company available for distribution to its shareholders,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before any payment shall be made to the holders of common shares by reason of their ownership thereof, an amount per share equal to the greater of (i) one times the applicable Series A, Series B or Series C Original Issue Price, plus any dividends declared but unpaid thereon, and (ii) such amount per share as would have been payable had all Preferred Shares been converted into common shares immediately prior to such liquidation, dissolution, winding up or deemed liquidation event. Thereafter, the remaining assets of the Company available for distribution to its shareholders shall be distributed among the holders of common shares, pro rata based on the number of shares held by each such holder.</w:t>
      </w:r>
    </w:p>
    <w:p>
      <w:pPr>
        <w:spacing w:after="0" w:line="188" w:lineRule="exact"/>
        <w:rPr>
          <w:sz w:val="20"/>
          <w:szCs w:val="20"/>
          <w:color w:val="auto"/>
        </w:rPr>
      </w:pPr>
    </w:p>
    <w:p>
      <w:pPr>
        <w:jc w:val="both"/>
        <w:ind w:left="4" w:right="140" w:firstLine="436"/>
        <w:spacing w:after="0" w:line="238" w:lineRule="auto"/>
        <w:rPr>
          <w:sz w:val="20"/>
          <w:szCs w:val="20"/>
          <w:color w:val="auto"/>
        </w:rPr>
      </w:pPr>
      <w:r>
        <w:rPr>
          <w:rFonts w:ascii="Arial" w:cs="Arial" w:eastAsia="Arial" w:hAnsi="Arial"/>
          <w:sz w:val="16"/>
          <w:szCs w:val="16"/>
          <w:color w:val="auto"/>
        </w:rPr>
        <w:t>If upon any such liquidation, dissolution or winding up of the Company or deemed liquidation event, the assets of the Company available for distribution to its shareholders shall be insufficient to pay the holders of Preferred Shares the full amount to which they shall be entitled, the holders of Preferred Shares shall share ratably in any distribution of the assets available for distribution in proportion to the respective amounts which would otherwise be payable in respect of the shares held by such holders of Preferred Shares upon such distribution if all amounts payable on or with respect to such shares were paid in full.</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243" w:name="page244"/>
    <w:bookmarkEnd w:id="2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Preferred Shares (Continued)</w:t>
      </w:r>
    </w:p>
    <w:p>
      <w:pPr>
        <w:spacing w:after="0" w:line="210" w:lineRule="exact"/>
        <w:rPr>
          <w:sz w:val="20"/>
          <w:szCs w:val="20"/>
          <w:color w:val="auto"/>
        </w:rPr>
      </w:pPr>
    </w:p>
    <w:p>
      <w:pPr>
        <w:ind w:right="80" w:firstLine="436"/>
        <w:spacing w:after="0" w:line="238" w:lineRule="auto"/>
        <w:rPr>
          <w:sz w:val="20"/>
          <w:szCs w:val="20"/>
          <w:color w:val="auto"/>
        </w:rPr>
      </w:pPr>
      <w:r>
        <w:rPr>
          <w:rFonts w:ascii="Arial" w:cs="Arial" w:eastAsia="Arial" w:hAnsi="Arial"/>
          <w:sz w:val="16"/>
          <w:szCs w:val="16"/>
          <w:color w:val="auto"/>
        </w:rPr>
        <w:t>Unless a majority of the holders of the then outstanding Preferred Shares, on an as-if-converted to Class A common shares basis, elect otherwise, a deemed liquidation event shall include a merger or consolidation (other than one in which shareholders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Redemption</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Amended Bye-Laws do not provide redemption rights to the holders of Preferred Shares.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Common Shares</w:t>
      </w:r>
    </w:p>
    <w:p>
      <w:pPr>
        <w:spacing w:after="0" w:line="210" w:lineRule="exact"/>
        <w:rPr>
          <w:sz w:val="20"/>
          <w:szCs w:val="20"/>
          <w:color w:val="auto"/>
        </w:rPr>
      </w:pPr>
    </w:p>
    <w:p>
      <w:pPr>
        <w:ind w:right="20" w:firstLine="427"/>
        <w:spacing w:after="0" w:line="236" w:lineRule="auto"/>
        <w:rPr>
          <w:sz w:val="20"/>
          <w:szCs w:val="20"/>
          <w:color w:val="auto"/>
        </w:rPr>
      </w:pPr>
      <w:r>
        <w:rPr>
          <w:rFonts w:ascii="Arial" w:cs="Arial" w:eastAsia="Arial" w:hAnsi="Arial"/>
          <w:sz w:val="16"/>
          <w:szCs w:val="16"/>
          <w:color w:val="auto"/>
        </w:rPr>
        <w:t>As of December 31, 2016, and 2017, the Amended Bye-Laws authorized the Company to issue 43,918,239 total shares with a par value of $0.000273235, of which 4,491,921 and 5,507,938 shares have been designated as Class A common shares as of December 31, 2016 and 2017, respectively, and 3,568,353 shares have been designated as Class B common shares as of December 31, 2016 and 2017. During the three months ended March 31, 2018 (unaudited), the Company amended and restated its Amended Bye-Laws to increase the total number of authorized shares to 44,746,463 shares, of which 5,507,938 shares have been designated as Class A common shares and 3,568,353 shares have been designated as Class B common shares as of March 31, 2018 (unaudited). The remaining 18,729,845, 11,956,456 and 79 shares that were not designated as common shares or Preferred Shares as of December 31, 2016 and 2017 and March 31, 2018 (unaudited), respectively, may be designated to any class at any time in the future by the Company's board of directors. No Class A1 common shares or Class B1 common shares were designated as of December 31, 2016 and 2017 and March 31, 2018 (unaudited). The rights of the holders of the Company's Class A common shares, Class B common shares, Class A1 common shares and Class B1 common shares are identical, except with respect to voting and conversion, as described below. The voting, dividend and liquidation rights of the holders of the Company's common shares are subject to and qualified by the rights, powers and preferences of the holders of the Preferred Shares as set forth above.</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Voting</w:t>
      </w:r>
    </w:p>
    <w:p>
      <w:pPr>
        <w:spacing w:after="0" w:line="206" w:lineRule="exact"/>
        <w:rPr>
          <w:sz w:val="20"/>
          <w:szCs w:val="20"/>
          <w:color w:val="auto"/>
        </w:rPr>
      </w:pPr>
    </w:p>
    <w:p>
      <w:pPr>
        <w:jc w:val="both"/>
        <w:ind w:right="120" w:firstLine="436"/>
        <w:spacing w:after="0" w:line="239" w:lineRule="auto"/>
        <w:rPr>
          <w:sz w:val="20"/>
          <w:szCs w:val="20"/>
          <w:color w:val="auto"/>
        </w:rPr>
      </w:pPr>
      <w:r>
        <w:rPr>
          <w:rFonts w:ascii="Arial" w:cs="Arial" w:eastAsia="Arial" w:hAnsi="Arial"/>
          <w:sz w:val="16"/>
          <w:szCs w:val="16"/>
          <w:color w:val="auto"/>
        </w:rPr>
        <w:t>Each Class A common share entitles the holder to one vote on all matters submitted to the shareholders for a vote. Each Class B common share entitles the holder to ten votes on all matters submitted to the shareholders for a vote. Holders of Class A1 common shares or Class B1 common shares have no voting rights. The holders of Class A and Class B common shares, voting together as a single class, are entitled to elect one director of the Company.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Dividends</w:t>
      </w:r>
    </w:p>
    <w:p>
      <w:pPr>
        <w:spacing w:after="0" w:line="206"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Common shareholders are entitled to receive dividends, as may be declared by the board of directors. These dividends are subject to the preferential dividend rights of the holders of the Company's Preferred Shares. Through December 31, 2016 and 2017 and March 31, 2018 (unaudited), no cash dividends have been declared or paid.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44" w:name="page245"/>
    <w:bookmarkEnd w:id="244"/>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9080" w:hanging="484"/>
        <w:spacing w:after="0" w:line="500" w:lineRule="auto"/>
        <w:tabs>
          <w:tab w:leader="none" w:pos="175"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Common Shares (Continued) </w:t>
      </w:r>
      <w:r>
        <w:rPr>
          <w:rFonts w:ascii="Arial" w:cs="Arial" w:eastAsia="Arial" w:hAnsi="Arial"/>
          <w:sz w:val="16"/>
          <w:szCs w:val="16"/>
          <w:i w:val="1"/>
          <w:iCs w:val="1"/>
          <w:color w:val="auto"/>
        </w:rPr>
        <w:t>Conversion</w:t>
      </w:r>
    </w:p>
    <w:p>
      <w:pPr>
        <w:spacing w:after="0" w:line="1" w:lineRule="exact"/>
        <w:rPr>
          <w:sz w:val="20"/>
          <w:szCs w:val="20"/>
          <w:color w:val="auto"/>
        </w:rPr>
      </w:pPr>
    </w:p>
    <w:p>
      <w:pPr>
        <w:ind w:left="4" w:right="120" w:firstLine="436"/>
        <w:spacing w:after="0" w:line="238" w:lineRule="auto"/>
        <w:rPr>
          <w:sz w:val="20"/>
          <w:szCs w:val="20"/>
          <w:color w:val="auto"/>
        </w:rPr>
      </w:pPr>
      <w:r>
        <w:rPr>
          <w:rFonts w:ascii="Arial" w:cs="Arial" w:eastAsia="Arial" w:hAnsi="Arial"/>
          <w:sz w:val="16"/>
          <w:szCs w:val="16"/>
          <w:color w:val="auto"/>
        </w:rPr>
        <w:t>Each Class B common share shall automatically convert into one Class A common share upon certain transfers of such shares by the holder thereof (subject to certain exceptions). Each Class B common share shall be convertible, at the holder's election and at any time into one Class A common share or one Class B1 common share. Each Class A1 common share is convertible into one Class A common share at the holder's election. Each Class B1 common share is convertible into one Class A common share or one Class B common share at the holder's election.</w:t>
      </w:r>
    </w:p>
    <w:p>
      <w:pPr>
        <w:spacing w:after="0" w:line="187" w:lineRule="exact"/>
        <w:rPr>
          <w:sz w:val="20"/>
          <w:szCs w:val="20"/>
          <w:color w:val="auto"/>
        </w:rPr>
      </w:pPr>
    </w:p>
    <w:p>
      <w:pPr>
        <w:ind w:left="424"/>
        <w:spacing w:after="0"/>
        <w:rPr>
          <w:sz w:val="20"/>
          <w:szCs w:val="20"/>
          <w:color w:val="auto"/>
        </w:rPr>
      </w:pPr>
      <w:r>
        <w:rPr>
          <w:rFonts w:ascii="Arial" w:cs="Arial" w:eastAsia="Arial" w:hAnsi="Arial"/>
          <w:sz w:val="16"/>
          <w:szCs w:val="16"/>
          <w:color w:val="auto"/>
        </w:rPr>
        <w:t>There are no conversion rights associated with the Company's Class A common shares.</w:t>
      </w:r>
    </w:p>
    <w:p>
      <w:pPr>
        <w:spacing w:after="0" w:line="170" w:lineRule="exact"/>
        <w:rPr>
          <w:sz w:val="20"/>
          <w:szCs w:val="20"/>
          <w:color w:val="auto"/>
        </w:rPr>
      </w:pPr>
    </w:p>
    <w:p>
      <w:pPr>
        <w:ind w:left="484" w:right="8980" w:hanging="484"/>
        <w:spacing w:after="0" w:line="534" w:lineRule="auto"/>
        <w:tabs>
          <w:tab w:leader="none" w:pos="175"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b w:val="1"/>
          <w:bCs w:val="1"/>
          <w:i w:val="1"/>
          <w:iCs w:val="1"/>
          <w:color w:val="auto"/>
        </w:rPr>
        <w:t>2015 Equity Incentive Plan</w:t>
      </w:r>
    </w:p>
    <w:p>
      <w:pPr>
        <w:ind w:left="4" w:firstLine="433"/>
        <w:spacing w:after="0" w:line="241" w:lineRule="auto"/>
        <w:rPr>
          <w:sz w:val="20"/>
          <w:szCs w:val="20"/>
          <w:color w:val="auto"/>
        </w:rPr>
      </w:pPr>
      <w:r>
        <w:rPr>
          <w:rFonts w:ascii="Arial" w:cs="Arial" w:eastAsia="Arial" w:hAnsi="Arial"/>
          <w:sz w:val="16"/>
          <w:szCs w:val="16"/>
          <w:color w:val="auto"/>
        </w:rPr>
        <w:t>The Company's 2015 Equity Incentive Plan, as amended (the "2015 Plan"), provides for the Company to grant qualified incentive options, nonqualified options, share grants and other share-based awards to employees and non-employees to purchase the Company's Class A common shares.</w:t>
      </w:r>
    </w:p>
    <w:p>
      <w:pPr>
        <w:spacing w:after="0" w:line="185" w:lineRule="exact"/>
        <w:rPr>
          <w:sz w:val="20"/>
          <w:szCs w:val="20"/>
          <w:color w:val="auto"/>
        </w:rPr>
      </w:pPr>
    </w:p>
    <w:p>
      <w:pPr>
        <w:ind w:left="4" w:right="40" w:firstLine="433"/>
        <w:spacing w:after="0" w:line="238" w:lineRule="auto"/>
        <w:rPr>
          <w:sz w:val="20"/>
          <w:szCs w:val="20"/>
          <w:color w:val="auto"/>
        </w:rPr>
      </w:pPr>
      <w:r>
        <w:rPr>
          <w:rFonts w:ascii="Arial" w:cs="Arial" w:eastAsia="Arial" w:hAnsi="Arial"/>
          <w:sz w:val="16"/>
          <w:szCs w:val="16"/>
          <w:color w:val="auto"/>
        </w:rPr>
        <w:t>The total number of common shares that may be issued under the 2015 Plan was 3,778,249 and 4,794,266 shares as of December 31, 2016 and 2017, respectively, of which 2,188,249 shares remained available for future grant as of December 31, 2016 and 1,664,893 shares remained available for future grant as of December 31, 2017. The total number of common shares that may be issued under the 2015 plan was 4,794,266 shares as of March 31, 2018 (unaudited), of which 81,193 shares remained available for future grant.</w:t>
      </w:r>
    </w:p>
    <w:p>
      <w:pPr>
        <w:spacing w:after="0" w:line="187" w:lineRule="exact"/>
        <w:rPr>
          <w:sz w:val="20"/>
          <w:szCs w:val="20"/>
          <w:color w:val="auto"/>
        </w:rPr>
      </w:pPr>
    </w:p>
    <w:p>
      <w:pPr>
        <w:ind w:left="4" w:right="40" w:firstLine="433"/>
        <w:spacing w:after="0" w:line="237" w:lineRule="auto"/>
        <w:rPr>
          <w:sz w:val="20"/>
          <w:szCs w:val="20"/>
          <w:color w:val="auto"/>
        </w:rPr>
      </w:pPr>
      <w:r>
        <w:rPr>
          <w:rFonts w:ascii="Arial" w:cs="Arial" w:eastAsia="Arial" w:hAnsi="Arial"/>
          <w:sz w:val="16"/>
          <w:szCs w:val="16"/>
          <w:color w:val="auto"/>
        </w:rPr>
        <w:t>The exercise price for incentive options is determined by the board of directors. All incentive options granted to any person possessing less than 10% of the total combined voting power of all classes of shares may not have an exercise price of less than 100% of the fair market value of the Class A common shares on the grant date. All incentive options granted to any person possessing more than 10% of the total combined voting power of all classes of shares may not have an exercise price of less than 110% of the fair market value of the Class A common shares on the grant date. The option term for incentive awards may not be greater than 10 years. Incentive options granted to persons possessing more than 10% of the total combined voting power of all classes of shares may not have an option term of greater than five years. The vesting period for equity-based awards is determined by the board of directors, which is generally four to six years. For awards granted to employees and non-employees with four-year vesting terms, 25% of the option vests on the first anniversary of the grant date and the remaining shares vest equally each month for three years thereafter. For awards granted to employees with six-year vesting terms, 16% of the option vests on the first anniversary of the grant date and the remaining shares vest based on a predetermined vesting schedule for five years thereafter.</w:t>
      </w:r>
    </w:p>
    <w:p>
      <w:pPr>
        <w:spacing w:after="0" w:line="186"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Shares that are expired, terminated, surrendered or canceled under the 2015 Plan without having been fully exercised will be available for future awards.</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245" w:name="page246"/>
    <w:bookmarkEnd w:id="2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Share-Based Compensation (Continued)</w:t>
      </w:r>
    </w:p>
    <w:p>
      <w:pPr>
        <w:spacing w:after="0" w:line="210" w:lineRule="exact"/>
        <w:rPr>
          <w:sz w:val="20"/>
          <w:szCs w:val="20"/>
          <w:color w:val="auto"/>
        </w:rPr>
      </w:pPr>
    </w:p>
    <w:p>
      <w:pPr>
        <w:ind w:right="180" w:firstLine="436"/>
        <w:spacing w:after="0" w:line="237" w:lineRule="auto"/>
        <w:rPr>
          <w:sz w:val="20"/>
          <w:szCs w:val="20"/>
          <w:color w:val="auto"/>
        </w:rPr>
      </w:pPr>
      <w:r>
        <w:rPr>
          <w:rFonts w:ascii="Arial" w:cs="Arial" w:eastAsia="Arial" w:hAnsi="Arial"/>
          <w:sz w:val="16"/>
          <w:szCs w:val="16"/>
          <w:color w:val="auto"/>
        </w:rPr>
        <w:t>During the years ended December 31, 2016 and 2017, the Company granted options to purchase 316,866 and 1,545,045 Class A common shares, respectively, to employees and directors. During the three months ended March 31, 2017 and 2018 (unaudited), the Company granted options to purchase 37,512 and 1,652,321 Class A common shares, respectively, to employees and directors. The Company recorded share-based compensation expense for options granted to employees and directors of $354, $876, $110 and $536 during the years ended December 31, 2016 and 2017 and the three months ended March 31, 2017 and 2018 (unaudited), respectively.</w:t>
      </w:r>
    </w:p>
    <w:p>
      <w:pPr>
        <w:spacing w:after="0" w:line="189" w:lineRule="exact"/>
        <w:rPr>
          <w:sz w:val="20"/>
          <w:szCs w:val="20"/>
          <w:color w:val="auto"/>
        </w:rPr>
      </w:pPr>
    </w:p>
    <w:p>
      <w:pPr>
        <w:ind w:right="140" w:firstLine="436"/>
        <w:spacing w:after="0" w:line="237" w:lineRule="auto"/>
        <w:rPr>
          <w:sz w:val="20"/>
          <w:szCs w:val="20"/>
          <w:color w:val="auto"/>
        </w:rPr>
      </w:pPr>
      <w:r>
        <w:rPr>
          <w:rFonts w:ascii="Arial" w:cs="Arial" w:eastAsia="Arial" w:hAnsi="Arial"/>
          <w:sz w:val="16"/>
          <w:szCs w:val="16"/>
          <w:color w:val="auto"/>
        </w:rPr>
        <w:t>During the years ended December 31, 2016 and 2017, the Company granted options to purchase 12,807 and 1,829 Class A common shares, respectively, to non-employees. During the three months ended March 31, 2017 (unaudited), the Company granted options to purchase 1,829 Class A common shares to non-employees. The Company did not grant any options to non-employees during the three months ended March 31, 2018 (unaudited). The Company recorded share-based compensation expense for options granted to non-employees of $14, $21, $4 and $22 during the years ended December 31, 2016 and 2017 and the three months ended March 31, 2017 and 2018 (unaudited), respectively.</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Option Valuation</w:t>
      </w:r>
    </w:p>
    <w:p>
      <w:pPr>
        <w:spacing w:after="0" w:line="208" w:lineRule="exact"/>
        <w:rPr>
          <w:sz w:val="20"/>
          <w:szCs w:val="20"/>
          <w:color w:val="auto"/>
        </w:rPr>
      </w:pPr>
    </w:p>
    <w:p>
      <w:pPr>
        <w:ind w:right="60" w:firstLine="433"/>
        <w:spacing w:after="0" w:line="241" w:lineRule="auto"/>
        <w:rPr>
          <w:sz w:val="20"/>
          <w:szCs w:val="20"/>
          <w:color w:val="auto"/>
        </w:rPr>
      </w:pPr>
      <w:r>
        <w:rPr>
          <w:rFonts w:ascii="Arial" w:cs="Arial" w:eastAsia="Arial" w:hAnsi="Arial"/>
          <w:sz w:val="16"/>
          <w:szCs w:val="16"/>
          <w:color w:val="auto"/>
        </w:rPr>
        <w:t>The assumptions that the Company used to determine the grant-date fair value of options granted to employees and directors were as follows, presented on a weighted-average basis: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Three Months</w:t>
            </w:r>
          </w:p>
        </w:tc>
      </w:tr>
      <w:tr>
        <w:trPr>
          <w:trHeight w:val="205"/>
        </w:trPr>
        <w:tc>
          <w:tcPr>
            <w:tcW w:w="6400" w:type="dxa"/>
            <w:vAlign w:val="bottom"/>
          </w:tcPr>
          <w:p>
            <w:pPr>
              <w:spacing w:after="0"/>
              <w:rPr>
                <w:sz w:val="17"/>
                <w:szCs w:val="17"/>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Year Ended</w:t>
            </w:r>
          </w:p>
        </w:tc>
        <w:tc>
          <w:tcPr>
            <w:tcW w:w="136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Ended</w:t>
            </w:r>
          </w:p>
        </w:tc>
      </w:tr>
      <w:tr>
        <w:trPr>
          <w:trHeight w:val="214"/>
        </w:trPr>
        <w:tc>
          <w:tcPr>
            <w:tcW w:w="6400" w:type="dxa"/>
            <w:vAlign w:val="bottom"/>
          </w:tcPr>
          <w:p>
            <w:pPr>
              <w:spacing w:after="0"/>
              <w:rPr>
                <w:sz w:val="18"/>
                <w:szCs w:val="18"/>
                <w:color w:val="auto"/>
              </w:rPr>
            </w:pPr>
          </w:p>
        </w:tc>
        <w:tc>
          <w:tcPr>
            <w:tcW w:w="138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March 31,</w:t>
            </w:r>
          </w:p>
        </w:tc>
      </w:tr>
      <w:tr>
        <w:trPr>
          <w:trHeight w:val="197"/>
        </w:trPr>
        <w:tc>
          <w:tcPr>
            <w:tcW w:w="64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6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80"/>
              </w:rPr>
              <w:t>(unaudited)</w:t>
            </w:r>
          </w:p>
        </w:tc>
        <w:tc>
          <w:tcPr>
            <w:tcW w:w="140" w:type="dxa"/>
            <w:vAlign w:val="bottom"/>
          </w:tcPr>
          <w:p>
            <w:pPr>
              <w:spacing w:after="0"/>
              <w:rPr>
                <w:sz w:val="16"/>
                <w:szCs w:val="16"/>
                <w:color w:val="auto"/>
              </w:rPr>
            </w:pPr>
          </w:p>
        </w:tc>
      </w:tr>
      <w:tr>
        <w:trPr>
          <w:trHeight w:val="181"/>
        </w:trPr>
        <w:tc>
          <w:tcPr>
            <w:tcW w:w="6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Risk-free interest rate</w:t>
            </w:r>
          </w:p>
        </w:tc>
        <w:tc>
          <w:tcPr>
            <w:tcW w:w="72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1.45%</w:t>
            </w:r>
          </w:p>
        </w:tc>
        <w:tc>
          <w:tcPr>
            <w:tcW w:w="6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1.99%</w:t>
            </w:r>
          </w:p>
        </w:tc>
        <w:tc>
          <w:tcPr>
            <w:tcW w:w="7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2.17%</w:t>
            </w:r>
          </w:p>
        </w:tc>
        <w:tc>
          <w:tcPr>
            <w:tcW w:w="6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2.71%</w:t>
            </w:r>
          </w:p>
        </w:tc>
      </w:tr>
      <w:tr>
        <w:trPr>
          <w:trHeight w:val="181"/>
        </w:trPr>
        <w:tc>
          <w:tcPr>
            <w:tcW w:w="6400" w:type="dxa"/>
            <w:vAlign w:val="bottom"/>
          </w:tcPr>
          <w:p>
            <w:pPr>
              <w:spacing w:after="0" w:line="181" w:lineRule="exact"/>
              <w:rPr>
                <w:sz w:val="20"/>
                <w:szCs w:val="20"/>
                <w:color w:val="auto"/>
              </w:rPr>
            </w:pPr>
            <w:r>
              <w:rPr>
                <w:rFonts w:ascii="Arial" w:cs="Arial" w:eastAsia="Arial" w:hAnsi="Arial"/>
                <w:sz w:val="16"/>
                <w:szCs w:val="16"/>
                <w:color w:val="auto"/>
              </w:rPr>
              <w:t>Expected term (in years)</w:t>
            </w: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6.25</w:t>
            </w:r>
          </w:p>
        </w:tc>
        <w:tc>
          <w:tcPr>
            <w:tcW w:w="20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color w:val="auto"/>
              </w:rPr>
              <w:t>6.25</w:t>
            </w:r>
          </w:p>
        </w:tc>
        <w:tc>
          <w:tcPr>
            <w:tcW w:w="16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color w:val="auto"/>
              </w:rPr>
              <w:t>6.25</w:t>
            </w:r>
          </w:p>
        </w:tc>
        <w:tc>
          <w:tcPr>
            <w:tcW w:w="2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Arial" w:cs="Arial" w:eastAsia="Arial" w:hAnsi="Arial"/>
                <w:sz w:val="16"/>
                <w:szCs w:val="16"/>
                <w:color w:val="auto"/>
              </w:rPr>
              <w:t>6.56</w:t>
            </w:r>
          </w:p>
        </w:tc>
        <w:tc>
          <w:tcPr>
            <w:tcW w:w="140" w:type="dxa"/>
            <w:vAlign w:val="bottom"/>
          </w:tcPr>
          <w:p>
            <w:pPr>
              <w:spacing w:after="0"/>
              <w:rPr>
                <w:sz w:val="15"/>
                <w:szCs w:val="15"/>
                <w:color w:val="auto"/>
              </w:rPr>
            </w:pPr>
          </w:p>
        </w:tc>
      </w:tr>
      <w:tr>
        <w:trPr>
          <w:trHeight w:val="181"/>
        </w:trPr>
        <w:tc>
          <w:tcPr>
            <w:tcW w:w="6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Expected volatility</w:t>
            </w:r>
          </w:p>
        </w:tc>
        <w:tc>
          <w:tcPr>
            <w:tcW w:w="72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70.75%</w:t>
            </w:r>
          </w:p>
        </w:tc>
        <w:tc>
          <w:tcPr>
            <w:tcW w:w="6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74.18%</w:t>
            </w:r>
          </w:p>
        </w:tc>
        <w:tc>
          <w:tcPr>
            <w:tcW w:w="7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74.03%</w:t>
            </w:r>
          </w:p>
        </w:tc>
        <w:tc>
          <w:tcPr>
            <w:tcW w:w="6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75.25%</w:t>
            </w:r>
          </w:p>
        </w:tc>
      </w:tr>
      <w:tr>
        <w:trPr>
          <w:trHeight w:val="191"/>
        </w:trPr>
        <w:tc>
          <w:tcPr>
            <w:tcW w:w="640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w:t>
            </w:r>
          </w:p>
        </w:tc>
      </w:tr>
    </w:tbl>
    <w:p>
      <w:pPr>
        <w:spacing w:after="0" w:line="18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assumptions that the Company used to determine the fair value of options granted to non-employees were as follows, presented on a weighted-average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jc w:val="center"/>
              <w:ind w:right="1300"/>
              <w:spacing w:after="0"/>
              <w:rPr>
                <w:sz w:val="20"/>
                <w:szCs w:val="20"/>
                <w:color w:val="auto"/>
              </w:rPr>
            </w:pPr>
            <w:r>
              <w:rPr>
                <w:rFonts w:ascii="Arial" w:cs="Arial" w:eastAsia="Arial" w:hAnsi="Arial"/>
                <w:sz w:val="16"/>
                <w:szCs w:val="16"/>
                <w:b w:val="1"/>
                <w:bCs w:val="1"/>
                <w:color w:val="auto"/>
                <w:w w:val="99"/>
              </w:rPr>
              <w:t>Three Months</w:t>
            </w:r>
          </w:p>
        </w:tc>
      </w:tr>
      <w:tr>
        <w:trPr>
          <w:trHeight w:val="205"/>
        </w:trPr>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6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Year Ended</w:t>
            </w:r>
          </w:p>
        </w:tc>
        <w:tc>
          <w:tcPr>
            <w:tcW w:w="2580" w:type="dxa"/>
            <w:vAlign w:val="bottom"/>
            <w:gridSpan w:val="5"/>
          </w:tcPr>
          <w:p>
            <w:pPr>
              <w:jc w:val="center"/>
              <w:ind w:right="1300"/>
              <w:spacing w:after="0"/>
              <w:rPr>
                <w:sz w:val="20"/>
                <w:szCs w:val="20"/>
                <w:color w:val="auto"/>
              </w:rPr>
            </w:pPr>
            <w:r>
              <w:rPr>
                <w:rFonts w:ascii="Arial" w:cs="Arial" w:eastAsia="Arial" w:hAnsi="Arial"/>
                <w:sz w:val="16"/>
                <w:szCs w:val="16"/>
                <w:b w:val="1"/>
                <w:bCs w:val="1"/>
                <w:color w:val="auto"/>
                <w:w w:val="97"/>
              </w:rPr>
              <w:t>Ended March 31,</w:t>
            </w:r>
          </w:p>
        </w:tc>
      </w:tr>
      <w:tr>
        <w:trPr>
          <w:trHeight w:val="214"/>
        </w:trPr>
        <w:tc>
          <w:tcPr>
            <w:tcW w:w="1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6"/>
                <w:szCs w:val="16"/>
                <w:b w:val="1"/>
                <w:bCs w:val="1"/>
                <w:color w:val="auto"/>
                <w:w w:val="99"/>
              </w:rPr>
              <w:t>December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3"/>
        </w:trPr>
        <w:tc>
          <w:tcPr>
            <w:tcW w:w="1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80"/>
              </w:rPr>
              <w:t>(unaudited)</w:t>
            </w:r>
          </w:p>
        </w:tc>
        <w:tc>
          <w:tcPr>
            <w:tcW w:w="1300" w:type="dxa"/>
            <w:vAlign w:val="bottom"/>
            <w:gridSpan w:val="2"/>
          </w:tcPr>
          <w:p>
            <w:pPr>
              <w:spacing w:after="0"/>
              <w:rPr>
                <w:sz w:val="16"/>
                <w:szCs w:val="16"/>
                <w:color w:val="auto"/>
              </w:rPr>
            </w:pPr>
          </w:p>
        </w:tc>
      </w:tr>
      <w:tr>
        <w:trPr>
          <w:trHeight w:val="181"/>
        </w:trPr>
        <w:tc>
          <w:tcPr>
            <w:tcW w:w="1140" w:type="dxa"/>
            <w:vAlign w:val="bottom"/>
          </w:tcPr>
          <w:p>
            <w:pPr>
              <w:spacing w:after="0"/>
              <w:rPr>
                <w:sz w:val="15"/>
                <w:szCs w:val="15"/>
                <w:color w:val="auto"/>
              </w:rPr>
            </w:pPr>
          </w:p>
        </w:tc>
        <w:tc>
          <w:tcPr>
            <w:tcW w:w="3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Risk-free interest rate</w:t>
            </w:r>
          </w:p>
        </w:tc>
        <w:tc>
          <w:tcPr>
            <w:tcW w:w="402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1.94%</w:t>
            </w:r>
          </w:p>
        </w:tc>
        <w:tc>
          <w:tcPr>
            <w:tcW w:w="6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2.49%</w:t>
            </w:r>
          </w:p>
        </w:tc>
        <w:tc>
          <w:tcPr>
            <w:tcW w:w="780" w:type="dxa"/>
            <w:vAlign w:val="bottom"/>
            <w:gridSpan w:val="2"/>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2.49%</w:t>
            </w:r>
          </w:p>
        </w:tc>
        <w:tc>
          <w:tcPr>
            <w:tcW w:w="6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2.78%</w:t>
            </w:r>
          </w:p>
        </w:tc>
        <w:tc>
          <w:tcPr>
            <w:tcW w:w="1160" w:type="dxa"/>
            <w:vAlign w:val="bottom"/>
          </w:tcPr>
          <w:p>
            <w:pPr>
              <w:spacing w:after="0"/>
              <w:rPr>
                <w:sz w:val="15"/>
                <w:szCs w:val="15"/>
                <w:color w:val="auto"/>
              </w:rPr>
            </w:pPr>
          </w:p>
        </w:tc>
      </w:tr>
      <w:tr>
        <w:trPr>
          <w:trHeight w:val="181"/>
        </w:trPr>
        <w:tc>
          <w:tcPr>
            <w:tcW w:w="420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Expected term (in years)</w:t>
            </w:r>
          </w:p>
        </w:tc>
        <w:tc>
          <w:tcPr>
            <w:tcW w:w="38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10.00</w:t>
            </w:r>
          </w:p>
        </w:tc>
        <w:tc>
          <w:tcPr>
            <w:tcW w:w="22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color w:val="auto"/>
              </w:rPr>
              <w:t>10.00</w:t>
            </w:r>
          </w:p>
        </w:tc>
        <w:tc>
          <w:tcPr>
            <w:tcW w:w="140" w:type="dxa"/>
            <w:vAlign w:val="bottom"/>
          </w:tcPr>
          <w:p>
            <w:pPr>
              <w:spacing w:after="0"/>
              <w:rPr>
                <w:sz w:val="15"/>
                <w:szCs w:val="15"/>
                <w:color w:val="auto"/>
              </w:rPr>
            </w:pPr>
          </w:p>
        </w:tc>
        <w:tc>
          <w:tcPr>
            <w:tcW w:w="560" w:type="dxa"/>
            <w:vAlign w:val="bottom"/>
          </w:tcPr>
          <w:p>
            <w:pPr>
              <w:ind w:left="180"/>
              <w:spacing w:after="0" w:line="181" w:lineRule="exact"/>
              <w:rPr>
                <w:sz w:val="20"/>
                <w:szCs w:val="20"/>
                <w:color w:val="auto"/>
              </w:rPr>
            </w:pPr>
            <w:r>
              <w:rPr>
                <w:rFonts w:ascii="Arial" w:cs="Arial" w:eastAsia="Arial" w:hAnsi="Arial"/>
                <w:sz w:val="16"/>
                <w:szCs w:val="16"/>
                <w:color w:val="auto"/>
                <w:w w:val="89"/>
              </w:rPr>
              <w:t>10.00</w:t>
            </w:r>
          </w:p>
        </w:tc>
        <w:tc>
          <w:tcPr>
            <w:tcW w:w="22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color w:val="auto"/>
              </w:rPr>
              <w:t>7.89</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3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Expected volatility</w:t>
            </w:r>
          </w:p>
        </w:tc>
        <w:tc>
          <w:tcPr>
            <w:tcW w:w="402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65.85%</w:t>
            </w:r>
          </w:p>
        </w:tc>
        <w:tc>
          <w:tcPr>
            <w:tcW w:w="6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78.28%</w:t>
            </w:r>
          </w:p>
        </w:tc>
        <w:tc>
          <w:tcPr>
            <w:tcW w:w="780" w:type="dxa"/>
            <w:vAlign w:val="bottom"/>
            <w:gridSpan w:val="2"/>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78.28%</w:t>
            </w:r>
          </w:p>
        </w:tc>
        <w:tc>
          <w:tcPr>
            <w:tcW w:w="6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73.96%</w:t>
            </w:r>
          </w:p>
        </w:tc>
        <w:tc>
          <w:tcPr>
            <w:tcW w:w="1160" w:type="dxa"/>
            <w:vAlign w:val="bottom"/>
          </w:tcPr>
          <w:p>
            <w:pPr>
              <w:spacing w:after="0"/>
              <w:rPr>
                <w:sz w:val="15"/>
                <w:szCs w:val="15"/>
                <w:color w:val="auto"/>
              </w:rPr>
            </w:pPr>
          </w:p>
        </w:tc>
      </w:tr>
      <w:tr>
        <w:trPr>
          <w:trHeight w:val="191"/>
        </w:trPr>
        <w:tc>
          <w:tcPr>
            <w:tcW w:w="4200" w:type="dxa"/>
            <w:vAlign w:val="bottom"/>
            <w:gridSpan w:val="2"/>
          </w:tcPr>
          <w:p>
            <w:pPr>
              <w:ind w:left="1140"/>
              <w:spacing w:after="0"/>
              <w:rPr>
                <w:sz w:val="20"/>
                <w:szCs w:val="20"/>
                <w:color w:val="auto"/>
              </w:rPr>
            </w:pPr>
            <w:r>
              <w:rPr>
                <w:rFonts w:ascii="Arial" w:cs="Arial" w:eastAsia="Arial" w:hAnsi="Arial"/>
                <w:sz w:val="16"/>
                <w:szCs w:val="16"/>
                <w:color w:val="auto"/>
              </w:rPr>
              <w:t>Expected dividend yield</w:t>
            </w:r>
          </w:p>
        </w:tc>
        <w:tc>
          <w:tcPr>
            <w:tcW w:w="4020" w:type="dxa"/>
            <w:vAlign w:val="bottom"/>
            <w:gridSpan w:val="3"/>
          </w:tcPr>
          <w:p>
            <w:pPr>
              <w:jc w:val="right"/>
              <w:ind w:right="80"/>
              <w:spacing w:after="0"/>
              <w:rPr>
                <w:sz w:val="20"/>
                <w:szCs w:val="20"/>
                <w:color w:val="auto"/>
              </w:rPr>
            </w:pPr>
            <w:r>
              <w:rPr>
                <w:rFonts w:ascii="Arial" w:cs="Arial" w:eastAsia="Arial" w:hAnsi="Arial"/>
                <w:sz w:val="16"/>
                <w:szCs w:val="16"/>
                <w:color w:val="auto"/>
              </w:rPr>
              <w:t>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780" w:type="dxa"/>
            <w:vAlign w:val="bottom"/>
            <w:gridSpan w:val="2"/>
          </w:tcPr>
          <w:p>
            <w:pPr>
              <w:jc w:val="right"/>
              <w:ind w:right="2"/>
              <w:spacing w:after="0"/>
              <w:rPr>
                <w:sz w:val="20"/>
                <w:szCs w:val="20"/>
                <w:color w:val="auto"/>
              </w:rPr>
            </w:pPr>
            <w:r>
              <w:rPr>
                <w:rFonts w:ascii="Arial" w:cs="Arial" w:eastAsia="Arial" w:hAnsi="Arial"/>
                <w:sz w:val="16"/>
                <w:szCs w:val="16"/>
                <w:color w:val="auto"/>
              </w:rPr>
              <w:t>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160" w:type="dxa"/>
            <w:vAlign w:val="bottom"/>
          </w:tcPr>
          <w:p>
            <w:pPr>
              <w:spacing w:after="0"/>
              <w:rPr>
                <w:sz w:val="16"/>
                <w:szCs w:val="16"/>
                <w:color w:val="auto"/>
              </w:rPr>
            </w:pPr>
          </w:p>
        </w:tc>
      </w:tr>
      <w:tr>
        <w:trPr>
          <w:trHeight w:val="374"/>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20" w:type="dxa"/>
            <w:vAlign w:val="bottom"/>
            <w:gridSpan w:val="3"/>
          </w:tcPr>
          <w:p>
            <w:pPr>
              <w:jc w:val="right"/>
              <w:ind w:right="2340"/>
              <w:spacing w:after="0"/>
              <w:rPr>
                <w:sz w:val="20"/>
                <w:szCs w:val="20"/>
                <w:color w:val="auto"/>
              </w:rPr>
            </w:pPr>
            <w:r>
              <w:rPr>
                <w:rFonts w:ascii="Arial" w:cs="Arial" w:eastAsia="Arial" w:hAnsi="Arial"/>
                <w:sz w:val="16"/>
                <w:szCs w:val="16"/>
                <w:color w:val="auto"/>
              </w:rPr>
              <w:t>F-26</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3060" w:type="dxa"/>
            <w:vAlign w:val="bottom"/>
            <w:tcBorders>
              <w:bottom w:val="single" w:sz="8" w:color="808080"/>
            </w:tcBorders>
          </w:tcPr>
          <w:p>
            <w:pPr>
              <w:spacing w:after="0"/>
              <w:rPr>
                <w:sz w:val="16"/>
                <w:szCs w:val="16"/>
                <w:color w:val="auto"/>
              </w:rPr>
            </w:pPr>
          </w:p>
        </w:tc>
        <w:tc>
          <w:tcPr>
            <w:tcW w:w="330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46" w:name="page247"/>
    <w:bookmarkEnd w:id="246"/>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8240" w:hanging="484"/>
        <w:spacing w:after="0" w:line="500" w:lineRule="auto"/>
        <w:tabs>
          <w:tab w:leader="none" w:pos="175"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Share-Based Compensation (Continued) </w:t>
      </w:r>
      <w:r>
        <w:rPr>
          <w:rFonts w:ascii="Arial" w:cs="Arial" w:eastAsia="Arial" w:hAnsi="Arial"/>
          <w:sz w:val="16"/>
          <w:szCs w:val="16"/>
          <w:b w:val="1"/>
          <w:bCs w:val="1"/>
          <w:i w:val="1"/>
          <w:iCs w:val="1"/>
          <w:color w:val="auto"/>
        </w:rPr>
        <w:t>Options</w:t>
      </w:r>
    </w:p>
    <w:p>
      <w:pPr>
        <w:spacing w:after="0" w:line="1" w:lineRule="exact"/>
        <w:rPr>
          <w:sz w:val="20"/>
          <w:szCs w:val="20"/>
          <w:color w:val="auto"/>
        </w:rPr>
      </w:pPr>
    </w:p>
    <w:p>
      <w:pPr>
        <w:ind w:left="4" w:right="100" w:firstLine="433"/>
        <w:spacing w:after="0" w:line="239" w:lineRule="auto"/>
        <w:rPr>
          <w:sz w:val="20"/>
          <w:szCs w:val="20"/>
          <w:color w:val="auto"/>
        </w:rPr>
      </w:pPr>
      <w:r>
        <w:rPr>
          <w:rFonts w:ascii="Arial" w:cs="Arial" w:eastAsia="Arial" w:hAnsi="Arial"/>
          <w:sz w:val="16"/>
          <w:szCs w:val="16"/>
          <w:color w:val="auto"/>
        </w:rPr>
        <w:t>Through December 31, 2017 and March 31, 2018 (unaudited), all options granted by the Company under the 2015 Plan were for the purchase of Class A common shares. The following table summarizes option activity under the 2015 Plan for the year ended December 31, 2017 and the three months ended March 31, 2018 (unaudited):</w:t>
      </w:r>
    </w:p>
    <w:p>
      <w:pPr>
        <w:spacing w:after="0" w:line="163" w:lineRule="exact"/>
        <w:rPr>
          <w:sz w:val="20"/>
          <w:szCs w:val="20"/>
          <w:color w:val="auto"/>
        </w:rPr>
      </w:pPr>
    </w:p>
    <w:tbl>
      <w:tblPr>
        <w:tblLayout w:type="fixed"/>
        <w:tblInd w:w="1144"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left="2"/>
              <w:spacing w:after="0"/>
              <w:rPr>
                <w:sz w:val="20"/>
                <w:szCs w:val="20"/>
                <w:color w:val="auto"/>
              </w:rPr>
            </w:pPr>
            <w:r>
              <w:rPr>
                <w:rFonts w:ascii="Arial" w:cs="Arial" w:eastAsia="Arial" w:hAnsi="Arial"/>
                <w:sz w:val="16"/>
                <w:szCs w:val="16"/>
                <w:b w:val="1"/>
                <w:bCs w:val="1"/>
                <w:color w:val="auto"/>
                <w:w w:val="97"/>
              </w:rPr>
              <w:t>Weighted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Weighted</w:t>
            </w:r>
          </w:p>
        </w:tc>
        <w:tc>
          <w:tcPr>
            <w:tcW w:w="140" w:type="dxa"/>
            <w:vAlign w:val="bottom"/>
          </w:tcPr>
          <w:p>
            <w:pPr>
              <w:spacing w:after="0"/>
              <w:rPr>
                <w:sz w:val="15"/>
                <w:szCs w:val="15"/>
                <w:color w:val="auto"/>
              </w:rPr>
            </w:pPr>
          </w:p>
        </w:tc>
        <w:tc>
          <w:tcPr>
            <w:tcW w:w="98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40"/>
              <w:spacing w:after="0" w:line="181" w:lineRule="exact"/>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1000" w:type="dxa"/>
            <w:vAlign w:val="bottom"/>
            <w:gridSpan w:val="2"/>
          </w:tcPr>
          <w:p>
            <w:pPr>
              <w:jc w:val="right"/>
              <w:ind w:right="120"/>
              <w:spacing w:after="0" w:line="181" w:lineRule="exact"/>
              <w:rPr>
                <w:sz w:val="20"/>
                <w:szCs w:val="20"/>
                <w:color w:val="auto"/>
              </w:rPr>
            </w:pPr>
            <w:r>
              <w:rPr>
                <w:rFonts w:ascii="Arial" w:cs="Arial" w:eastAsia="Arial" w:hAnsi="Arial"/>
                <w:sz w:val="16"/>
                <w:szCs w:val="16"/>
                <w:b w:val="1"/>
                <w:bCs w:val="1"/>
                <w:color w:val="auto"/>
              </w:rPr>
              <w:t>Number of</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Exercise</w:t>
            </w:r>
          </w:p>
        </w:tc>
        <w:tc>
          <w:tcPr>
            <w:tcW w:w="140" w:type="dxa"/>
            <w:vAlign w:val="bottom"/>
          </w:tcPr>
          <w:p>
            <w:pPr>
              <w:spacing w:after="0"/>
              <w:rPr>
                <w:sz w:val="15"/>
                <w:szCs w:val="15"/>
                <w:color w:val="auto"/>
              </w:rPr>
            </w:pPr>
          </w:p>
        </w:tc>
        <w:tc>
          <w:tcPr>
            <w:tcW w:w="980" w:type="dxa"/>
            <w:vAlign w:val="bottom"/>
          </w:tcPr>
          <w:p>
            <w:pPr>
              <w:jc w:val="center"/>
              <w:ind w:left="2"/>
              <w:spacing w:after="0" w:line="181" w:lineRule="exact"/>
              <w:rPr>
                <w:sz w:val="20"/>
                <w:szCs w:val="20"/>
                <w:color w:val="auto"/>
              </w:rPr>
            </w:pPr>
            <w:r>
              <w:rPr>
                <w:rFonts w:ascii="Arial" w:cs="Arial" w:eastAsia="Arial" w:hAnsi="Arial"/>
                <w:sz w:val="16"/>
                <w:szCs w:val="16"/>
                <w:b w:val="1"/>
                <w:bCs w:val="1"/>
                <w:color w:val="auto"/>
                <w:w w:val="96"/>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02"/>
        </w:trPr>
        <w:tc>
          <w:tcPr>
            <w:tcW w:w="49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6"/>
              </w:rPr>
              <w:t>Price</w:t>
            </w:r>
          </w:p>
        </w:tc>
        <w:tc>
          <w:tcPr>
            <w:tcW w:w="140" w:type="dxa"/>
            <w:vAlign w:val="bottom"/>
          </w:tcPr>
          <w:p>
            <w:pPr>
              <w:spacing w:after="0"/>
              <w:rPr>
                <w:sz w:val="17"/>
                <w:szCs w:val="17"/>
                <w:color w:val="auto"/>
              </w:rPr>
            </w:pPr>
          </w:p>
        </w:tc>
        <w:tc>
          <w:tcPr>
            <w:tcW w:w="980" w:type="dxa"/>
            <w:vAlign w:val="bottom"/>
          </w:tcPr>
          <w:p>
            <w:pPr>
              <w:jc w:val="center"/>
              <w:ind w:left="2"/>
              <w:spacing w:after="0"/>
              <w:rPr>
                <w:sz w:val="20"/>
                <w:szCs w:val="20"/>
                <w:color w:val="auto"/>
              </w:rPr>
            </w:pPr>
            <w:r>
              <w:rPr>
                <w:rFonts w:ascii="Arial" w:cs="Arial" w:eastAsia="Arial" w:hAnsi="Arial"/>
                <w:sz w:val="16"/>
                <w:szCs w:val="16"/>
                <w:b w:val="1"/>
                <w:bCs w:val="1"/>
                <w:color w:val="auto"/>
                <w:w w:val="97"/>
              </w:rPr>
              <w:t>Term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auto"/>
            </w:tcBorders>
          </w:tcPr>
          <w:p>
            <w:pPr>
              <w:jc w:val="center"/>
              <w:ind w:left="2"/>
              <w:spacing w:after="0"/>
              <w:rPr>
                <w:sz w:val="20"/>
                <w:szCs w:val="20"/>
                <w:color w:val="auto"/>
              </w:rPr>
            </w:pPr>
            <w:r>
              <w:rPr>
                <w:rFonts w:ascii="Arial" w:cs="Arial" w:eastAsia="Arial" w:hAnsi="Arial"/>
                <w:sz w:val="16"/>
                <w:szCs w:val="16"/>
                <w:b w:val="1"/>
                <w:bCs w:val="1"/>
                <w:color w:val="auto"/>
                <w:w w:val="98"/>
              </w:rPr>
              <w:t>(in years)</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Outstanding as of December 31, 2016</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1,583,691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1.64</w:t>
            </w:r>
          </w:p>
        </w:tc>
        <w:tc>
          <w:tcPr>
            <w:tcW w:w="11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9.10</w:t>
            </w:r>
          </w:p>
        </w:tc>
        <w:tc>
          <w:tcPr>
            <w:tcW w:w="26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356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160"/>
              <w:spacing w:after="0" w:line="181" w:lineRule="exact"/>
              <w:rPr>
                <w:sz w:val="20"/>
                <w:szCs w:val="20"/>
                <w:color w:val="auto"/>
              </w:rPr>
            </w:pPr>
            <w:r>
              <w:rPr>
                <w:rFonts w:ascii="Arial" w:cs="Arial" w:eastAsia="Arial" w:hAnsi="Arial"/>
                <w:sz w:val="16"/>
                <w:szCs w:val="16"/>
                <w:color w:val="auto"/>
              </w:rPr>
              <w:t>Granted</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1,546,874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3.90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Exercised</w:t>
            </w:r>
          </w:p>
        </w:tc>
        <w:tc>
          <w:tcPr>
            <w:tcW w:w="10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160"/>
              <w:spacing w:after="0" w:line="181" w:lineRule="exact"/>
              <w:rPr>
                <w:sz w:val="20"/>
                <w:szCs w:val="20"/>
                <w:color w:val="auto"/>
              </w:rPr>
            </w:pPr>
            <w:r>
              <w:rPr>
                <w:rFonts w:ascii="Arial" w:cs="Arial" w:eastAsia="Arial" w:hAnsi="Arial"/>
                <w:sz w:val="16"/>
                <w:szCs w:val="16"/>
                <w:color w:val="auto"/>
              </w:rPr>
              <w:t>Forfeited</w:t>
            </w:r>
          </w:p>
        </w:tc>
        <w:tc>
          <w:tcPr>
            <w:tcW w:w="10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(7,501)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3.75</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0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Outstanding as of December 31, 2017</w:t>
            </w:r>
          </w:p>
        </w:tc>
        <w:tc>
          <w:tcPr>
            <w:tcW w:w="90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3,123,064</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2.75</w:t>
            </w:r>
          </w:p>
        </w:tc>
        <w:tc>
          <w:tcPr>
            <w:tcW w:w="112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8.82</w:t>
            </w:r>
          </w:p>
        </w:tc>
        <w:tc>
          <w:tcPr>
            <w:tcW w:w="2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6,010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160"/>
              <w:spacing w:after="0" w:line="181" w:lineRule="exact"/>
              <w:rPr>
                <w:sz w:val="20"/>
                <w:szCs w:val="20"/>
                <w:color w:val="auto"/>
              </w:rPr>
            </w:pPr>
            <w:r>
              <w:rPr>
                <w:rFonts w:ascii="Arial" w:cs="Arial" w:eastAsia="Arial" w:hAnsi="Arial"/>
                <w:sz w:val="16"/>
                <w:szCs w:val="16"/>
                <w:color w:val="auto"/>
              </w:rPr>
              <w:t>Granted</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1,652,321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10.36</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Exercised</w:t>
            </w:r>
          </w:p>
        </w:tc>
        <w:tc>
          <w:tcPr>
            <w:tcW w:w="10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(4,574)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3.80</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ind w:left="160"/>
              <w:spacing w:after="0" w:line="181" w:lineRule="exact"/>
              <w:rPr>
                <w:sz w:val="20"/>
                <w:szCs w:val="20"/>
                <w:color w:val="auto"/>
              </w:rPr>
            </w:pPr>
            <w:r>
              <w:rPr>
                <w:rFonts w:ascii="Arial" w:cs="Arial" w:eastAsia="Arial" w:hAnsi="Arial"/>
                <w:sz w:val="16"/>
                <w:szCs w:val="16"/>
                <w:color w:val="auto"/>
              </w:rPr>
              <w:t>Forfeited</w:t>
            </w:r>
          </w:p>
        </w:tc>
        <w:tc>
          <w:tcPr>
            <w:tcW w:w="10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(68,621)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3.80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0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Outstanding as of March 31, 2018 (unaudited)</w:t>
            </w:r>
          </w:p>
        </w:tc>
        <w:tc>
          <w:tcPr>
            <w:tcW w:w="900" w:type="dxa"/>
            <w:vAlign w:val="bottom"/>
            <w:tcBorders>
              <w:top w:val="single" w:sz="8" w:color="auto"/>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4,702,190</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5.41</w:t>
            </w:r>
          </w:p>
        </w:tc>
        <w:tc>
          <w:tcPr>
            <w:tcW w:w="112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9.03</w:t>
            </w:r>
          </w:p>
        </w:tc>
        <w:tc>
          <w:tcPr>
            <w:tcW w:w="260" w:type="dxa"/>
            <w:vAlign w:val="bottom"/>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23,280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6"/>
                <w:szCs w:val="16"/>
                <w:color w:val="auto"/>
              </w:rPr>
              <w:t>Options exercisable as of December 31, 2017</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1.62</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8.07</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2,580</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vMerge w:val="continue"/>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6"/>
                <w:szCs w:val="16"/>
                <w:color w:val="auto"/>
              </w:rPr>
              <w:t>843,454</w:t>
            </w:r>
          </w:p>
        </w:tc>
        <w:tc>
          <w:tcPr>
            <w:tcW w:w="100" w:type="dxa"/>
            <w:vAlign w:val="bottom"/>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Options exercisable as of March 31, 2018 (unaudited)</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955,119</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1.64</w:t>
            </w:r>
          </w:p>
        </w:tc>
        <w:tc>
          <w:tcPr>
            <w:tcW w:w="11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7.82</w:t>
            </w:r>
          </w:p>
        </w:tc>
        <w:tc>
          <w:tcPr>
            <w:tcW w:w="26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8,333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line="181" w:lineRule="exact"/>
              <w:rPr>
                <w:sz w:val="20"/>
                <w:szCs w:val="20"/>
                <w:color w:val="auto"/>
              </w:rPr>
            </w:pPr>
            <w:r>
              <w:rPr>
                <w:rFonts w:ascii="Arial" w:cs="Arial" w:eastAsia="Arial" w:hAnsi="Arial"/>
                <w:sz w:val="16"/>
                <w:szCs w:val="16"/>
                <w:color w:val="auto"/>
              </w:rPr>
              <w:t>Options unvested as of December 31, 2017</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2,279,610</w:t>
            </w:r>
          </w:p>
        </w:tc>
        <w:tc>
          <w:tcPr>
            <w:tcW w:w="100" w:type="dxa"/>
            <w:vAlign w:val="bottom"/>
          </w:tcPr>
          <w:p>
            <w:pPr>
              <w:spacing w:after="0"/>
              <w:rPr>
                <w:sz w:val="15"/>
                <w:szCs w:val="15"/>
                <w:color w:val="auto"/>
              </w:rPr>
            </w:pPr>
          </w:p>
        </w:tc>
        <w:tc>
          <w:tcPr>
            <w:tcW w:w="1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3.17</w:t>
            </w:r>
          </w:p>
        </w:tc>
        <w:tc>
          <w:tcPr>
            <w:tcW w:w="11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9.09</w:t>
            </w:r>
          </w:p>
        </w:tc>
        <w:tc>
          <w:tcPr>
            <w:tcW w:w="2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auto"/>
              </w:rPr>
              <w:t>3,431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Options unvested as of March 31, 2018 (unaudited)</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3,747,071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6.37</w:t>
            </w:r>
          </w:p>
        </w:tc>
        <w:tc>
          <w:tcPr>
            <w:tcW w:w="11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9.34</w:t>
            </w:r>
          </w:p>
        </w:tc>
        <w:tc>
          <w:tcPr>
            <w:tcW w:w="26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14,947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 w:right="100" w:firstLine="433"/>
        <w:spacing w:after="0" w:line="241" w:lineRule="auto"/>
        <w:rPr>
          <w:sz w:val="20"/>
          <w:szCs w:val="20"/>
          <w:color w:val="auto"/>
        </w:rPr>
      </w:pPr>
      <w:r>
        <w:rPr>
          <w:rFonts w:ascii="Arial" w:cs="Arial" w:eastAsia="Arial" w:hAnsi="Arial"/>
          <w:sz w:val="16"/>
          <w:szCs w:val="16"/>
          <w:color w:val="auto"/>
        </w:rPr>
        <w:t>The aggregate intrinsic value of options is calculated as the difference between the exercise price of the options and the fair value of the Company's common shares for those options that had exercise prices lower than the fair value of the Company's common shares.</w:t>
      </w:r>
    </w:p>
    <w:p>
      <w:pPr>
        <w:spacing w:after="0" w:line="185" w:lineRule="exact"/>
        <w:rPr>
          <w:sz w:val="20"/>
          <w:szCs w:val="20"/>
          <w:color w:val="auto"/>
        </w:rPr>
      </w:pPr>
    </w:p>
    <w:p>
      <w:pPr>
        <w:ind w:left="4" w:firstLine="436"/>
        <w:spacing w:after="0" w:line="239" w:lineRule="auto"/>
        <w:rPr>
          <w:sz w:val="20"/>
          <w:szCs w:val="20"/>
          <w:color w:val="auto"/>
        </w:rPr>
      </w:pPr>
      <w:r>
        <w:rPr>
          <w:rFonts w:ascii="Arial" w:cs="Arial" w:eastAsia="Arial" w:hAnsi="Arial"/>
          <w:sz w:val="16"/>
          <w:szCs w:val="16"/>
          <w:color w:val="auto"/>
        </w:rPr>
        <w:t>During the year ended December 31, 2016, an option holder exercised 6,309 options for Class A common shares with an intrinsic value of $2 for total cash proceeds of $10. There were no options exercised during the year ended December 31, 2017. During the three months ended March 31, 2018 (unaudited), an option holder exercised 4,574 options for Class A common shares with an instrinsic value of $30 for total cash proceeds of $17.</w:t>
      </w:r>
    </w:p>
    <w:p>
      <w:pPr>
        <w:spacing w:after="0" w:line="186" w:lineRule="exact"/>
        <w:rPr>
          <w:sz w:val="20"/>
          <w:szCs w:val="20"/>
          <w:color w:val="auto"/>
        </w:rPr>
      </w:pPr>
    </w:p>
    <w:p>
      <w:pPr>
        <w:ind w:left="4" w:right="340" w:firstLine="433"/>
        <w:spacing w:after="0" w:line="239" w:lineRule="auto"/>
        <w:rPr>
          <w:sz w:val="20"/>
          <w:szCs w:val="20"/>
          <w:color w:val="auto"/>
        </w:rPr>
      </w:pPr>
      <w:r>
        <w:rPr>
          <w:rFonts w:ascii="Arial" w:cs="Arial" w:eastAsia="Arial" w:hAnsi="Arial"/>
          <w:sz w:val="16"/>
          <w:szCs w:val="16"/>
          <w:color w:val="auto"/>
        </w:rPr>
        <w:t>The weighted-average grant-date fair value per share of options granted during the years ended December 31, 2016 and 2017 was $1.16 and $2.57, respectively. The weighted-average grant-date fair value per share of options granted during the three months ended March 31, 2017 and 2018 (unaudited) was $2.54 and $7.18, respectively.</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4"/>
          </w:cols>
          <w:pgMar w:left="236" w:top="143" w:right="239" w:bottom="1440" w:gutter="0" w:footer="0" w:header="0"/>
        </w:sectPr>
      </w:pPr>
    </w:p>
    <w:bookmarkStart w:id="247" w:name="page248"/>
    <w:bookmarkEnd w:id="2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Share-Based Compensation (Continued)</w:t>
      </w:r>
    </w:p>
    <w:p>
      <w:pPr>
        <w:spacing w:after="0" w:line="210" w:lineRule="exact"/>
        <w:rPr>
          <w:sz w:val="20"/>
          <w:szCs w:val="20"/>
          <w:color w:val="auto"/>
        </w:rPr>
      </w:pPr>
    </w:p>
    <w:p>
      <w:pPr>
        <w:ind w:right="40" w:firstLine="433"/>
        <w:spacing w:after="0" w:line="241" w:lineRule="auto"/>
        <w:rPr>
          <w:sz w:val="20"/>
          <w:szCs w:val="20"/>
          <w:color w:val="auto"/>
        </w:rPr>
      </w:pPr>
      <w:r>
        <w:rPr>
          <w:rFonts w:ascii="Arial" w:cs="Arial" w:eastAsia="Arial" w:hAnsi="Arial"/>
          <w:sz w:val="16"/>
          <w:szCs w:val="16"/>
          <w:color w:val="auto"/>
        </w:rPr>
        <w:t>The total fair value of options vested during the years ended December 31, 2016 and 2017 and the three months ended March 31, 2017 and 2018 (unaudited) was $402, $445, $89 and $126, respectively.</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208" w:lineRule="exact"/>
        <w:rPr>
          <w:sz w:val="20"/>
          <w:szCs w:val="20"/>
          <w:color w:val="auto"/>
        </w:rPr>
      </w:pPr>
    </w:p>
    <w:p>
      <w:pPr>
        <w:ind w:firstLine="436"/>
        <w:spacing w:after="0" w:line="258" w:lineRule="auto"/>
        <w:rPr>
          <w:sz w:val="20"/>
          <w:szCs w:val="20"/>
          <w:color w:val="auto"/>
        </w:rPr>
      </w:pPr>
      <w:r>
        <w:rPr>
          <w:rFonts w:ascii="Arial" w:cs="Arial" w:eastAsia="Arial" w:hAnsi="Arial"/>
          <w:sz w:val="15"/>
          <w:szCs w:val="15"/>
          <w:color w:val="auto"/>
        </w:rPr>
        <w:t>Under terms of the Class A and Class B restricted share agreements covering the Class A and Class B common shares, restricted common shares are subject to a vesting schedule. The restricted shares vest over a four-year period during which time the Company has the right to repurchase up to all unvested shares at the amount paid if the relationship between the recipient and the Company ceases. Subject to the continued employment (or other engagement of the recipient by the Company as described in the restricted share agreements), all of the restricted common shares become fully vested within four years of the date of issuance.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restricted share activity for the year ended December 31, 2017 and the three months ended March 31, 2018 (unaudited):</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4580" w:type="dxa"/>
            <w:vAlign w:val="bottom"/>
          </w:tcPr>
          <w:p>
            <w:pPr>
              <w:spacing w:after="0"/>
              <w:rPr>
                <w:sz w:val="17"/>
                <w:szCs w:val="17"/>
                <w:color w:val="auto"/>
              </w:rPr>
            </w:pPr>
          </w:p>
        </w:tc>
        <w:tc>
          <w:tcPr>
            <w:tcW w:w="2160" w:type="dxa"/>
            <w:vAlign w:val="bottom"/>
            <w:gridSpan w:val="5"/>
          </w:tcPr>
          <w:p>
            <w:pPr>
              <w:jc w:val="right"/>
              <w:ind w:right="662"/>
              <w:spacing w:after="0"/>
              <w:rPr>
                <w:sz w:val="20"/>
                <w:szCs w:val="20"/>
                <w:color w:val="auto"/>
              </w:rPr>
            </w:pPr>
            <w:r>
              <w:rPr>
                <w:rFonts w:ascii="Arial" w:cs="Arial" w:eastAsia="Arial" w:hAnsi="Arial"/>
                <w:sz w:val="16"/>
                <w:szCs w:val="16"/>
                <w:b w:val="1"/>
                <w:bCs w:val="1"/>
                <w:color w:val="auto"/>
              </w:rPr>
              <w:t>Class A</w:t>
            </w:r>
          </w:p>
        </w:tc>
        <w:tc>
          <w:tcPr>
            <w:tcW w:w="140" w:type="dxa"/>
            <w:vAlign w:val="bottom"/>
          </w:tcPr>
          <w:p>
            <w:pPr>
              <w:spacing w:after="0"/>
              <w:rPr>
                <w:sz w:val="17"/>
                <w:szCs w:val="17"/>
                <w:color w:val="auto"/>
              </w:rPr>
            </w:pPr>
          </w:p>
        </w:tc>
        <w:tc>
          <w:tcPr>
            <w:tcW w:w="232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Class B</w:t>
            </w:r>
          </w:p>
        </w:tc>
      </w:tr>
      <w:tr>
        <w:trPr>
          <w:trHeight w:val="164"/>
        </w:trPr>
        <w:tc>
          <w:tcPr>
            <w:tcW w:w="45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6"/>
                <w:szCs w:val="16"/>
                <w:b w:val="1"/>
                <w:bCs w:val="1"/>
                <w:color w:val="auto"/>
                <w:w w:val="97"/>
              </w:rPr>
              <w:t>Weighted</w:t>
            </w: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4"/>
                <w:szCs w:val="14"/>
                <w:color w:val="auto"/>
              </w:rPr>
            </w:pPr>
          </w:p>
        </w:tc>
      </w:tr>
      <w:tr>
        <w:trPr>
          <w:trHeight w:val="181"/>
        </w:trPr>
        <w:tc>
          <w:tcPr>
            <w:tcW w:w="4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Average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4"/>
              </w:rPr>
              <w:t>Average</w:t>
            </w:r>
          </w:p>
        </w:tc>
      </w:tr>
      <w:tr>
        <w:trPr>
          <w:trHeight w:val="181"/>
        </w:trPr>
        <w:tc>
          <w:tcPr>
            <w:tcW w:w="4580" w:type="dxa"/>
            <w:vAlign w:val="bottom"/>
          </w:tcPr>
          <w:p>
            <w:pPr>
              <w:spacing w:after="0"/>
              <w:rPr>
                <w:sz w:val="15"/>
                <w:szCs w:val="15"/>
                <w:color w:val="auto"/>
              </w:rPr>
            </w:pPr>
          </w:p>
        </w:tc>
        <w:tc>
          <w:tcPr>
            <w:tcW w:w="1000" w:type="dxa"/>
            <w:vAlign w:val="bottom"/>
            <w:gridSpan w:val="2"/>
          </w:tcPr>
          <w:p>
            <w:pPr>
              <w:jc w:val="right"/>
              <w:ind w:right="100"/>
              <w:spacing w:after="0" w:line="181" w:lineRule="exact"/>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Fair Value</w:t>
            </w:r>
          </w:p>
        </w:tc>
        <w:tc>
          <w:tcPr>
            <w:tcW w:w="140" w:type="dxa"/>
            <w:vAlign w:val="bottom"/>
          </w:tcPr>
          <w:p>
            <w:pPr>
              <w:spacing w:after="0"/>
              <w:rPr>
                <w:sz w:val="15"/>
                <w:szCs w:val="15"/>
                <w:color w:val="auto"/>
              </w:rPr>
            </w:pPr>
          </w:p>
        </w:tc>
        <w:tc>
          <w:tcPr>
            <w:tcW w:w="1020" w:type="dxa"/>
            <w:vAlign w:val="bottom"/>
            <w:gridSpan w:val="2"/>
          </w:tcPr>
          <w:p>
            <w:pPr>
              <w:jc w:val="right"/>
              <w:ind w:right="120"/>
              <w:spacing w:after="0" w:line="181" w:lineRule="exact"/>
              <w:rPr>
                <w:sz w:val="20"/>
                <w:szCs w:val="20"/>
                <w:color w:val="auto"/>
              </w:rPr>
            </w:pPr>
            <w:r>
              <w:rPr>
                <w:rFonts w:ascii="Arial" w:cs="Arial" w:eastAsia="Arial" w:hAnsi="Arial"/>
                <w:sz w:val="16"/>
                <w:szCs w:val="16"/>
                <w:b w:val="1"/>
                <w:bCs w:val="1"/>
                <w:color w:val="auto"/>
              </w:rPr>
              <w:t>Number of</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9"/>
              </w:rPr>
              <w:t>Fair Value</w:t>
            </w:r>
          </w:p>
        </w:tc>
      </w:tr>
      <w:tr>
        <w:trPr>
          <w:trHeight w:val="202"/>
        </w:trPr>
        <w:tc>
          <w:tcPr>
            <w:tcW w:w="45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8"/>
              </w:rPr>
              <w:t>at Issuance</w:t>
            </w:r>
          </w:p>
        </w:tc>
        <w:tc>
          <w:tcPr>
            <w:tcW w:w="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6"/>
              </w:rPr>
              <w:t>at Issuance</w:t>
            </w:r>
          </w:p>
        </w:tc>
      </w:tr>
      <w:tr>
        <w:trPr>
          <w:trHeight w:val="18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Unvested restricted shares outstanding as of December 31,</w:t>
            </w: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8"/>
        </w:trPr>
        <w:tc>
          <w:tcPr>
            <w:tcW w:w="458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2016</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490,646</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0.000273235</w:t>
            </w:r>
          </w:p>
        </w:tc>
        <w:tc>
          <w:tcPr>
            <w:tcW w:w="10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2,527,583</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0.000273235</w:t>
            </w:r>
          </w:p>
        </w:tc>
        <w:tc>
          <w:tcPr>
            <w:tcW w:w="160" w:type="dxa"/>
            <w:vAlign w:val="bottom"/>
            <w:shd w:val="clear" w:color="auto" w:fill="CCEEFF"/>
          </w:tcPr>
          <w:p>
            <w:pPr>
              <w:spacing w:after="0"/>
              <w:rPr>
                <w:sz w:val="15"/>
                <w:szCs w:val="15"/>
                <w:color w:val="auto"/>
              </w:rPr>
            </w:pPr>
          </w:p>
        </w:tc>
      </w:tr>
      <w:tr>
        <w:trPr>
          <w:trHeight w:val="181"/>
        </w:trPr>
        <w:tc>
          <w:tcPr>
            <w:tcW w:w="4580" w:type="dxa"/>
            <w:vAlign w:val="bottom"/>
          </w:tcPr>
          <w:p>
            <w:pPr>
              <w:ind w:left="160"/>
              <w:spacing w:after="0" w:line="181" w:lineRule="exact"/>
              <w:rPr>
                <w:sz w:val="20"/>
                <w:szCs w:val="20"/>
                <w:color w:val="auto"/>
              </w:rPr>
            </w:pPr>
            <w:r>
              <w:rPr>
                <w:rFonts w:ascii="Arial" w:cs="Arial" w:eastAsia="Arial" w:hAnsi="Arial"/>
                <w:sz w:val="16"/>
                <w:szCs w:val="16"/>
                <w:color w:val="auto"/>
              </w:rPr>
              <w:t>Granted</w:t>
            </w:r>
          </w:p>
        </w:tc>
        <w:tc>
          <w:tcPr>
            <w:tcW w:w="10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w:t>
            </w:r>
          </w:p>
        </w:tc>
      </w:tr>
      <w:tr>
        <w:trPr>
          <w:trHeight w:val="181"/>
        </w:trPr>
        <w:tc>
          <w:tcPr>
            <w:tcW w:w="45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Vested</w:t>
            </w:r>
          </w:p>
        </w:tc>
        <w:tc>
          <w:tcPr>
            <w:tcW w:w="10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(178,417)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0.000273235</w:t>
            </w:r>
          </w:p>
        </w:tc>
        <w:tc>
          <w:tcPr>
            <w:tcW w:w="1160" w:type="dxa"/>
            <w:vAlign w:val="bottom"/>
            <w:gridSpan w:val="3"/>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(892,088)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0.000273235</w:t>
            </w:r>
          </w:p>
        </w:tc>
        <w:tc>
          <w:tcPr>
            <w:tcW w:w="160" w:type="dxa"/>
            <w:vAlign w:val="bottom"/>
            <w:shd w:val="clear" w:color="auto" w:fill="CCEEFF"/>
          </w:tcPr>
          <w:p>
            <w:pPr>
              <w:spacing w:after="0"/>
              <w:rPr>
                <w:sz w:val="15"/>
                <w:szCs w:val="15"/>
                <w:color w:val="auto"/>
              </w:rPr>
            </w:pPr>
          </w:p>
        </w:tc>
      </w:tr>
      <w:tr>
        <w:trPr>
          <w:trHeight w:val="176"/>
        </w:trPr>
        <w:tc>
          <w:tcPr>
            <w:tcW w:w="4580" w:type="dxa"/>
            <w:vAlign w:val="bottom"/>
          </w:tcPr>
          <w:p>
            <w:pPr>
              <w:spacing w:after="0" w:line="176" w:lineRule="exact"/>
              <w:rPr>
                <w:sz w:val="20"/>
                <w:szCs w:val="20"/>
                <w:color w:val="auto"/>
              </w:rPr>
            </w:pPr>
            <w:r>
              <w:rPr>
                <w:rFonts w:ascii="Arial" w:cs="Arial" w:eastAsia="Arial" w:hAnsi="Arial"/>
                <w:sz w:val="16"/>
                <w:szCs w:val="16"/>
                <w:color w:val="auto"/>
              </w:rPr>
              <w:t>Unvested restricted shares outstanding as of December 31,</w:t>
            </w: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4580" w:type="dxa"/>
            <w:vAlign w:val="bottom"/>
          </w:tcPr>
          <w:p>
            <w:pPr>
              <w:ind w:left="160"/>
              <w:spacing w:after="0" w:line="178" w:lineRule="exact"/>
              <w:rPr>
                <w:sz w:val="20"/>
                <w:szCs w:val="20"/>
                <w:color w:val="auto"/>
              </w:rPr>
            </w:pPr>
            <w:r>
              <w:rPr>
                <w:rFonts w:ascii="Arial" w:cs="Arial" w:eastAsia="Arial" w:hAnsi="Arial"/>
                <w:sz w:val="16"/>
                <w:szCs w:val="16"/>
                <w:color w:val="auto"/>
              </w:rPr>
              <w:t>2017</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312,229</w:t>
            </w:r>
          </w:p>
        </w:tc>
        <w:tc>
          <w:tcPr>
            <w:tcW w:w="80" w:type="dxa"/>
            <w:vAlign w:val="bottom"/>
          </w:tcPr>
          <w:p>
            <w:pPr>
              <w:spacing w:after="0"/>
              <w:rPr>
                <w:sz w:val="15"/>
                <w:szCs w:val="15"/>
                <w:color w:val="auto"/>
              </w:rPr>
            </w:pPr>
          </w:p>
        </w:tc>
        <w:tc>
          <w:tcPr>
            <w:tcW w:w="1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0.000273235</w:t>
            </w:r>
          </w:p>
        </w:tc>
        <w:tc>
          <w:tcPr>
            <w:tcW w:w="10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1,635,495</w:t>
            </w:r>
          </w:p>
        </w:tc>
        <w:tc>
          <w:tcPr>
            <w:tcW w:w="100" w:type="dxa"/>
            <w:vAlign w:val="bottom"/>
          </w:tcPr>
          <w:p>
            <w:pPr>
              <w:spacing w:after="0"/>
              <w:rPr>
                <w:sz w:val="15"/>
                <w:szCs w:val="15"/>
                <w:color w:val="auto"/>
              </w:rPr>
            </w:pPr>
          </w:p>
        </w:tc>
        <w:tc>
          <w:tcPr>
            <w:tcW w:w="1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0.000273235</w:t>
            </w:r>
          </w:p>
        </w:tc>
        <w:tc>
          <w:tcPr>
            <w:tcW w:w="160" w:type="dxa"/>
            <w:vAlign w:val="bottom"/>
          </w:tcPr>
          <w:p>
            <w:pPr>
              <w:spacing w:after="0"/>
              <w:rPr>
                <w:sz w:val="15"/>
                <w:szCs w:val="15"/>
                <w:color w:val="auto"/>
              </w:rPr>
            </w:pPr>
          </w:p>
        </w:tc>
      </w:tr>
      <w:tr>
        <w:trPr>
          <w:trHeight w:val="181"/>
        </w:trPr>
        <w:tc>
          <w:tcPr>
            <w:tcW w:w="45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Granted</w:t>
            </w:r>
          </w:p>
        </w:tc>
        <w:tc>
          <w:tcPr>
            <w:tcW w:w="100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w:t>
            </w:r>
          </w:p>
        </w:tc>
      </w:tr>
      <w:tr>
        <w:trPr>
          <w:trHeight w:val="181"/>
        </w:trPr>
        <w:tc>
          <w:tcPr>
            <w:tcW w:w="4580" w:type="dxa"/>
            <w:vAlign w:val="bottom"/>
          </w:tcPr>
          <w:p>
            <w:pPr>
              <w:ind w:left="160"/>
              <w:spacing w:after="0" w:line="181" w:lineRule="exact"/>
              <w:rPr>
                <w:sz w:val="20"/>
                <w:szCs w:val="20"/>
                <w:color w:val="auto"/>
              </w:rPr>
            </w:pPr>
            <w:r>
              <w:rPr>
                <w:rFonts w:ascii="Arial" w:cs="Arial" w:eastAsia="Arial" w:hAnsi="Arial"/>
                <w:sz w:val="16"/>
                <w:szCs w:val="16"/>
                <w:color w:val="auto"/>
              </w:rPr>
              <w:t>Vested</w:t>
            </w:r>
          </w:p>
        </w:tc>
        <w:tc>
          <w:tcPr>
            <w:tcW w:w="10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(44,604)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0.000273235</w:t>
            </w:r>
          </w:p>
        </w:tc>
        <w:tc>
          <w:tcPr>
            <w:tcW w:w="11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rPr>
              <w:t>(223,022)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0.000273235</w:t>
            </w:r>
          </w:p>
        </w:tc>
        <w:tc>
          <w:tcPr>
            <w:tcW w:w="160" w:type="dxa"/>
            <w:vAlign w:val="bottom"/>
          </w:tcPr>
          <w:p>
            <w:pPr>
              <w:spacing w:after="0"/>
              <w:rPr>
                <w:sz w:val="15"/>
                <w:szCs w:val="15"/>
                <w:color w:val="auto"/>
              </w:rPr>
            </w:pPr>
          </w:p>
        </w:tc>
      </w:tr>
      <w:tr>
        <w:trPr>
          <w:trHeight w:val="176"/>
        </w:trPr>
        <w:tc>
          <w:tcPr>
            <w:tcW w:w="45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Unvested restricted shares outstanding as of March 31, 2018</w:t>
            </w: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8"/>
        </w:trPr>
        <w:tc>
          <w:tcPr>
            <w:tcW w:w="458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(unaudited)</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267,625</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0.000273235</w:t>
            </w:r>
          </w:p>
        </w:tc>
        <w:tc>
          <w:tcPr>
            <w:tcW w:w="10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1,412,473</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0.000273235</w:t>
            </w:r>
          </w:p>
        </w:tc>
        <w:tc>
          <w:tcPr>
            <w:tcW w:w="160" w:type="dxa"/>
            <w:vAlign w:val="bottom"/>
            <w:shd w:val="clear" w:color="auto" w:fill="CCEEFF"/>
          </w:tcPr>
          <w:p>
            <w:pPr>
              <w:spacing w:after="0"/>
              <w:rPr>
                <w:sz w:val="15"/>
                <w:szCs w:val="15"/>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00" w:firstLine="433"/>
        <w:spacing w:after="0" w:line="241" w:lineRule="auto"/>
        <w:rPr>
          <w:sz w:val="20"/>
          <w:szCs w:val="20"/>
          <w:color w:val="auto"/>
        </w:rPr>
      </w:pPr>
      <w:r>
        <w:rPr>
          <w:rFonts w:ascii="Arial" w:cs="Arial" w:eastAsia="Arial" w:hAnsi="Arial"/>
          <w:sz w:val="16"/>
          <w:szCs w:val="16"/>
          <w:color w:val="auto"/>
        </w:rPr>
        <w:t>The aggregate fair value of restricted shares that vested during the years ended December 31, 2016 and 2017 and the three months ended March 31, 2017 and 2018 (unaudited) was $2,348, $3,973, $670 and $1,757,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48" w:name="page249"/>
    <w:bookmarkEnd w:id="248"/>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8160" w:hanging="484"/>
        <w:spacing w:after="0" w:line="534" w:lineRule="auto"/>
        <w:tabs>
          <w:tab w:leader="none" w:pos="175" w:val="left"/>
        </w:tabs>
        <w:numPr>
          <w:ilvl w:val="0"/>
          <w:numId w:val="1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(Continued) </w:t>
      </w:r>
      <w:r>
        <w:rPr>
          <w:rFonts w:ascii="Arial" w:cs="Arial" w:eastAsia="Arial" w:hAnsi="Arial"/>
          <w:sz w:val="15"/>
          <w:szCs w:val="15"/>
          <w:b w:val="1"/>
          <w:bCs w:val="1"/>
          <w:i w:val="1"/>
          <w:iCs w:val="1"/>
          <w:color w:val="auto"/>
        </w:rPr>
        <w:t>Share-Based Compensation</w:t>
      </w:r>
    </w:p>
    <w:p>
      <w:pPr>
        <w:ind w:left="444"/>
        <w:spacing w:after="0"/>
        <w:rPr>
          <w:sz w:val="20"/>
          <w:szCs w:val="20"/>
          <w:color w:val="auto"/>
        </w:rPr>
      </w:pPr>
      <w:r>
        <w:rPr>
          <w:rFonts w:ascii="Arial" w:cs="Arial" w:eastAsia="Arial" w:hAnsi="Arial"/>
          <w:sz w:val="16"/>
          <w:szCs w:val="16"/>
          <w:color w:val="auto"/>
        </w:rPr>
        <w:t>Share-based compensation expense was classified in the consolidated statements of operations and comprehensive loss as follows:</w:t>
      </w:r>
    </w:p>
    <w:p>
      <w:pPr>
        <w:spacing w:after="0" w:line="167" w:lineRule="exact"/>
        <w:rPr>
          <w:sz w:val="20"/>
          <w:szCs w:val="20"/>
          <w:color w:val="auto"/>
        </w:rPr>
      </w:pPr>
    </w:p>
    <w:tbl>
      <w:tblPr>
        <w:tblLayout w:type="fixed"/>
        <w:tblInd w:w="1144"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w:t>
            </w:r>
          </w:p>
        </w:tc>
      </w:tr>
      <w:tr>
        <w:trPr>
          <w:trHeight w:val="205"/>
        </w:trPr>
        <w:tc>
          <w:tcPr>
            <w:tcW w:w="4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ind w:left="360"/>
              <w:spacing w:after="0"/>
              <w:rPr>
                <w:sz w:val="20"/>
                <w:szCs w:val="20"/>
                <w:color w:val="auto"/>
              </w:rPr>
            </w:pPr>
            <w:r>
              <w:rPr>
                <w:rFonts w:ascii="Arial" w:cs="Arial" w:eastAsia="Arial" w:hAnsi="Arial"/>
                <w:sz w:val="16"/>
                <w:szCs w:val="16"/>
                <w:b w:val="1"/>
                <w:bCs w:val="1"/>
                <w:color w:val="auto"/>
              </w:rPr>
              <w:t>Ended</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4"/>
        </w:trPr>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December 31,</w:t>
            </w:r>
          </w:p>
        </w:tc>
        <w:tc>
          <w:tcPr>
            <w:tcW w:w="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March 31,</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7"/>
        </w:trPr>
        <w:tc>
          <w:tcPr>
            <w:tcW w:w="4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5"/>
              </w:rPr>
              <w:t>2017</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4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16"/>
                <w:szCs w:val="16"/>
                <w:color w:val="auto"/>
              </w:rPr>
            </w:pPr>
          </w:p>
        </w:tc>
      </w:tr>
      <w:tr>
        <w:trPr>
          <w:trHeight w:val="181"/>
        </w:trPr>
        <w:tc>
          <w:tcPr>
            <w:tcW w:w="42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Research and development expenses</w:t>
            </w:r>
          </w:p>
        </w:tc>
        <w:tc>
          <w:tcPr>
            <w:tcW w:w="176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59</w:t>
            </w:r>
          </w:p>
        </w:tc>
        <w:tc>
          <w:tcPr>
            <w:tcW w:w="620" w:type="dxa"/>
            <w:vAlign w:val="bottom"/>
            <w:gridSpan w:val="2"/>
            <w:shd w:val="clear" w:color="auto" w:fill="CCEEFF"/>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324</w:t>
            </w:r>
          </w:p>
        </w:tc>
        <w:tc>
          <w:tcPr>
            <w:tcW w:w="30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30</w:t>
            </w:r>
          </w:p>
        </w:tc>
        <w:tc>
          <w:tcPr>
            <w:tcW w:w="50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202</w:t>
            </w:r>
          </w:p>
        </w:tc>
        <w:tc>
          <w:tcPr>
            <w:tcW w:w="140" w:type="dxa"/>
            <w:vAlign w:val="bottom"/>
            <w:shd w:val="clear" w:color="auto" w:fill="CCEEFF"/>
          </w:tcPr>
          <w:p>
            <w:pPr>
              <w:spacing w:after="0"/>
              <w:rPr>
                <w:sz w:val="15"/>
                <w:szCs w:val="15"/>
                <w:color w:val="auto"/>
              </w:rPr>
            </w:pPr>
          </w:p>
        </w:tc>
      </w:tr>
      <w:tr>
        <w:trPr>
          <w:trHeight w:val="181"/>
        </w:trPr>
        <w:tc>
          <w:tcPr>
            <w:tcW w:w="4260" w:type="dxa"/>
            <w:vAlign w:val="bottom"/>
          </w:tcPr>
          <w:p>
            <w:pPr>
              <w:spacing w:after="0" w:line="181" w:lineRule="exact"/>
              <w:rPr>
                <w:sz w:val="20"/>
                <w:szCs w:val="20"/>
                <w:color w:val="auto"/>
              </w:rPr>
            </w:pPr>
            <w:r>
              <w:rPr>
                <w:rFonts w:ascii="Arial" w:cs="Arial" w:eastAsia="Arial" w:hAnsi="Arial"/>
                <w:sz w:val="16"/>
                <w:szCs w:val="16"/>
                <w:color w:val="auto"/>
              </w:rPr>
              <w:t>General and administrative expenses</w:t>
            </w:r>
          </w:p>
        </w:tc>
        <w:tc>
          <w:tcPr>
            <w:tcW w:w="1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309</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89"/>
              </w:rPr>
              <w:t>573</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84</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356</w:t>
            </w:r>
          </w:p>
        </w:tc>
        <w:tc>
          <w:tcPr>
            <w:tcW w:w="140" w:type="dxa"/>
            <w:vAlign w:val="bottom"/>
          </w:tcPr>
          <w:p>
            <w:pPr>
              <w:spacing w:after="0"/>
              <w:rPr>
                <w:sz w:val="15"/>
                <w:szCs w:val="15"/>
                <w:color w:val="auto"/>
              </w:rPr>
            </w:pPr>
          </w:p>
        </w:tc>
      </w:tr>
      <w:tr>
        <w:trPr>
          <w:trHeight w:val="185"/>
        </w:trPr>
        <w:tc>
          <w:tcPr>
            <w:tcW w:w="426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62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40" w:type="dxa"/>
            <w:vAlign w:val="bottom"/>
            <w:shd w:val="clear" w:color="auto" w:fill="CCEEFF"/>
          </w:tcPr>
          <w:p>
            <w:pPr>
              <w:spacing w:after="0"/>
              <w:rPr>
                <w:sz w:val="16"/>
                <w:szCs w:val="16"/>
                <w:color w:val="auto"/>
              </w:rPr>
            </w:pPr>
          </w:p>
        </w:tc>
      </w:tr>
      <w:tr>
        <w:trPr>
          <w:trHeight w:val="20"/>
        </w:trPr>
        <w:tc>
          <w:tcPr>
            <w:tcW w:w="4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 w:right="200" w:firstLine="427"/>
        <w:spacing w:after="0" w:line="241" w:lineRule="auto"/>
        <w:rPr>
          <w:sz w:val="20"/>
          <w:szCs w:val="20"/>
          <w:color w:val="auto"/>
        </w:rPr>
      </w:pPr>
      <w:r>
        <w:rPr>
          <w:rFonts w:ascii="Arial" w:cs="Arial" w:eastAsia="Arial" w:hAnsi="Arial"/>
          <w:sz w:val="16"/>
          <w:szCs w:val="16"/>
          <w:color w:val="auto"/>
        </w:rPr>
        <w:t>As of December 31, 2017 and March 31, 2018 (unaudited), total unrecognized compensation cost related to the unvested share-based awards was $4,280 and $16,226, respectively, which is expected to be recognized over a weighted average remaining period of 3.22 years and 4.58 years, respectively.</w:t>
      </w:r>
    </w:p>
    <w:p>
      <w:pPr>
        <w:spacing w:after="0" w:line="165" w:lineRule="exact"/>
        <w:rPr>
          <w:sz w:val="20"/>
          <w:szCs w:val="20"/>
          <w:color w:val="auto"/>
        </w:rPr>
      </w:pPr>
    </w:p>
    <w:p>
      <w:pPr>
        <w:ind w:left="484" w:right="8240" w:hanging="484"/>
        <w:spacing w:after="0" w:line="534" w:lineRule="auto"/>
        <w:tabs>
          <w:tab w:leader="none" w:pos="175" w:val="left"/>
        </w:tabs>
        <w:numPr>
          <w:ilvl w:val="0"/>
          <w:numId w:val="1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 and Acquisition Agreements </w:t>
      </w:r>
      <w:r>
        <w:rPr>
          <w:rFonts w:ascii="Arial" w:cs="Arial" w:eastAsia="Arial" w:hAnsi="Arial"/>
          <w:sz w:val="15"/>
          <w:szCs w:val="15"/>
          <w:b w:val="1"/>
          <w:bCs w:val="1"/>
          <w:i w:val="1"/>
          <w:iCs w:val="1"/>
          <w:color w:val="auto"/>
        </w:rPr>
        <w:t>Biogen Asset Purchase Agreement</w:t>
      </w:r>
    </w:p>
    <w:p>
      <w:pPr>
        <w:ind w:left="4" w:right="20" w:firstLine="436"/>
        <w:spacing w:after="0" w:line="237" w:lineRule="auto"/>
        <w:rPr>
          <w:sz w:val="20"/>
          <w:szCs w:val="20"/>
          <w:color w:val="auto"/>
        </w:rPr>
      </w:pPr>
      <w:r>
        <w:rPr>
          <w:rFonts w:ascii="Arial" w:cs="Arial" w:eastAsia="Arial" w:hAnsi="Arial"/>
          <w:sz w:val="16"/>
          <w:szCs w:val="16"/>
          <w:color w:val="auto"/>
        </w:rPr>
        <w:t>In September 2016, the Company entered into an asset purchase agreement (the "Biogen Agreement") with Biogen MA Inc. ("Biogen") to acquire all of Biogen's right, title and interest in and to certain assets used in or relating to KPL-716 and other antibodies covered by certain patent rights, including patents and other intellectual property rights, clinical data, know-how, and clinical drug supply. In addition, Biogen granted to the Company a non-exclusive, sublicensable, worldwide license to certain background patent rights related to the KPL-716 program. The Company is obligated to use commercially reasonable efforts to develop and commercialize such acquired products.</w:t>
      </w:r>
    </w:p>
    <w:p>
      <w:pPr>
        <w:spacing w:after="0" w:line="189" w:lineRule="exact"/>
        <w:rPr>
          <w:sz w:val="20"/>
          <w:szCs w:val="20"/>
          <w:color w:val="auto"/>
        </w:rPr>
      </w:pPr>
    </w:p>
    <w:p>
      <w:pPr>
        <w:ind w:left="4" w:firstLine="436"/>
        <w:spacing w:after="0" w:line="238" w:lineRule="auto"/>
        <w:rPr>
          <w:sz w:val="20"/>
          <w:szCs w:val="20"/>
          <w:color w:val="auto"/>
        </w:rPr>
      </w:pPr>
      <w:r>
        <w:rPr>
          <w:rFonts w:ascii="Arial" w:cs="Arial" w:eastAsia="Arial" w:hAnsi="Arial"/>
          <w:sz w:val="16"/>
          <w:szCs w:val="16"/>
          <w:color w:val="auto"/>
        </w:rPr>
        <w:t>In exchange for these rights, the Company made an upfront payment to Biogen of $11,500 and a technology transfer payment of $500. The Company accounted for the acquisition of technology as an asset acquisition because it did not meet the definition of a business. The Company recorded the upfront payment and technology transfer payment as research and development expense in the consolidated statement of operations and comprehensive loss because the acquired technology represented in-process research and development and had no alternative future use.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5"/>
          <w:szCs w:val="15"/>
          <w:color w:val="auto"/>
        </w:rPr>
        <w:t>Under the Biogen Agreement, the Company is obligated to make milestone payments to Biogen of up to $179,000 upon the achievement of specified clinical</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regulatory milestones in multiple indications in various territories. During the year ended December 31, 2017, the Company made a milestone payment of</w:t>
      </w:r>
    </w:p>
    <w:p>
      <w:pPr>
        <w:ind w:left="4"/>
        <w:spacing w:after="0"/>
        <w:rPr>
          <w:sz w:val="20"/>
          <w:szCs w:val="20"/>
          <w:color w:val="auto"/>
        </w:rPr>
      </w:pPr>
      <w:r>
        <w:rPr>
          <w:rFonts w:ascii="Arial" w:cs="Arial" w:eastAsia="Arial" w:hAnsi="Arial"/>
          <w:sz w:val="15"/>
          <w:szCs w:val="15"/>
          <w:color w:val="auto"/>
        </w:rPr>
        <w:t>$4,000 associated with the achievement of a specified clinical milestone event. Additionally, the Company could be obligated to make up to an aggregate of up to</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$150,000 of payments upon the achievement of specified annual net sales milestones and to pay</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44"/>
          </w:cols>
          <w:pgMar w:left="236" w:top="143" w:right="319" w:bottom="1440" w:gutter="0" w:footer="0" w:header="0"/>
        </w:sectPr>
      </w:pPr>
    </w:p>
    <w:bookmarkStart w:id="249" w:name="page250"/>
    <w:bookmarkEnd w:id="2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License and Acquisition Agreements (Continued)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tiered royalties on escalating tiers of annual net sales of licensed products starting in the high single-digit percentages and ending below the teens.</w:t>
      </w:r>
    </w:p>
    <w:p>
      <w:pPr>
        <w:spacing w:after="0" w:line="190" w:lineRule="exact"/>
        <w:rPr>
          <w:sz w:val="20"/>
          <w:szCs w:val="20"/>
          <w:color w:val="auto"/>
        </w:rPr>
      </w:pPr>
    </w:p>
    <w:p>
      <w:pPr>
        <w:ind w:right="40" w:firstLine="433"/>
        <w:spacing w:after="0" w:line="258" w:lineRule="auto"/>
        <w:rPr>
          <w:sz w:val="20"/>
          <w:szCs w:val="20"/>
          <w:color w:val="auto"/>
        </w:rPr>
      </w:pPr>
      <w:r>
        <w:rPr>
          <w:rFonts w:ascii="Arial" w:cs="Arial" w:eastAsia="Arial" w:hAnsi="Arial"/>
          <w:sz w:val="15"/>
          <w:szCs w:val="15"/>
          <w:color w:val="auto"/>
        </w:rPr>
        <w:t>The Company also agreed to pay certain obligations under third-party contracts retained by Biogen that relate to the KPL-716 program. Under these retained contracts, the Company paid a one-time upfront sublicense fee of $150 and is obligated to pay insignificant annual maintenance fees as well as clinical and regulatory milestone payments of up to an aggregate of $1,575. During the year ended December 31, 2017 the Company paid $75 upon the achievement of certain milestones in connection with the retained contracts. There were no milestone payments made during the three months ended March 31, 2018 (unaudited).</w:t>
      </w:r>
    </w:p>
    <w:p>
      <w:pPr>
        <w:spacing w:after="0" w:line="175"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Biogen Agreement will terminate upon the expiration of all payment obligations with respect to the last product in all countries in the territory. The Company has the right to terminate the agreement with 90 days' prior written notice. Both parties may terminate by mutual written consent or in the event of material breach of the agreement by the other party that remains uncured for 90 days (or 30 days for payment-related breaches).</w:t>
      </w:r>
    </w:p>
    <w:p>
      <w:pPr>
        <w:spacing w:after="0" w:line="186" w:lineRule="exact"/>
        <w:rPr>
          <w:sz w:val="20"/>
          <w:szCs w:val="20"/>
          <w:color w:val="auto"/>
        </w:rPr>
      </w:pPr>
    </w:p>
    <w:p>
      <w:pPr>
        <w:ind w:right="180" w:firstLine="436"/>
        <w:spacing w:after="0" w:line="241" w:lineRule="auto"/>
        <w:rPr>
          <w:sz w:val="20"/>
          <w:szCs w:val="20"/>
          <w:color w:val="auto"/>
        </w:rPr>
      </w:pPr>
      <w:r>
        <w:rPr>
          <w:rFonts w:ascii="Arial" w:cs="Arial" w:eastAsia="Arial" w:hAnsi="Arial"/>
          <w:sz w:val="16"/>
          <w:szCs w:val="16"/>
          <w:color w:val="auto"/>
        </w:rPr>
        <w:t>During the years ended December 31, 2016 and 2017 and the three months ended March 31, 2017 and 2018 (unaudited), the Company recorded research and development expense in connection with the Biogen Agreement of $12,100, $4,169, $61 and $11, respectively.</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Novo Nordisk License Agreement</w:t>
      </w:r>
    </w:p>
    <w:p>
      <w:pPr>
        <w:spacing w:after="0" w:line="208" w:lineRule="exact"/>
        <w:rPr>
          <w:sz w:val="20"/>
          <w:szCs w:val="20"/>
          <w:color w:val="auto"/>
        </w:rPr>
      </w:pPr>
    </w:p>
    <w:p>
      <w:pPr>
        <w:ind w:right="140" w:firstLine="436"/>
        <w:spacing w:after="0" w:line="238" w:lineRule="auto"/>
        <w:rPr>
          <w:sz w:val="20"/>
          <w:szCs w:val="20"/>
          <w:color w:val="auto"/>
        </w:rPr>
      </w:pPr>
      <w:r>
        <w:rPr>
          <w:rFonts w:ascii="Arial" w:cs="Arial" w:eastAsia="Arial" w:hAnsi="Arial"/>
          <w:sz w:val="16"/>
          <w:szCs w:val="16"/>
          <w:color w:val="auto"/>
        </w:rPr>
        <w:t>In August 2017, the Company entered into a license agreement (the "Novo Nordisk Agreement") with Novo Nordisk A/S ("Novo Nordisk"), pursuant to which the Company has been granted an exclusive, sublicensable, worldwide license under certain intellectual property rights controlled by Novo Nordisk to make, use, develop and commercialize KPL-045 for all indications. The Company is obligated to use commercially reasonable efforts to develop and commercialize such licensed products.</w:t>
      </w:r>
    </w:p>
    <w:p>
      <w:pPr>
        <w:spacing w:after="0" w:line="187"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In consideration for the license, the Company made an upfront payment of $1,500 to Novo Nordisk. The Company accounted for the acquisition of technology as an asset acquisition because it did not meet the definition of a business. The Company recorded the upfront payment as research and development expense in the consolidated statement of operations and comprehensive loss because the acquired technology represented in-process research and development and had no alternative future use.</w:t>
      </w:r>
    </w:p>
    <w:p>
      <w:pPr>
        <w:spacing w:after="0" w:line="187" w:lineRule="exact"/>
        <w:rPr>
          <w:sz w:val="20"/>
          <w:szCs w:val="20"/>
          <w:color w:val="auto"/>
        </w:rPr>
      </w:pPr>
    </w:p>
    <w:p>
      <w:pPr>
        <w:ind w:right="120" w:firstLine="436"/>
        <w:spacing w:after="0" w:line="256" w:lineRule="auto"/>
        <w:rPr>
          <w:sz w:val="20"/>
          <w:szCs w:val="20"/>
          <w:color w:val="auto"/>
        </w:rPr>
      </w:pPr>
      <w:r>
        <w:rPr>
          <w:rFonts w:ascii="Arial" w:cs="Arial" w:eastAsia="Arial" w:hAnsi="Arial"/>
          <w:sz w:val="15"/>
          <w:szCs w:val="15"/>
          <w:color w:val="auto"/>
        </w:rPr>
        <w:t>Under the Novo Nordisk Agreement, the Company is also required to make a payment of $150 upon completion of the technology transfer by Novo Nordisk. The technology was transferred during the three months ended March 31, 2018 and, as a result, this payment was made and is recorded in the Company's statement of operations for the three months ended March 31, 2018 (unaudited). In addition, the Company is obligated to make milestone payments upon the achievement of specified clinical, regulatory and initial sales milestones and upon the achievement of annual net sales thresholds, including a payment of $1,000 upon the earlier to occur of a specified regulatory milestone and January 2020, unless the Novo Nordisk Agreement is earlier terminated by either party. As of December 31, 2017 and March 31, 2018 (unaudited), the Company determined that the payment related to the milestone was not probable and, therefore, no</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50" w:name="page251"/>
    <w:bookmarkEnd w:id="2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License and Acquisition Agreements (Continued)</w:t>
      </w:r>
    </w:p>
    <w:p>
      <w:pPr>
        <w:spacing w:after="0" w:line="210" w:lineRule="exact"/>
        <w:rPr>
          <w:sz w:val="20"/>
          <w:szCs w:val="20"/>
          <w:color w:val="auto"/>
        </w:rPr>
      </w:pPr>
    </w:p>
    <w:p>
      <w:pPr>
        <w:ind w:right="320"/>
        <w:spacing w:after="0" w:line="273" w:lineRule="auto"/>
        <w:rPr>
          <w:sz w:val="20"/>
          <w:szCs w:val="20"/>
          <w:color w:val="auto"/>
        </w:rPr>
      </w:pPr>
      <w:r>
        <w:rPr>
          <w:rFonts w:ascii="Arial" w:cs="Arial" w:eastAsia="Arial" w:hAnsi="Arial"/>
          <w:sz w:val="15"/>
          <w:szCs w:val="15"/>
          <w:color w:val="auto"/>
        </w:rPr>
        <w:t>amount was recorded in the Company's consolidated statement of operations and comprehensive loss during the year ended December 31, 2017 and the three months ended March 31, 2018 (unaudited). The Company has also agreed to pay royalties on annual net sales of products licensed under the agreement.</w:t>
      </w:r>
    </w:p>
    <w:p>
      <w:pPr>
        <w:spacing w:after="0" w:line="162" w:lineRule="exact"/>
        <w:rPr>
          <w:sz w:val="20"/>
          <w:szCs w:val="20"/>
          <w:color w:val="auto"/>
        </w:rPr>
      </w:pPr>
    </w:p>
    <w:p>
      <w:pPr>
        <w:ind w:right="100" w:firstLine="436"/>
        <w:spacing w:after="0" w:line="241" w:lineRule="auto"/>
        <w:rPr>
          <w:sz w:val="20"/>
          <w:szCs w:val="20"/>
          <w:color w:val="auto"/>
        </w:rPr>
      </w:pPr>
      <w:r>
        <w:rPr>
          <w:rFonts w:ascii="Arial" w:cs="Arial" w:eastAsia="Arial" w:hAnsi="Arial"/>
          <w:sz w:val="16"/>
          <w:szCs w:val="16"/>
          <w:color w:val="auto"/>
        </w:rPr>
        <w:t>Under the Novo Nordisk Agreement, the Company is solely responsible for all development, regulatory and commercial activities and costs. The Company is also responsible for costs related to filing, prosecuting and maintaining the licensed patent rights.</w:t>
      </w:r>
    </w:p>
    <w:p>
      <w:pPr>
        <w:spacing w:after="0" w:line="185" w:lineRule="exact"/>
        <w:rPr>
          <w:sz w:val="20"/>
          <w:szCs w:val="20"/>
          <w:color w:val="auto"/>
        </w:rPr>
      </w:pPr>
    </w:p>
    <w:p>
      <w:pPr>
        <w:ind w:right="80" w:firstLine="433"/>
        <w:spacing w:after="0" w:line="238" w:lineRule="auto"/>
        <w:rPr>
          <w:sz w:val="20"/>
          <w:szCs w:val="20"/>
          <w:color w:val="auto"/>
        </w:rPr>
      </w:pPr>
      <w:r>
        <w:rPr>
          <w:rFonts w:ascii="Arial" w:cs="Arial" w:eastAsia="Arial" w:hAnsi="Arial"/>
          <w:sz w:val="16"/>
          <w:szCs w:val="16"/>
          <w:color w:val="auto"/>
        </w:rPr>
        <w:t>The Novo Nordisk Agreement will terminate upon expiration of the last-to-expire royalty term for any licensed product in the territories, as defined in the agreement. Either party may terminate the agreement upon the other party's insolvency or bankruptcy or for uncured material breach of the agreement by the other party. Novo Nordisk has the right to terminate the agreement if the Company challenges any of the licensed patent rights. The Company may also terminate the agreement for any reason upon prior written notice to Novo Nordisk.</w:t>
      </w:r>
    </w:p>
    <w:p>
      <w:pPr>
        <w:spacing w:after="0" w:line="187" w:lineRule="exact"/>
        <w:rPr>
          <w:sz w:val="20"/>
          <w:szCs w:val="20"/>
          <w:color w:val="auto"/>
        </w:rPr>
      </w:pPr>
    </w:p>
    <w:p>
      <w:pPr>
        <w:ind w:right="420" w:firstLine="436"/>
        <w:spacing w:after="0" w:line="241" w:lineRule="auto"/>
        <w:rPr>
          <w:sz w:val="20"/>
          <w:szCs w:val="20"/>
          <w:color w:val="auto"/>
        </w:rPr>
      </w:pPr>
      <w:r>
        <w:rPr>
          <w:rFonts w:ascii="Arial" w:cs="Arial" w:eastAsia="Arial" w:hAnsi="Arial"/>
          <w:sz w:val="16"/>
          <w:szCs w:val="16"/>
          <w:color w:val="auto"/>
        </w:rPr>
        <w:t>During the year ended December 31, 2017 and the three months ended March 31, 2018 (unaudited), the Company recorded research and development expense of $1,500 and $150, respectively, in connection with the Novo Nordisk Agreement.</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Primatope Stock Purchase Option Agreement</w:t>
      </w:r>
    </w:p>
    <w:p>
      <w:pPr>
        <w:spacing w:after="0" w:line="208" w:lineRule="exact"/>
        <w:rPr>
          <w:sz w:val="20"/>
          <w:szCs w:val="20"/>
          <w:color w:val="auto"/>
        </w:rPr>
      </w:pPr>
    </w:p>
    <w:p>
      <w:pPr>
        <w:ind w:right="220" w:firstLine="436"/>
        <w:spacing w:after="0" w:line="239" w:lineRule="auto"/>
        <w:rPr>
          <w:sz w:val="20"/>
          <w:szCs w:val="20"/>
          <w:color w:val="auto"/>
        </w:rPr>
      </w:pPr>
      <w:r>
        <w:rPr>
          <w:rFonts w:ascii="Arial" w:cs="Arial" w:eastAsia="Arial" w:hAnsi="Arial"/>
          <w:sz w:val="16"/>
          <w:szCs w:val="16"/>
          <w:color w:val="auto"/>
        </w:rPr>
        <w:t>In September 2017, the Company entered into a stock purchase option agreement (the "Primatope Agreement") with Primatope Therapeutics, Inc. ("Primatope"), pursuant to which the Company has been granted a license to certain intellectual property rights controlled by Primatope to research, develop, and manufacture the pre-clinical antibody, KPL-404.</w:t>
      </w:r>
    </w:p>
    <w:p>
      <w:pPr>
        <w:spacing w:after="0" w:line="186"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agreement provides the Company with an exclusive call option to purchase 100% of the capital stock of Primatope. Upon execution of the agreement, the Company made $500 in upfront payments for the initial option period through April 2018 (the "Initial Option Period"). The Primatope Agreement allows up to three extensions of the Initial Option Period through January 2019 (including the initial option period, the "Option Period") for total extension payments of up to $800. In April 2018, the Company made a payment of $250 to extend the Option Period for an additional three months to June 2018. During the Option Period, the Company may conduct research and pre-clinical work to assess the viability of the asset.</w:t>
      </w:r>
    </w:p>
    <w:p>
      <w:pPr>
        <w:spacing w:after="0" w:line="189" w:lineRule="exact"/>
        <w:rPr>
          <w:sz w:val="20"/>
          <w:szCs w:val="20"/>
          <w:color w:val="auto"/>
        </w:rPr>
      </w:pPr>
    </w:p>
    <w:p>
      <w:pPr>
        <w:ind w:right="120" w:firstLine="436"/>
        <w:spacing w:after="0" w:line="239" w:lineRule="auto"/>
        <w:rPr>
          <w:sz w:val="20"/>
          <w:szCs w:val="20"/>
          <w:color w:val="auto"/>
        </w:rPr>
      </w:pPr>
      <w:r>
        <w:rPr>
          <w:rFonts w:ascii="Arial" w:cs="Arial" w:eastAsia="Arial" w:hAnsi="Arial"/>
          <w:sz w:val="16"/>
          <w:szCs w:val="16"/>
          <w:color w:val="auto"/>
        </w:rPr>
        <w:t>If the call option is exercised, the Company will acquire all of the outstanding equity of Primatope in exchange for upfront consideration of $10,000 as well as potential milestone payments of up to $10,000. The upfront payment and the milestone payments may be paid in a combination of cash and issuance of the Company's Class A common shares.</w:t>
      </w:r>
    </w:p>
    <w:p>
      <w:pPr>
        <w:spacing w:after="0" w:line="186" w:lineRule="exact"/>
        <w:rPr>
          <w:sz w:val="20"/>
          <w:szCs w:val="20"/>
          <w:color w:val="auto"/>
        </w:rPr>
      </w:pPr>
    </w:p>
    <w:p>
      <w:pPr>
        <w:ind w:right="20" w:firstLine="433"/>
        <w:spacing w:after="0" w:line="238" w:lineRule="auto"/>
        <w:rPr>
          <w:sz w:val="20"/>
          <w:szCs w:val="20"/>
          <w:color w:val="auto"/>
        </w:rPr>
      </w:pPr>
      <w:r>
        <w:rPr>
          <w:rFonts w:ascii="Arial" w:cs="Arial" w:eastAsia="Arial" w:hAnsi="Arial"/>
          <w:sz w:val="16"/>
          <w:szCs w:val="16"/>
          <w:color w:val="auto"/>
        </w:rPr>
        <w:t>The Company has determined that the call option represents a variable interest in Primatope and that Primatope is a VIE. However, as the Company has no ability to control the board of directors or direct the ongoing activities of Primatope, the Company does not have power over the activities that most significantly impact Primatope's economic performance and is not the primary beneficiary of Primatope. As a result, the Company does not consolidate the assets, liabilities, and results of operations of Primatope.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51" w:name="page252"/>
    <w:bookmarkEnd w:id="2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License and Acquisition Agreements (Continued)</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Either party may terminate the Primatope Agreement for uncured material breach of the agreement by the other party or by mutual written consent.</w:t>
      </w:r>
    </w:p>
    <w:p>
      <w:pPr>
        <w:spacing w:after="0" w:line="190" w:lineRule="exact"/>
        <w:rPr>
          <w:sz w:val="20"/>
          <w:szCs w:val="20"/>
          <w:color w:val="auto"/>
        </w:rPr>
      </w:pPr>
    </w:p>
    <w:p>
      <w:pPr>
        <w:ind w:right="40" w:firstLine="436"/>
        <w:spacing w:after="0" w:line="239" w:lineRule="auto"/>
        <w:rPr>
          <w:sz w:val="20"/>
          <w:szCs w:val="20"/>
          <w:color w:val="auto"/>
        </w:rPr>
      </w:pPr>
      <w:r>
        <w:rPr>
          <w:rFonts w:ascii="Arial" w:cs="Arial" w:eastAsia="Arial" w:hAnsi="Arial"/>
          <w:sz w:val="16"/>
          <w:szCs w:val="16"/>
          <w:color w:val="auto"/>
        </w:rPr>
        <w:t>During the year ended December 31, 2017, the Company recorded research and development expense of $500 in connection with the Primatope Agreement. The Company did not incur any research and development expense in connection with the Primatope Agreement during the three months ended March 31, 2018 (unaudited).</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Regeneron License Agreement</w:t>
      </w:r>
    </w:p>
    <w:p>
      <w:pPr>
        <w:spacing w:after="0" w:line="208" w:lineRule="exact"/>
        <w:rPr>
          <w:sz w:val="20"/>
          <w:szCs w:val="20"/>
          <w:color w:val="auto"/>
        </w:rPr>
      </w:pPr>
    </w:p>
    <w:p>
      <w:pPr>
        <w:ind w:right="160" w:firstLine="436"/>
        <w:spacing w:after="0" w:line="238" w:lineRule="auto"/>
        <w:rPr>
          <w:sz w:val="20"/>
          <w:szCs w:val="20"/>
          <w:color w:val="auto"/>
        </w:rPr>
      </w:pPr>
      <w:r>
        <w:rPr>
          <w:rFonts w:ascii="Arial" w:cs="Arial" w:eastAsia="Arial" w:hAnsi="Arial"/>
          <w:sz w:val="16"/>
          <w:szCs w:val="16"/>
          <w:color w:val="auto"/>
        </w:rPr>
        <w:t>In September 2017, the Company entered into a license agreement (the "Regeneron Agreement") with Regeneron Pharmaceuticals, Inc. ("Regeneron"), pursuant to which the Company has been granted an exclusive, sublicensable license under certain intellectual property rights controlled by Regeneron to develop and commercialize rilonacept in certain fields and territories. The Company is obligated to use commercially reasonable efforts to develop and commercialize such licensed products.</w:t>
      </w:r>
    </w:p>
    <w:p>
      <w:pPr>
        <w:spacing w:after="0" w:line="187" w:lineRule="exact"/>
        <w:rPr>
          <w:sz w:val="20"/>
          <w:szCs w:val="20"/>
          <w:color w:val="auto"/>
        </w:rPr>
      </w:pPr>
    </w:p>
    <w:p>
      <w:pPr>
        <w:ind w:right="380" w:firstLine="436"/>
        <w:spacing w:after="0" w:line="238" w:lineRule="auto"/>
        <w:rPr>
          <w:sz w:val="20"/>
          <w:szCs w:val="20"/>
          <w:color w:val="auto"/>
        </w:rPr>
      </w:pPr>
      <w:r>
        <w:rPr>
          <w:rFonts w:ascii="Arial" w:cs="Arial" w:eastAsia="Arial" w:hAnsi="Arial"/>
          <w:sz w:val="16"/>
          <w:szCs w:val="16"/>
          <w:color w:val="auto"/>
        </w:rPr>
        <w:t>In exchange for these rights, the Company made an upfront payment of $5,000. The Company accounted for the acquisition of technology as an asset acquisition because it did not meet the definition of a business. The Company recorded the upfront payment as research and development expense in the consolidated statement of operations and comprehensive loss because the acquired technology represented in-process research and development and had no alternative future use.</w:t>
      </w:r>
    </w:p>
    <w:p>
      <w:pPr>
        <w:spacing w:after="0" w:line="187" w:lineRule="exact"/>
        <w:rPr>
          <w:sz w:val="20"/>
          <w:szCs w:val="20"/>
          <w:color w:val="auto"/>
        </w:rPr>
      </w:pPr>
    </w:p>
    <w:p>
      <w:pPr>
        <w:ind w:right="60" w:firstLine="436"/>
        <w:spacing w:after="0" w:line="239" w:lineRule="auto"/>
        <w:rPr>
          <w:sz w:val="20"/>
          <w:szCs w:val="20"/>
          <w:color w:val="auto"/>
        </w:rPr>
      </w:pPr>
      <w:r>
        <w:rPr>
          <w:rFonts w:ascii="Arial" w:cs="Arial" w:eastAsia="Arial" w:hAnsi="Arial"/>
          <w:sz w:val="16"/>
          <w:szCs w:val="16"/>
          <w:color w:val="auto"/>
        </w:rPr>
        <w:t>Under the Regeneron Agreement, the Company is also obligated to make payments to Regeneron of up to an aggregate of $27,500 upon the achievement of specified regulatory milestones. Upon commercialization of the licensed products, the parties will share profits equally, after deducting certain commercialization expenses subject to specified limits.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Under the Regeneron Agreement, the Company is solely responsible for all development and commercialization activities and costs in its respective territory.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also responsible for costs related to the filing, prosecution and maintenance of certain licensed patent rights.</w:t>
      </w:r>
    </w:p>
    <w:p>
      <w:pPr>
        <w:spacing w:after="0" w:line="190" w:lineRule="exact"/>
        <w:rPr>
          <w:sz w:val="20"/>
          <w:szCs w:val="20"/>
          <w:color w:val="auto"/>
        </w:rPr>
      </w:pPr>
    </w:p>
    <w:p>
      <w:pPr>
        <w:ind w:right="80" w:firstLine="433"/>
        <w:spacing w:after="0" w:line="238" w:lineRule="auto"/>
        <w:rPr>
          <w:sz w:val="20"/>
          <w:szCs w:val="20"/>
          <w:color w:val="auto"/>
        </w:rPr>
      </w:pPr>
      <w:r>
        <w:rPr>
          <w:rFonts w:ascii="Arial" w:cs="Arial" w:eastAsia="Arial" w:hAnsi="Arial"/>
          <w:sz w:val="16"/>
          <w:szCs w:val="16"/>
          <w:color w:val="auto"/>
        </w:rPr>
        <w:t>The parties also entered into a clinical supply agreement under which Regeneron agreed to manufacture the developed product during the clinical phase. During the year ended December 31, 2017 and the three months ended March 31, 2018 (unaudited), the Company recognized research and development expense of $208 and $376, respectively related to the purchase of drug materials under this agreement. As of December 31, 2017 and March 31, 2018 (unaudited), the Company has non-cancelable purchase commitments under the clinical supply agreement (see Note 12).</w:t>
      </w:r>
    </w:p>
    <w:p>
      <w:pPr>
        <w:spacing w:after="0" w:line="187"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Regeneron Agreement will expire when the Company is no longer developing or commercializing any licensed product under the Regeneron Agreement. Either party may terminate the agreement upon the other party's insolvency or bankruptcy or for material breach of the agreement by the other party that remains uncured for 90 days (or 30 days for payment-related breaches). Regeneron has the right to terminate the agreement if the Company suspends its development or commercialization activities for a consecutive 12 month period or does not grant a sublicense to a third-party to perform such activities, or if the Company challenges any of the licensed patent rights. The Company may terminate the agreement at any time that is 18 months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2" w:name="page253"/>
    <w:bookmarkEnd w:id="2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License and Acquisition Agreements (Continued)</w:t>
      </w:r>
    </w:p>
    <w:p>
      <w:pPr>
        <w:spacing w:after="0" w:line="210"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after the effective date of the agreement with 180 days' written notice or with one years' written notice if we terminate the agreement following U.S. marketing approval of a rilonacept product developed by the Company. The Company may also terminate the agreement with three month's written notice if the products are determined to have certain safety concerns.</w:t>
      </w:r>
    </w:p>
    <w:p>
      <w:pPr>
        <w:spacing w:after="0" w:line="186" w:lineRule="exact"/>
        <w:rPr>
          <w:sz w:val="20"/>
          <w:szCs w:val="20"/>
          <w:color w:val="auto"/>
        </w:rPr>
      </w:pPr>
    </w:p>
    <w:p>
      <w:pPr>
        <w:ind w:right="440" w:firstLine="436"/>
        <w:spacing w:after="0" w:line="241" w:lineRule="auto"/>
        <w:rPr>
          <w:sz w:val="20"/>
          <w:szCs w:val="20"/>
          <w:color w:val="auto"/>
        </w:rPr>
      </w:pPr>
      <w:r>
        <w:rPr>
          <w:rFonts w:ascii="Arial" w:cs="Arial" w:eastAsia="Arial" w:hAnsi="Arial"/>
          <w:sz w:val="16"/>
          <w:szCs w:val="16"/>
          <w:color w:val="auto"/>
        </w:rPr>
        <w:t>During the year ended December 31, 2017 and the three months ended March 31, 2018 (unaudited), the Company recorded research and development expense of $5,208 and $376, respectively, in connection with the agreements with Regeneron.</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MedImmune License Agreement</w:t>
      </w:r>
    </w:p>
    <w:p>
      <w:pPr>
        <w:spacing w:after="0" w:line="208" w:lineRule="exact"/>
        <w:rPr>
          <w:sz w:val="20"/>
          <w:szCs w:val="20"/>
          <w:color w:val="auto"/>
        </w:rPr>
      </w:pPr>
    </w:p>
    <w:p>
      <w:pPr>
        <w:ind w:right="100" w:firstLine="436"/>
        <w:spacing w:after="0" w:line="237" w:lineRule="auto"/>
        <w:rPr>
          <w:sz w:val="20"/>
          <w:szCs w:val="20"/>
          <w:color w:val="auto"/>
        </w:rPr>
      </w:pPr>
      <w:r>
        <w:rPr>
          <w:rFonts w:ascii="Arial" w:cs="Arial" w:eastAsia="Arial" w:hAnsi="Arial"/>
          <w:sz w:val="16"/>
          <w:szCs w:val="16"/>
          <w:color w:val="auto"/>
        </w:rPr>
        <w:t>In December 2017, the Company entered into a license agreement (the "MedImmune Agreement") with MedImmune, Limited ("MedImmune"), pursuant to which MedImmune granted the Company an exclusive, sublicensable, worldwide license to certain intellectual property rights to make, use, develop and commercialize mavrilimumab. Under the MedImmune Agreement, the Company also acquired reference rights to relevant manufacturing and regulatory documents and MedImmune's existing supply of mavrilimumab drug substance and product. The Company is obligated use commercially reasonable efforts to develop and commercialize the licensed products.</w:t>
      </w:r>
    </w:p>
    <w:p>
      <w:pPr>
        <w:spacing w:after="0" w:line="189" w:lineRule="exact"/>
        <w:rPr>
          <w:sz w:val="20"/>
          <w:szCs w:val="20"/>
          <w:color w:val="auto"/>
        </w:rPr>
      </w:pPr>
    </w:p>
    <w:p>
      <w:pPr>
        <w:ind w:right="60" w:firstLine="436"/>
        <w:spacing w:after="0" w:line="236" w:lineRule="auto"/>
        <w:rPr>
          <w:sz w:val="20"/>
          <w:szCs w:val="20"/>
          <w:color w:val="auto"/>
        </w:rPr>
      </w:pPr>
      <w:r>
        <w:rPr>
          <w:rFonts w:ascii="Arial" w:cs="Arial" w:eastAsia="Arial" w:hAnsi="Arial"/>
          <w:sz w:val="16"/>
          <w:szCs w:val="16"/>
          <w:color w:val="auto"/>
        </w:rPr>
        <w:t>In exchange for these rights, the Company made an upfront payment of $8,000. The Company accounted for the acquisition of technology as an asset acquisition because it did not meet the definition of a business. The Company recorded the upfront payment as research and development expense in the consolidated statement of operations and comprehensive loss because the acquired technology represented in-process research and development and had no alternative future use. In addition, the Company is obligated to make clinical, regulatory and initial sales milestone payments of up to $72,500 in aggregate for the first two indications, including a milestone payment of $10,000 upon the earlier to occur of a specified regulatory milestone and December 31, 2018, unless the MedImmune Agreement is earlier terminated by either party. As of December 31, 2017, the Company determined that the payment related to this milestone was probable and, therefore, recognized research and development expense and an accrued milestone of $10,000 during the year ended December 31, 2017. In addition, the Company is obligated to make clinical and regulatory milestone payments of up to $15,000 in the aggregate for each subsequent indication. The Company is obligated to make milestone payments to MedImmune of up to $85,000 upon the achievement of annual net sales thresholds up to, but excluding, $1,000,000 in annual net sales as well as additional milestone payments aggregating up to $1,100,000 upon the achievement of additional specified annual net sales thresholds starting at $1,000,000 and higher. The Company has also agreed to pay tiered royalties on escalating tiers of annual net sales of licensed products starting in the low double-digit percentages and ending at twenty percent. Royalty rates are subject to reductions upon certain events.</w:t>
      </w:r>
    </w:p>
    <w:p>
      <w:pPr>
        <w:spacing w:after="0" w:line="193" w:lineRule="exact"/>
        <w:rPr>
          <w:sz w:val="20"/>
          <w:szCs w:val="20"/>
          <w:color w:val="auto"/>
        </w:rPr>
      </w:pPr>
    </w:p>
    <w:p>
      <w:pPr>
        <w:jc w:val="both"/>
        <w:ind w:firstLine="433"/>
        <w:spacing w:after="0" w:line="239" w:lineRule="auto"/>
        <w:rPr>
          <w:sz w:val="20"/>
          <w:szCs w:val="20"/>
          <w:color w:val="auto"/>
        </w:rPr>
      </w:pPr>
      <w:r>
        <w:rPr>
          <w:rFonts w:ascii="Arial" w:cs="Arial" w:eastAsia="Arial" w:hAnsi="Arial"/>
          <w:sz w:val="16"/>
          <w:szCs w:val="16"/>
          <w:color w:val="auto"/>
        </w:rPr>
        <w:t>The Company is solely responsible for all development, manufacturing, and commercial activities and costs of the licensed products, including clinical studies or other tests necessary to support the use of a licensed product. The Company is also responsible for costs related to the filing, prosecution and maintenance of the licensed patent rights.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53" w:name="page254"/>
    <w:bookmarkEnd w:id="2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License and Acquisition Agreements (Continued)</w:t>
      </w:r>
    </w:p>
    <w:p>
      <w:pPr>
        <w:spacing w:after="0" w:line="210" w:lineRule="exact"/>
        <w:rPr>
          <w:sz w:val="20"/>
          <w:szCs w:val="20"/>
          <w:color w:val="auto"/>
        </w:rPr>
      </w:pPr>
    </w:p>
    <w:p>
      <w:pPr>
        <w:ind w:right="140" w:firstLine="433"/>
        <w:spacing w:after="0" w:line="238" w:lineRule="auto"/>
        <w:rPr>
          <w:sz w:val="20"/>
          <w:szCs w:val="20"/>
          <w:color w:val="auto"/>
        </w:rPr>
      </w:pPr>
      <w:r>
        <w:rPr>
          <w:rFonts w:ascii="Arial" w:cs="Arial" w:eastAsia="Arial" w:hAnsi="Arial"/>
          <w:sz w:val="16"/>
          <w:szCs w:val="16"/>
          <w:color w:val="auto"/>
        </w:rPr>
        <w:t>The MedImmune Agreement will expire upon the expiration of the royalty term in the last country for the last indication, as defined in the agreement. Either party may terminate the agreement upon the other party's insolvency or bankruptcy or for material breach of the agreement by the other party that remains uncured for 90 days. MedImmune has the right to terminate the agreement if the Company challenges any of the licensed patent rights. The Company may terminate the agreement at any time upon 90 days' prior written notice.</w:t>
      </w:r>
    </w:p>
    <w:p>
      <w:pPr>
        <w:spacing w:after="0" w:line="187" w:lineRule="exact"/>
        <w:rPr>
          <w:sz w:val="20"/>
          <w:szCs w:val="20"/>
          <w:color w:val="auto"/>
        </w:rPr>
      </w:pPr>
    </w:p>
    <w:p>
      <w:pPr>
        <w:ind w:right="420" w:firstLine="436"/>
        <w:spacing w:after="0" w:line="239" w:lineRule="auto"/>
        <w:rPr>
          <w:sz w:val="20"/>
          <w:szCs w:val="20"/>
          <w:color w:val="auto"/>
        </w:rPr>
      </w:pPr>
      <w:r>
        <w:rPr>
          <w:rFonts w:ascii="Arial" w:cs="Arial" w:eastAsia="Arial" w:hAnsi="Arial"/>
          <w:sz w:val="16"/>
          <w:szCs w:val="16"/>
          <w:color w:val="auto"/>
        </w:rPr>
        <w:t>During the year ended December 31, 2017, the Company recorded research and development expense of $18,000 in connection with the MedImmune Agreement. The Company did not incur any research and development expense in connection with the MedImmune Agreement during the three months ended March 31, 2018 (unaudited).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210" w:lineRule="exact"/>
        <w:rPr>
          <w:sz w:val="20"/>
          <w:szCs w:val="20"/>
          <w:color w:val="auto"/>
        </w:rPr>
      </w:pPr>
    </w:p>
    <w:p>
      <w:pPr>
        <w:jc w:val="both"/>
        <w:ind w:right="160" w:firstLine="427"/>
        <w:spacing w:after="0" w:line="239" w:lineRule="auto"/>
        <w:rPr>
          <w:sz w:val="20"/>
          <w:szCs w:val="20"/>
          <w:color w:val="auto"/>
        </w:rPr>
      </w:pPr>
      <w:r>
        <w:rPr>
          <w:rFonts w:ascii="Arial" w:cs="Arial" w:eastAsia="Arial" w:hAnsi="Arial"/>
          <w:sz w:val="16"/>
          <w:szCs w:val="16"/>
          <w:color w:val="auto"/>
        </w:rPr>
        <w:t>As a company incorporated in Bermuda, the Company is principally subject to taxation in Bermuda. Under the current laws of Bermuda, tax on a company's income is assessed at a zero percent tax rate. As a result, the Company has not recorded any income tax benefits from its losses incurred in Bermuda during each reporting period, and no net operating loss carryforwards will be available to the Company for those losses.</w:t>
      </w:r>
    </w:p>
    <w:p>
      <w:pPr>
        <w:spacing w:after="0" w:line="186" w:lineRule="exact"/>
        <w:rPr>
          <w:sz w:val="20"/>
          <w:szCs w:val="20"/>
          <w:color w:val="auto"/>
        </w:rPr>
      </w:pPr>
    </w:p>
    <w:p>
      <w:pPr>
        <w:ind w:right="160" w:firstLine="436"/>
        <w:spacing w:after="0" w:line="237" w:lineRule="auto"/>
        <w:rPr>
          <w:sz w:val="20"/>
          <w:szCs w:val="20"/>
          <w:color w:val="auto"/>
        </w:rPr>
      </w:pPr>
      <w:r>
        <w:rPr>
          <w:rFonts w:ascii="Arial" w:cs="Arial" w:eastAsia="Arial" w:hAnsi="Arial"/>
          <w:sz w:val="16"/>
          <w:szCs w:val="16"/>
          <w:color w:val="auto"/>
        </w:rPr>
        <w:t>In August 2015, the Company entered into agreements with its wholly owned subsidiary, Kiniksa US, under which Kiniksa US provides management and research and development services to the Company for which the Company pays costs plus a service fee. Kiniksa US is subject to tax for federal and state tax purposes. On December 22, 2017, the United States enacted new tax reform ("Tax Cuts and Jobs Act"). The Tax Cuts and Jobs Act contains provisions with separate effective dates but is generally effective for taxable years beginning after December 31, 2017. Beginning with the year ending December 31, 2018, the corporate statutory rates on U.S. earnings will be reduced from a top marginal rate of 35% to a flat rate of 21%. The impact of the future rate reduction resulted in a provision for income taxes of $69 for the year ended December 31, 2017 relating to the revaluation of the Company's net deferred tax assets.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(loss) before provision for income taxes consisted of the following:</w:t>
      </w:r>
    </w:p>
    <w:p>
      <w:pPr>
        <w:spacing w:after="0" w:line="170"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Year Ended</w:t>
      </w:r>
    </w:p>
    <w:p>
      <w:pPr>
        <w:spacing w:after="0" w:line="11" w:lineRule="exact"/>
        <w:rPr>
          <w:sz w:val="20"/>
          <w:szCs w:val="20"/>
          <w:color w:val="auto"/>
        </w:rPr>
      </w:pPr>
    </w:p>
    <w:p>
      <w:pPr>
        <w:jc w:val="center"/>
        <w:ind w:left="6800"/>
        <w:spacing w:after="0"/>
        <w:rPr>
          <w:sz w:val="20"/>
          <w:szCs w:val="20"/>
          <w:color w:val="auto"/>
        </w:rPr>
      </w:pPr>
      <w:r>
        <w:rPr>
          <w:rFonts w:ascii="Arial" w:cs="Arial" w:eastAsia="Arial" w:hAnsi="Arial"/>
          <w:sz w:val="16"/>
          <w:szCs w:val="16"/>
          <w:b w:val="1"/>
          <w:bCs w:val="1"/>
          <w:color w:val="auto"/>
        </w:rPr>
        <w:t>December 31,</w:t>
      </w:r>
    </w:p>
    <w:tbl>
      <w:tblPr>
        <w:tblLayout w:type="fixed"/>
        <w:tblInd w:w="0" w:type="dxa"/>
        <w:tblCellMar>
          <w:top w:w="0" w:type="dxa"/>
          <w:left w:w="0" w:type="dxa"/>
          <w:bottom w:w="0" w:type="dxa"/>
          <w:right w:w="0" w:type="dxa"/>
        </w:tblCellMar>
      </w:tblPr>
      <w:tr>
        <w:trPr>
          <w:trHeight w:val="201"/>
        </w:trPr>
        <w:tc>
          <w:tcPr>
            <w:tcW w:w="1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1"/>
        </w:trPr>
        <w:tc>
          <w:tcPr>
            <w:tcW w:w="1140" w:type="dxa"/>
            <w:vAlign w:val="bottom"/>
          </w:tcPr>
          <w:p>
            <w:pPr>
              <w:spacing w:after="0"/>
              <w:rPr>
                <w:sz w:val="15"/>
                <w:szCs w:val="15"/>
                <w:color w:val="auto"/>
              </w:rPr>
            </w:pPr>
          </w:p>
        </w:tc>
        <w:tc>
          <w:tcPr>
            <w:tcW w:w="27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Bermuda</w:t>
            </w:r>
          </w:p>
        </w:tc>
        <w:tc>
          <w:tcPr>
            <w:tcW w:w="4040" w:type="dxa"/>
            <w:vAlign w:val="bottom"/>
            <w:gridSpan w:val="2"/>
            <w:shd w:val="clear" w:color="auto" w:fill="CCEEFF"/>
          </w:tcPr>
          <w:p>
            <w:pPr>
              <w:jc w:val="right"/>
              <w:ind w:right="320"/>
              <w:spacing w:after="0" w:line="181"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(24,254)</w:t>
            </w:r>
          </w:p>
        </w:tc>
        <w:tc>
          <w:tcPr>
            <w:tcW w:w="460" w:type="dxa"/>
            <w:vAlign w:val="bottom"/>
            <w:gridSpan w:val="2"/>
            <w:shd w:val="clear" w:color="auto" w:fill="CCEEFF"/>
          </w:tcPr>
          <w:p>
            <w:pPr>
              <w:jc w:val="right"/>
              <w:ind w:right="32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(65,391)</w:t>
            </w:r>
          </w:p>
        </w:tc>
        <w:tc>
          <w:tcPr>
            <w:tcW w:w="1160" w:type="dxa"/>
            <w:vAlign w:val="bottom"/>
          </w:tcPr>
          <w:p>
            <w:pPr>
              <w:spacing w:after="0"/>
              <w:rPr>
                <w:sz w:val="15"/>
                <w:szCs w:val="15"/>
                <w:color w:val="auto"/>
              </w:rPr>
            </w:pPr>
          </w:p>
        </w:tc>
      </w:tr>
      <w:tr>
        <w:trPr>
          <w:trHeight w:val="181"/>
        </w:trPr>
        <w:tc>
          <w:tcPr>
            <w:tcW w:w="3840" w:type="dxa"/>
            <w:vAlign w:val="bottom"/>
            <w:gridSpan w:val="2"/>
          </w:tcPr>
          <w:p>
            <w:pPr>
              <w:ind w:left="1140"/>
              <w:spacing w:after="0" w:line="181" w:lineRule="exact"/>
              <w:rPr>
                <w:sz w:val="20"/>
                <w:szCs w:val="20"/>
                <w:color w:val="auto"/>
              </w:rPr>
            </w:pPr>
            <w:r>
              <w:rPr>
                <w:rFonts w:ascii="Arial" w:cs="Arial" w:eastAsia="Arial" w:hAnsi="Arial"/>
                <w:sz w:val="16"/>
                <w:szCs w:val="16"/>
                <w:color w:val="auto"/>
              </w:rPr>
              <w:t>Foreign (U.S.)</w:t>
            </w:r>
          </w:p>
        </w:tc>
        <w:tc>
          <w:tcPr>
            <w:tcW w:w="36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317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520</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4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(23,937)</w:t>
            </w: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(64,871)</w:t>
            </w:r>
          </w:p>
        </w:tc>
        <w:tc>
          <w:tcPr>
            <w:tcW w:w="116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60"/>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40" w:type="dxa"/>
            <w:vAlign w:val="bottom"/>
            <w:gridSpan w:val="2"/>
          </w:tcPr>
          <w:p>
            <w:pPr>
              <w:jc w:val="right"/>
              <w:ind w:right="2000"/>
              <w:spacing w:after="0"/>
              <w:rPr>
                <w:sz w:val="20"/>
                <w:szCs w:val="20"/>
                <w:color w:val="auto"/>
              </w:rPr>
            </w:pPr>
            <w:r>
              <w:rPr>
                <w:rFonts w:ascii="Arial" w:cs="Arial" w:eastAsia="Arial" w:hAnsi="Arial"/>
                <w:sz w:val="16"/>
                <w:szCs w:val="16"/>
                <w:color w:val="auto"/>
              </w:rPr>
              <w:t>F-34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2700" w:type="dxa"/>
            <w:vAlign w:val="bottom"/>
            <w:tcBorders>
              <w:bottom w:val="single" w:sz="8" w:color="808080"/>
            </w:tcBorders>
          </w:tcPr>
          <w:p>
            <w:pPr>
              <w:spacing w:after="0"/>
              <w:rPr>
                <w:sz w:val="16"/>
                <w:szCs w:val="16"/>
                <w:color w:val="auto"/>
              </w:rPr>
            </w:pPr>
          </w:p>
        </w:tc>
        <w:tc>
          <w:tcPr>
            <w:tcW w:w="364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54" w:name="page255"/>
    <w:bookmarkEnd w:id="2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 (Continued)</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components of the Company's income tax provision for the years ended December 31, 2016 and 2017 are as follows:</w:t>
      </w:r>
    </w:p>
    <w:p>
      <w:pPr>
        <w:spacing w:after="0" w:line="170"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Year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December 31,</w:t>
      </w:r>
    </w:p>
    <w:tbl>
      <w:tblPr>
        <w:tblLayout w:type="fixed"/>
        <w:tblInd w:w="1140" w:type="dxa"/>
        <w:tblCellMar>
          <w:top w:w="0" w:type="dxa"/>
          <w:left w:w="0" w:type="dxa"/>
          <w:bottom w:w="0" w:type="dxa"/>
          <w:right w:w="0" w:type="dxa"/>
        </w:tblCellMar>
      </w:tblPr>
      <w:tr>
        <w:trPr>
          <w:trHeight w:val="201"/>
        </w:trPr>
        <w:tc>
          <w:tcPr>
            <w:tcW w:w="54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Current income tax provision:</w:t>
            </w:r>
          </w:p>
        </w:tc>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40" w:type="dxa"/>
            <w:vAlign w:val="bottom"/>
          </w:tcPr>
          <w:p>
            <w:pPr>
              <w:ind w:left="160"/>
              <w:spacing w:after="0" w:line="181" w:lineRule="exact"/>
              <w:rPr>
                <w:sz w:val="20"/>
                <w:szCs w:val="20"/>
                <w:color w:val="auto"/>
              </w:rPr>
            </w:pPr>
            <w:r>
              <w:rPr>
                <w:rFonts w:ascii="Arial" w:cs="Arial" w:eastAsia="Arial" w:hAnsi="Arial"/>
                <w:sz w:val="16"/>
                <w:szCs w:val="16"/>
                <w:color w:val="auto"/>
              </w:rPr>
              <w:t>Bermuda</w:t>
            </w:r>
          </w:p>
        </w:tc>
        <w:tc>
          <w:tcPr>
            <w:tcW w:w="22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54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U.S. federal</w:t>
            </w:r>
          </w:p>
        </w:tc>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40" w:type="dxa"/>
            <w:vAlign w:val="bottom"/>
          </w:tcPr>
          <w:p>
            <w:pPr>
              <w:ind w:left="160"/>
              <w:spacing w:after="0" w:line="181" w:lineRule="exact"/>
              <w:rPr>
                <w:sz w:val="20"/>
                <w:szCs w:val="20"/>
                <w:color w:val="auto"/>
              </w:rPr>
            </w:pPr>
            <w:r>
              <w:rPr>
                <w:rFonts w:ascii="Arial" w:cs="Arial" w:eastAsia="Arial" w:hAnsi="Arial"/>
                <w:sz w:val="16"/>
                <w:szCs w:val="16"/>
                <w:color w:val="auto"/>
              </w:rPr>
              <w:t>U.S. state</w:t>
            </w:r>
          </w:p>
        </w:tc>
        <w:tc>
          <w:tcPr>
            <w:tcW w:w="2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40" w:type="dxa"/>
            <w:vAlign w:val="bottom"/>
            <w:shd w:val="clear" w:color="auto" w:fill="CCEEFF"/>
          </w:tcPr>
          <w:p>
            <w:pPr>
              <w:ind w:left="320"/>
              <w:spacing w:after="0" w:line="173" w:lineRule="exact"/>
              <w:rPr>
                <w:sz w:val="20"/>
                <w:szCs w:val="20"/>
                <w:color w:val="auto"/>
              </w:rPr>
            </w:pPr>
            <w:r>
              <w:rPr>
                <w:rFonts w:ascii="Arial" w:cs="Arial" w:eastAsia="Arial" w:hAnsi="Arial"/>
                <w:sz w:val="16"/>
                <w:szCs w:val="16"/>
                <w:color w:val="auto"/>
              </w:rPr>
              <w:t>Total current income tax provision</w:t>
            </w:r>
          </w:p>
        </w:tc>
        <w:tc>
          <w:tcPr>
            <w:tcW w:w="20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199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6"/>
                <w:szCs w:val="16"/>
                <w:color w:val="auto"/>
              </w:rPr>
              <w:t>Deferred income tax provision (benefit):</w:t>
            </w: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Bermuda</w:t>
            </w:r>
          </w:p>
        </w:tc>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5440" w:type="dxa"/>
            <w:vAlign w:val="bottom"/>
          </w:tcPr>
          <w:p>
            <w:pPr>
              <w:ind w:left="160"/>
              <w:spacing w:after="0" w:line="181" w:lineRule="exact"/>
              <w:rPr>
                <w:sz w:val="20"/>
                <w:szCs w:val="20"/>
                <w:color w:val="auto"/>
              </w:rPr>
            </w:pPr>
            <w:r>
              <w:rPr>
                <w:rFonts w:ascii="Arial" w:cs="Arial" w:eastAsia="Arial" w:hAnsi="Arial"/>
                <w:sz w:val="16"/>
                <w:szCs w:val="16"/>
                <w:color w:val="auto"/>
              </w:rPr>
              <w:t>U.S. federal</w:t>
            </w: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1"/>
        </w:trPr>
        <w:tc>
          <w:tcPr>
            <w:tcW w:w="54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U.S. state</w:t>
            </w:r>
          </w:p>
        </w:tc>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320"/>
              <w:spacing w:after="0"/>
              <w:rPr>
                <w:sz w:val="20"/>
                <w:szCs w:val="20"/>
                <w:color w:val="auto"/>
              </w:rPr>
            </w:pPr>
            <w:r>
              <w:rPr>
                <w:rFonts w:ascii="Arial" w:cs="Arial" w:eastAsia="Arial" w:hAnsi="Arial"/>
                <w:sz w:val="16"/>
                <w:szCs w:val="16"/>
                <w:color w:val="auto"/>
              </w:rPr>
              <w:t>Total deferred income tax provision (benefit)</w:t>
            </w: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Total provision for income taxes</w:t>
            </w:r>
          </w:p>
        </w:tc>
        <w:tc>
          <w:tcPr>
            <w:tcW w:w="224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the Bermuda statutory income tax rate of 0% to the Company's effective income tax rate is as follows:</w:t>
      </w:r>
    </w:p>
    <w:p>
      <w:pPr>
        <w:spacing w:after="0" w:line="170" w:lineRule="exact"/>
        <w:rPr>
          <w:sz w:val="20"/>
          <w:szCs w:val="20"/>
          <w:color w:val="auto"/>
        </w:rPr>
      </w:pPr>
    </w:p>
    <w:p>
      <w:pPr>
        <w:jc w:val="center"/>
        <w:ind w:left="7720"/>
        <w:spacing w:after="0"/>
        <w:rPr>
          <w:sz w:val="20"/>
          <w:szCs w:val="20"/>
          <w:color w:val="auto"/>
        </w:rPr>
      </w:pPr>
      <w:r>
        <w:rPr>
          <w:rFonts w:ascii="Arial" w:cs="Arial" w:eastAsia="Arial" w:hAnsi="Arial"/>
          <w:sz w:val="16"/>
          <w:szCs w:val="16"/>
          <w:b w:val="1"/>
          <w:bCs w:val="1"/>
          <w:color w:val="auto"/>
        </w:rPr>
        <w:t>Year Ended</w:t>
      </w:r>
    </w:p>
    <w:p>
      <w:pPr>
        <w:spacing w:after="0" w:line="11" w:lineRule="exact"/>
        <w:rPr>
          <w:sz w:val="20"/>
          <w:szCs w:val="20"/>
          <w:color w:val="auto"/>
        </w:rPr>
      </w:pPr>
    </w:p>
    <w:p>
      <w:pPr>
        <w:jc w:val="center"/>
        <w:ind w:left="7720"/>
        <w:spacing w:after="0"/>
        <w:rPr>
          <w:sz w:val="20"/>
          <w:szCs w:val="20"/>
          <w:color w:val="auto"/>
        </w:rPr>
      </w:pPr>
      <w:r>
        <w:rPr>
          <w:rFonts w:ascii="Arial" w:cs="Arial" w:eastAsia="Arial" w:hAnsi="Arial"/>
          <w:sz w:val="16"/>
          <w:szCs w:val="16"/>
          <w:b w:val="1"/>
          <w:bCs w:val="1"/>
          <w:color w:val="auto"/>
        </w:rPr>
        <w:t>December 31,</w:t>
      </w:r>
    </w:p>
    <w:tbl>
      <w:tblPr>
        <w:tblLayout w:type="fixed"/>
        <w:tblInd w:w="1140" w:type="dxa"/>
        <w:tblCellMar>
          <w:top w:w="0" w:type="dxa"/>
          <w:left w:w="0" w:type="dxa"/>
          <w:bottom w:w="0" w:type="dxa"/>
          <w:right w:w="0" w:type="dxa"/>
        </w:tblCellMar>
      </w:tblPr>
      <w:tr>
        <w:trPr>
          <w:trHeight w:val="201"/>
        </w:trPr>
        <w:tc>
          <w:tcPr>
            <w:tcW w:w="77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r>
      <w:tr>
        <w:trPr>
          <w:trHeight w:val="181"/>
        </w:trPr>
        <w:tc>
          <w:tcPr>
            <w:tcW w:w="7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Bermuda statutory income tax rate</w:t>
            </w:r>
          </w:p>
        </w:tc>
        <w:tc>
          <w:tcPr>
            <w:tcW w:w="7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r>
      <w:tr>
        <w:trPr>
          <w:trHeight w:val="181"/>
        </w:trPr>
        <w:tc>
          <w:tcPr>
            <w:tcW w:w="7780" w:type="dxa"/>
            <w:vAlign w:val="bottom"/>
          </w:tcPr>
          <w:p>
            <w:pPr>
              <w:ind w:left="160"/>
              <w:spacing w:after="0" w:line="181" w:lineRule="exact"/>
              <w:rPr>
                <w:sz w:val="20"/>
                <w:szCs w:val="20"/>
                <w:color w:val="auto"/>
              </w:rPr>
            </w:pPr>
            <w:r>
              <w:rPr>
                <w:rFonts w:ascii="Arial" w:cs="Arial" w:eastAsia="Arial" w:hAnsi="Arial"/>
                <w:sz w:val="16"/>
                <w:szCs w:val="16"/>
                <w:color w:val="auto"/>
              </w:rPr>
              <w:t>Foreign (U.S.) tax rate differential</w:t>
            </w:r>
          </w:p>
        </w:tc>
        <w:tc>
          <w:tcPr>
            <w:tcW w:w="76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(0.5)</w:t>
            </w:r>
          </w:p>
        </w:tc>
        <w:tc>
          <w:tcPr>
            <w:tcW w:w="6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(0.4)</w:t>
            </w:r>
          </w:p>
        </w:tc>
      </w:tr>
      <w:tr>
        <w:trPr>
          <w:trHeight w:val="181"/>
        </w:trPr>
        <w:tc>
          <w:tcPr>
            <w:tcW w:w="77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Research and development tax credits</w:t>
            </w:r>
          </w:p>
        </w:tc>
        <w:tc>
          <w:tcPr>
            <w:tcW w:w="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0.5</w:t>
            </w: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0.5</w:t>
            </w:r>
          </w:p>
        </w:tc>
        <w:tc>
          <w:tcPr>
            <w:tcW w:w="140" w:type="dxa"/>
            <w:vAlign w:val="bottom"/>
            <w:shd w:val="clear" w:color="auto" w:fill="CCEEFF"/>
          </w:tcPr>
          <w:p>
            <w:pPr>
              <w:spacing w:after="0"/>
              <w:rPr>
                <w:sz w:val="15"/>
                <w:szCs w:val="15"/>
                <w:color w:val="auto"/>
              </w:rPr>
            </w:pPr>
          </w:p>
        </w:tc>
      </w:tr>
      <w:tr>
        <w:trPr>
          <w:trHeight w:val="181"/>
        </w:trPr>
        <w:tc>
          <w:tcPr>
            <w:tcW w:w="7780" w:type="dxa"/>
            <w:vAlign w:val="bottom"/>
          </w:tcPr>
          <w:p>
            <w:pPr>
              <w:ind w:left="160"/>
              <w:spacing w:after="0" w:line="181" w:lineRule="exact"/>
              <w:rPr>
                <w:sz w:val="20"/>
                <w:szCs w:val="20"/>
                <w:color w:val="auto"/>
              </w:rPr>
            </w:pPr>
            <w:r>
              <w:rPr>
                <w:rFonts w:ascii="Arial" w:cs="Arial" w:eastAsia="Arial" w:hAnsi="Arial"/>
                <w:sz w:val="16"/>
                <w:szCs w:val="16"/>
                <w:color w:val="auto"/>
              </w:rPr>
              <w:t>2017 Tax Cuts and Jobs Act</w:t>
            </w:r>
          </w:p>
        </w:tc>
        <w:tc>
          <w:tcPr>
            <w:tcW w:w="760" w:type="dxa"/>
            <w:vAlign w:val="bottom"/>
            <w:gridSpan w:val="2"/>
          </w:tcPr>
          <w:p>
            <w:pPr>
              <w:jc w:val="right"/>
              <w:ind w:right="300"/>
              <w:spacing w:after="0" w:line="181" w:lineRule="exact"/>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(0.1)</w:t>
            </w:r>
          </w:p>
        </w:tc>
      </w:tr>
      <w:tr>
        <w:trPr>
          <w:trHeight w:val="20"/>
        </w:trPr>
        <w:tc>
          <w:tcPr>
            <w:tcW w:w="7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3"/>
        </w:trPr>
        <w:tc>
          <w:tcPr>
            <w:tcW w:w="77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Effective income tax rate</w:t>
            </w:r>
          </w:p>
        </w:tc>
        <w:tc>
          <w:tcPr>
            <w:tcW w:w="760" w:type="dxa"/>
            <w:vAlign w:val="bottom"/>
            <w:gridSpan w:val="2"/>
            <w:shd w:val="clear" w:color="auto" w:fill="CCEEFF"/>
          </w:tcPr>
          <w:p>
            <w:pPr>
              <w:jc w:val="right"/>
              <w:ind w:right="160"/>
              <w:spacing w:after="0" w:line="173" w:lineRule="exact"/>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r>
      <w:tr>
        <w:trPr>
          <w:trHeight w:val="20"/>
        </w:trPr>
        <w:tc>
          <w:tcPr>
            <w:tcW w:w="7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Company recorded immaterial tax benefits in the three months ended March 31, 2017 and 2018 (unaudited). The Company expects an immaterial level of tax benefit in 2018, comprised of current tax expense related to the Company's operations in the U.S. which is more than offset by federal and state research and development tax credits.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84"/>
        </w:trPr>
        <w:tc>
          <w:tcPr>
            <w:tcW w:w="868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569"/>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60" w:type="dxa"/>
            <w:vAlign w:val="bottom"/>
          </w:tcPr>
          <w:p>
            <w:pPr>
              <w:jc w:val="center"/>
              <w:ind w:left="1442"/>
              <w:spacing w:after="0"/>
              <w:rPr>
                <w:sz w:val="20"/>
                <w:szCs w:val="20"/>
                <w:color w:val="auto"/>
              </w:rPr>
            </w:pPr>
            <w:r>
              <w:rPr>
                <w:rFonts w:ascii="Arial" w:cs="Arial" w:eastAsia="Arial" w:hAnsi="Arial"/>
                <w:sz w:val="16"/>
                <w:szCs w:val="16"/>
                <w:b w:val="1"/>
                <w:bCs w:val="1"/>
                <w:color w:val="auto"/>
                <w:w w:val="97"/>
              </w:rPr>
              <w:t>KINIKSA PHARMACEUTICALS, LTD.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4"/>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tcPr>
          <w:p>
            <w:pPr>
              <w:jc w:val="center"/>
              <w:ind w:left="1442"/>
              <w:spacing w:after="0"/>
              <w:rPr>
                <w:sz w:val="20"/>
                <w:szCs w:val="20"/>
                <w:color w:val="auto"/>
              </w:rPr>
            </w:pPr>
            <w:r>
              <w:rPr>
                <w:rFonts w:ascii="Arial" w:cs="Arial" w:eastAsia="Arial" w:hAnsi="Arial"/>
                <w:sz w:val="16"/>
                <w:szCs w:val="16"/>
                <w:b w:val="1"/>
                <w:bCs w:val="1"/>
                <w:color w:val="auto"/>
                <w:w w:val="97"/>
              </w:rPr>
              <w:t>NOTES TO CONSOLIDATED FINANCIAL STATEMENTS (Continued)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4"/>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tcPr>
          <w:p>
            <w:pPr>
              <w:jc w:val="center"/>
              <w:ind w:left="1442"/>
              <w:spacing w:after="0"/>
              <w:rPr>
                <w:sz w:val="20"/>
                <w:szCs w:val="20"/>
                <w:color w:val="auto"/>
              </w:rPr>
            </w:pPr>
            <w:r>
              <w:rPr>
                <w:rFonts w:ascii="Arial" w:cs="Arial" w:eastAsia="Arial" w:hAnsi="Arial"/>
                <w:sz w:val="16"/>
                <w:szCs w:val="16"/>
                <w:b w:val="1"/>
                <w:bCs w:val="1"/>
                <w:color w:val="auto"/>
                <w:w w:val="98"/>
              </w:rPr>
              <w:t>(Amounts in thousands, except share and per share amounts)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4"/>
        </w:trPr>
        <w:tc>
          <w:tcPr>
            <w:tcW w:w="8680" w:type="dxa"/>
            <w:vAlign w:val="bottom"/>
            <w:gridSpan w:val="3"/>
          </w:tcPr>
          <w:p>
            <w:pPr>
              <w:spacing w:after="0"/>
              <w:rPr>
                <w:sz w:val="20"/>
                <w:szCs w:val="20"/>
                <w:color w:val="auto"/>
              </w:rPr>
            </w:pPr>
            <w:r>
              <w:rPr>
                <w:rFonts w:ascii="Arial" w:cs="Arial" w:eastAsia="Arial" w:hAnsi="Arial"/>
                <w:sz w:val="16"/>
                <w:szCs w:val="16"/>
                <w:b w:val="1"/>
                <w:bCs w:val="1"/>
                <w:color w:val="auto"/>
              </w:rPr>
              <w:t>10. Income Taxes (Continued)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4"/>
        </w:trPr>
        <w:tc>
          <w:tcPr>
            <w:tcW w:w="8680" w:type="dxa"/>
            <w:vAlign w:val="bottom"/>
            <w:gridSpan w:val="3"/>
          </w:tcPr>
          <w:p>
            <w:pPr>
              <w:ind w:left="440"/>
              <w:spacing w:after="0"/>
              <w:rPr>
                <w:sz w:val="20"/>
                <w:szCs w:val="20"/>
                <w:color w:val="auto"/>
              </w:rPr>
            </w:pPr>
            <w:r>
              <w:rPr>
                <w:rFonts w:ascii="Arial" w:cs="Arial" w:eastAsia="Arial" w:hAnsi="Arial"/>
                <w:sz w:val="16"/>
                <w:szCs w:val="16"/>
                <w:color w:val="auto"/>
              </w:rPr>
              <w:t>Net deferred tax assets consisted of the following:</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6"/>
          </w:tcPr>
          <w:p>
            <w:pPr>
              <w:jc w:val="right"/>
              <w:ind w:right="260"/>
              <w:spacing w:after="0"/>
              <w:rPr>
                <w:sz w:val="20"/>
                <w:szCs w:val="20"/>
                <w:color w:val="auto"/>
              </w:rPr>
            </w:pPr>
            <w:r>
              <w:rPr>
                <w:rFonts w:ascii="Arial" w:cs="Arial" w:eastAsia="Arial" w:hAnsi="Arial"/>
                <w:sz w:val="16"/>
                <w:szCs w:val="16"/>
                <w:b w:val="1"/>
                <w:bCs w:val="1"/>
                <w:color w:val="auto"/>
              </w:rPr>
              <w:t>December 31,</w:t>
            </w:r>
          </w:p>
        </w:tc>
      </w:tr>
      <w:tr>
        <w:trPr>
          <w:trHeight w:val="197"/>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r>
      <w:tr>
        <w:trPr>
          <w:trHeight w:val="181"/>
        </w:trPr>
        <w:tc>
          <w:tcPr>
            <w:tcW w:w="1140" w:type="dxa"/>
            <w:vAlign w:val="bottom"/>
          </w:tcPr>
          <w:p>
            <w:pPr>
              <w:spacing w:after="0"/>
              <w:rPr>
                <w:sz w:val="15"/>
                <w:szCs w:val="15"/>
                <w:color w:val="auto"/>
              </w:rPr>
            </w:pPr>
          </w:p>
        </w:tc>
        <w:tc>
          <w:tcPr>
            <w:tcW w:w="75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Research and development tax credit carryforwards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90</w:t>
            </w:r>
          </w:p>
        </w:tc>
        <w:tc>
          <w:tcPr>
            <w:tcW w:w="140" w:type="dxa"/>
            <w:vAlign w:val="bottom"/>
            <w:shd w:val="clear" w:color="auto" w:fill="CCEEFF"/>
          </w:tcPr>
          <w:p>
            <w:pPr>
              <w:spacing w:after="0"/>
              <w:rPr>
                <w:sz w:val="15"/>
                <w:szCs w:val="15"/>
                <w:color w:val="auto"/>
              </w:rPr>
            </w:pPr>
          </w:p>
        </w:tc>
      </w:tr>
      <w:tr>
        <w:trPr>
          <w:trHeight w:val="181"/>
        </w:trPr>
        <w:tc>
          <w:tcPr>
            <w:tcW w:w="8680" w:type="dxa"/>
            <w:vAlign w:val="bottom"/>
            <w:gridSpan w:val="3"/>
          </w:tcPr>
          <w:p>
            <w:pPr>
              <w:ind w:left="1140"/>
              <w:spacing w:after="0" w:line="181" w:lineRule="exact"/>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5"/>
                <w:szCs w:val="15"/>
                <w:color w:val="auto"/>
              </w:rPr>
            </w:pPr>
          </w:p>
        </w:tc>
        <w:tc>
          <w:tcPr>
            <w:tcW w:w="60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(14)</w:t>
            </w:r>
          </w:p>
        </w:tc>
      </w:tr>
      <w:tr>
        <w:trPr>
          <w:trHeight w:val="181"/>
        </w:trPr>
        <w:tc>
          <w:tcPr>
            <w:tcW w:w="1140" w:type="dxa"/>
            <w:vAlign w:val="bottom"/>
          </w:tcPr>
          <w:p>
            <w:pPr>
              <w:spacing w:after="0"/>
              <w:rPr>
                <w:sz w:val="15"/>
                <w:szCs w:val="15"/>
                <w:color w:val="auto"/>
              </w:rPr>
            </w:pPr>
          </w:p>
        </w:tc>
        <w:tc>
          <w:tcPr>
            <w:tcW w:w="75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Accrued expenses and other</w:t>
            </w: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189</w:t>
            </w:r>
          </w:p>
        </w:tc>
        <w:tc>
          <w:tcPr>
            <w:tcW w:w="140" w:type="dxa"/>
            <w:vAlign w:val="bottom"/>
            <w:shd w:val="clear" w:color="auto" w:fill="CCEEFF"/>
          </w:tcPr>
          <w:p>
            <w:pPr>
              <w:spacing w:after="0"/>
              <w:rPr>
                <w:sz w:val="15"/>
                <w:szCs w:val="15"/>
                <w:color w:val="auto"/>
              </w:rPr>
            </w:pPr>
          </w:p>
        </w:tc>
      </w:tr>
      <w:tr>
        <w:trPr>
          <w:trHeight w:val="17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60" w:type="dxa"/>
            <w:vAlign w:val="bottom"/>
          </w:tcPr>
          <w:p>
            <w:pPr>
              <w:ind w:left="80"/>
              <w:spacing w:after="0" w:line="173" w:lineRule="exact"/>
              <w:rPr>
                <w:sz w:val="20"/>
                <w:szCs w:val="20"/>
                <w:color w:val="auto"/>
              </w:rPr>
            </w:pPr>
            <w:r>
              <w:rPr>
                <w:rFonts w:ascii="Arial" w:cs="Arial" w:eastAsia="Arial" w:hAnsi="Arial"/>
                <w:sz w:val="16"/>
                <w:szCs w:val="16"/>
                <w:color w:val="auto"/>
              </w:rPr>
              <w:t>Total deferred tax assets</w:t>
            </w:r>
          </w:p>
        </w:tc>
        <w:tc>
          <w:tcPr>
            <w:tcW w:w="160" w:type="dxa"/>
            <w:vAlign w:val="bottom"/>
          </w:tcPr>
          <w:p>
            <w:pPr>
              <w:spacing w:after="0"/>
              <w:rPr>
                <w:sz w:val="15"/>
                <w:szCs w:val="15"/>
                <w:color w:val="auto"/>
              </w:rPr>
            </w:pPr>
          </w:p>
        </w:tc>
        <w:tc>
          <w:tcPr>
            <w:tcW w:w="420" w:type="dxa"/>
            <w:vAlign w:val="bottom"/>
          </w:tcPr>
          <w:p>
            <w:pPr>
              <w:jc w:val="right"/>
              <w:spacing w:after="0" w:line="173" w:lineRule="exact"/>
              <w:rPr>
                <w:sz w:val="20"/>
                <w:szCs w:val="20"/>
                <w:color w:val="auto"/>
              </w:rPr>
            </w:pPr>
            <w:r>
              <w:rPr>
                <w:rFonts w:ascii="Arial" w:cs="Arial" w:eastAsia="Arial" w:hAnsi="Arial"/>
                <w:sz w:val="16"/>
                <w:szCs w:val="16"/>
                <w:color w:val="auto"/>
              </w:rPr>
              <w:t>51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265</w:t>
            </w:r>
          </w:p>
        </w:tc>
        <w:tc>
          <w:tcPr>
            <w:tcW w:w="14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75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Valuation allowance</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(27)</w:t>
            </w:r>
          </w:p>
        </w:tc>
      </w:tr>
      <w:tr>
        <w:trPr>
          <w:trHeight w:val="17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60" w:type="dxa"/>
            <w:vAlign w:val="bottom"/>
          </w:tcPr>
          <w:p>
            <w:pPr>
              <w:ind w:left="80"/>
              <w:spacing w:after="0" w:line="173" w:lineRule="exact"/>
              <w:rPr>
                <w:sz w:val="20"/>
                <w:szCs w:val="20"/>
                <w:color w:val="auto"/>
              </w:rPr>
            </w:pPr>
            <w:r>
              <w:rPr>
                <w:rFonts w:ascii="Arial" w:cs="Arial" w:eastAsia="Arial" w:hAnsi="Arial"/>
                <w:sz w:val="16"/>
                <w:szCs w:val="16"/>
                <w:color w:val="auto"/>
              </w:rPr>
              <w:t>Net deferred tax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238</w:t>
            </w:r>
          </w:p>
        </w:tc>
        <w:tc>
          <w:tcPr>
            <w:tcW w:w="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0" w:firstLine="427"/>
        <w:spacing w:after="0" w:line="239" w:lineRule="auto"/>
        <w:rPr>
          <w:sz w:val="20"/>
          <w:szCs w:val="20"/>
          <w:color w:val="auto"/>
        </w:rPr>
      </w:pPr>
      <w:r>
        <w:rPr>
          <w:rFonts w:ascii="Arial" w:cs="Arial" w:eastAsia="Arial" w:hAnsi="Arial"/>
          <w:sz w:val="16"/>
          <w:szCs w:val="16"/>
          <w:color w:val="auto"/>
        </w:rPr>
        <w:t>As of December 31, 2017, the Company had state research and development tax credit carryforwards of approximately $113, available to reduce future tax liabilities, which begin to expire in 2031 through 2032. As of March 31, 2018 (unaudited), the amount of the Company's deferred tax assets did not change materially from the amount as of December 31, 2017.</w:t>
      </w:r>
    </w:p>
    <w:p>
      <w:pPr>
        <w:spacing w:after="0" w:line="186" w:lineRule="exact"/>
        <w:rPr>
          <w:sz w:val="20"/>
          <w:szCs w:val="20"/>
          <w:color w:val="auto"/>
        </w:rPr>
      </w:pPr>
    </w:p>
    <w:p>
      <w:pPr>
        <w:ind w:right="40" w:firstLine="427"/>
        <w:spacing w:after="0" w:line="237" w:lineRule="auto"/>
        <w:rPr>
          <w:sz w:val="20"/>
          <w:szCs w:val="20"/>
          <w:color w:val="auto"/>
        </w:rPr>
      </w:pPr>
      <w:r>
        <w:rPr>
          <w:rFonts w:ascii="Arial" w:cs="Arial" w:eastAsia="Arial" w:hAnsi="Arial"/>
          <w:sz w:val="16"/>
          <w:szCs w:val="16"/>
          <w:color w:val="auto"/>
        </w:rPr>
        <w:t>As required by ASC 740, the Company has evaluated the positive and negative evidence bearing upon its ability to realize the deferred tax assets. In order to utilize state research and development tax credits, the Company will need taxable income in the jurisdiction of where the credit was generated. The Company currently has no taxable income in certain state jurisdictions and thus management has determined that it is more likely than not that the Company will not recognize the benefits of state research and development tax credits generated in those jurisdictions, and as a result, a valuation allowance of $10 and $27 has been established at December 31, 2016 and 2017, respectively. The remaining deferred tax assets will be fully utilized in the United States based on future income generated under the cost-plus arrangement in place.</w:t>
      </w:r>
    </w:p>
    <w:p>
      <w:pPr>
        <w:spacing w:after="0" w:line="188" w:lineRule="exact"/>
        <w:rPr>
          <w:sz w:val="20"/>
          <w:szCs w:val="20"/>
          <w:color w:val="auto"/>
        </w:rPr>
      </w:pPr>
    </w:p>
    <w:p>
      <w:pPr>
        <w:ind w:firstLine="436"/>
        <w:spacing w:after="0" w:line="238" w:lineRule="auto"/>
        <w:rPr>
          <w:sz w:val="20"/>
          <w:szCs w:val="20"/>
          <w:color w:val="auto"/>
        </w:rPr>
      </w:pPr>
      <w:r>
        <w:rPr>
          <w:rFonts w:ascii="Arial" w:cs="Arial" w:eastAsia="Arial" w:hAnsi="Arial"/>
          <w:sz w:val="16"/>
          <w:szCs w:val="16"/>
          <w:color w:val="auto"/>
        </w:rPr>
        <w:t>Utilization of the state research and development tax credits may be subject to substantial annual limitation under Section 382 of the Internal Revenue Code of 1986 due to ownership changes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56" w:name="page257"/>
    <w:bookmarkEnd w:id="256"/>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10. Income Taxes (Continued)</w:t>
      </w:r>
    </w:p>
    <w:p>
      <w:pPr>
        <w:spacing w:after="0" w:line="210" w:lineRule="exact"/>
        <w:rPr>
          <w:sz w:val="20"/>
          <w:szCs w:val="20"/>
          <w:color w:val="auto"/>
        </w:rPr>
      </w:pPr>
    </w:p>
    <w:p>
      <w:pPr>
        <w:ind w:left="4" w:right="140" w:firstLine="436"/>
        <w:spacing w:after="0" w:line="241" w:lineRule="auto"/>
        <w:rPr>
          <w:sz w:val="20"/>
          <w:szCs w:val="20"/>
          <w:color w:val="auto"/>
        </w:rPr>
      </w:pPr>
      <w:r>
        <w:rPr>
          <w:rFonts w:ascii="Arial" w:cs="Arial" w:eastAsia="Arial" w:hAnsi="Arial"/>
          <w:sz w:val="16"/>
          <w:szCs w:val="16"/>
          <w:color w:val="auto"/>
        </w:rPr>
        <w:t>Changes in the valuation allowance for deferred tax assets during the years ended December 31, 2016 and 2017 were due primarily to an increase in state research and development tax credits and were as follows:</w:t>
      </w:r>
    </w:p>
    <w:p>
      <w:pPr>
        <w:spacing w:after="0" w:line="165" w:lineRule="exact"/>
        <w:rPr>
          <w:sz w:val="20"/>
          <w:szCs w:val="20"/>
          <w:color w:val="auto"/>
        </w:rPr>
      </w:pPr>
    </w:p>
    <w:p>
      <w:pPr>
        <w:jc w:val="center"/>
        <w:ind w:left="7560"/>
        <w:spacing w:after="0"/>
        <w:rPr>
          <w:sz w:val="20"/>
          <w:szCs w:val="20"/>
          <w:color w:val="auto"/>
        </w:rPr>
      </w:pPr>
      <w:r>
        <w:rPr>
          <w:rFonts w:ascii="Arial" w:cs="Arial" w:eastAsia="Arial" w:hAnsi="Arial"/>
          <w:sz w:val="16"/>
          <w:szCs w:val="16"/>
          <w:b w:val="1"/>
          <w:bCs w:val="1"/>
          <w:color w:val="auto"/>
        </w:rPr>
        <w:t>Year Ended</w:t>
      </w:r>
    </w:p>
    <w:p>
      <w:pPr>
        <w:spacing w:after="0" w:line="11" w:lineRule="exact"/>
        <w:rPr>
          <w:sz w:val="20"/>
          <w:szCs w:val="20"/>
          <w:color w:val="auto"/>
        </w:rPr>
      </w:pPr>
    </w:p>
    <w:p>
      <w:pPr>
        <w:jc w:val="center"/>
        <w:ind w:left="7560"/>
        <w:spacing w:after="0"/>
        <w:rPr>
          <w:sz w:val="20"/>
          <w:szCs w:val="20"/>
          <w:color w:val="auto"/>
        </w:rPr>
      </w:pPr>
      <w:r>
        <w:rPr>
          <w:rFonts w:ascii="Arial" w:cs="Arial" w:eastAsia="Arial" w:hAnsi="Arial"/>
          <w:sz w:val="16"/>
          <w:szCs w:val="16"/>
          <w:b w:val="1"/>
          <w:bCs w:val="1"/>
          <w:color w:val="auto"/>
        </w:rPr>
        <w:t>December 31,</w:t>
      </w:r>
    </w:p>
    <w:tbl>
      <w:tblPr>
        <w:tblLayout w:type="fixed"/>
        <w:tblInd w:w="1144" w:type="dxa"/>
        <w:tblCellMar>
          <w:top w:w="0" w:type="dxa"/>
          <w:left w:w="0" w:type="dxa"/>
          <w:bottom w:w="0" w:type="dxa"/>
          <w:right w:w="0" w:type="dxa"/>
        </w:tblCellMar>
      </w:tblPr>
      <w:tr>
        <w:trPr>
          <w:trHeight w:val="201"/>
        </w:trPr>
        <w:tc>
          <w:tcPr>
            <w:tcW w:w="5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7"/>
                <w:szCs w:val="17"/>
                <w:color w:val="auto"/>
              </w:rPr>
            </w:pPr>
          </w:p>
        </w:tc>
      </w:tr>
      <w:tr>
        <w:trPr>
          <w:trHeight w:val="181"/>
        </w:trPr>
        <w:tc>
          <w:tcPr>
            <w:tcW w:w="53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Valuation allowance at beginning of year</w:t>
            </w:r>
          </w:p>
        </w:tc>
        <w:tc>
          <w:tcPr>
            <w:tcW w:w="2320" w:type="dxa"/>
            <w:vAlign w:val="bottom"/>
            <w:gridSpan w:val="2"/>
            <w:shd w:val="clear" w:color="auto" w:fill="CCEEFF"/>
          </w:tcPr>
          <w:p>
            <w:pPr>
              <w:jc w:val="right"/>
              <w:ind w:right="7"/>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w:t>
            </w:r>
          </w:p>
        </w:tc>
        <w:tc>
          <w:tcPr>
            <w:tcW w:w="3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(10)</w:t>
            </w:r>
          </w:p>
        </w:tc>
      </w:tr>
      <w:tr>
        <w:trPr>
          <w:trHeight w:val="181"/>
        </w:trPr>
        <w:tc>
          <w:tcPr>
            <w:tcW w:w="5320" w:type="dxa"/>
            <w:vAlign w:val="bottom"/>
          </w:tcPr>
          <w:p>
            <w:pPr>
              <w:ind w:left="160"/>
              <w:spacing w:after="0" w:line="181" w:lineRule="exact"/>
              <w:rPr>
                <w:sz w:val="20"/>
                <w:szCs w:val="20"/>
                <w:color w:val="auto"/>
              </w:rPr>
            </w:pPr>
            <w:r>
              <w:rPr>
                <w:rFonts w:ascii="Arial" w:cs="Arial" w:eastAsia="Arial" w:hAnsi="Arial"/>
                <w:sz w:val="16"/>
                <w:szCs w:val="16"/>
                <w:color w:val="auto"/>
              </w:rPr>
              <w:t>Increases recorded to income tax provision</w:t>
            </w: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(17)</w:t>
            </w:r>
          </w:p>
        </w:tc>
      </w:tr>
      <w:tr>
        <w:trPr>
          <w:trHeight w:val="20"/>
        </w:trPr>
        <w:tc>
          <w:tcPr>
            <w:tcW w:w="5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3"/>
        </w:trPr>
        <w:tc>
          <w:tcPr>
            <w:tcW w:w="532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Valuation allowance at end of year</w:t>
            </w:r>
          </w:p>
        </w:tc>
        <w:tc>
          <w:tcPr>
            <w:tcW w:w="21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line="173" w:lineRule="exact"/>
              <w:rPr>
                <w:sz w:val="20"/>
                <w:szCs w:val="20"/>
                <w:color w:val="auto"/>
              </w:rPr>
            </w:pPr>
            <w:r>
              <w:rPr>
                <w:rFonts w:ascii="Arial" w:cs="Arial" w:eastAsia="Arial" w:hAnsi="Arial"/>
                <w:sz w:val="16"/>
                <w:szCs w:val="16"/>
                <w:color w:val="auto"/>
              </w:rPr>
              <w:t>(10)</w:t>
            </w:r>
          </w:p>
        </w:tc>
        <w:tc>
          <w:tcPr>
            <w:tcW w:w="30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80"/>
              <w:spacing w:after="0" w:line="173" w:lineRule="exact"/>
              <w:rPr>
                <w:sz w:val="20"/>
                <w:szCs w:val="20"/>
                <w:color w:val="auto"/>
              </w:rPr>
            </w:pPr>
            <w:r>
              <w:rPr>
                <w:rFonts w:ascii="Arial" w:cs="Arial" w:eastAsia="Arial" w:hAnsi="Arial"/>
                <w:sz w:val="16"/>
                <w:szCs w:val="16"/>
                <w:color w:val="auto"/>
              </w:rPr>
              <w:t>(27)</w:t>
            </w:r>
          </w:p>
        </w:tc>
      </w:tr>
      <w:tr>
        <w:trPr>
          <w:trHeight w:val="20"/>
        </w:trPr>
        <w:tc>
          <w:tcPr>
            <w:tcW w:w="5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4" w:firstLine="433"/>
        <w:spacing w:after="0" w:line="239" w:lineRule="auto"/>
        <w:rPr>
          <w:sz w:val="20"/>
          <w:szCs w:val="20"/>
          <w:color w:val="auto"/>
        </w:rPr>
      </w:pPr>
      <w:r>
        <w:rPr>
          <w:rFonts w:ascii="Arial" w:cs="Arial" w:eastAsia="Arial" w:hAnsi="Arial"/>
          <w:sz w:val="16"/>
          <w:szCs w:val="16"/>
          <w:color w:val="auto"/>
        </w:rPr>
        <w:t>The Company has not recorded any amounts for unrecognized tax benefits as of December 31, 2016 or 2017. The Company's policy is to record interest and penalties related to income taxes as part of its income tax provision. As of December 31, 2016 and 2017, the Company had no accrued interest or penalties related to uncertain tax positions and no amounts had been recognized in the Company's consolidated statements of operations and comprehensive loss.</w:t>
      </w:r>
    </w:p>
    <w:p>
      <w:pPr>
        <w:spacing w:after="0" w:line="186" w:lineRule="exact"/>
        <w:rPr>
          <w:sz w:val="20"/>
          <w:szCs w:val="20"/>
          <w:color w:val="auto"/>
        </w:rPr>
      </w:pPr>
    </w:p>
    <w:p>
      <w:pPr>
        <w:jc w:val="both"/>
        <w:ind w:left="4" w:firstLine="433"/>
        <w:spacing w:after="0" w:line="238" w:lineRule="auto"/>
        <w:rPr>
          <w:sz w:val="20"/>
          <w:szCs w:val="20"/>
          <w:color w:val="auto"/>
        </w:rPr>
      </w:pPr>
      <w:r>
        <w:rPr>
          <w:rFonts w:ascii="Arial" w:cs="Arial" w:eastAsia="Arial" w:hAnsi="Arial"/>
          <w:sz w:val="16"/>
          <w:szCs w:val="16"/>
          <w:color w:val="auto"/>
        </w:rPr>
        <w:t>The Company files income tax returns in the United States and certain state jurisdictions. Kiniksa US's federal and state income tax returns are subject to tax examinations for the tax years ended December 31, 2013 and subsequent years. To the extent the Company has tax attribute carryforwards, the tax years in which the attribute was generated may still be adjusted upon examination by the Internal Revenue Service and state tax authorities to the extent utilized in a future period. There are currently no income tax examinations pending.</w:t>
      </w:r>
    </w:p>
    <w:p>
      <w:pPr>
        <w:spacing w:after="0" w:line="167" w:lineRule="exact"/>
        <w:rPr>
          <w:sz w:val="20"/>
          <w:szCs w:val="20"/>
          <w:color w:val="auto"/>
        </w:rPr>
      </w:pPr>
    </w:p>
    <w:p>
      <w:pPr>
        <w:ind w:left="484" w:right="6200" w:hanging="484"/>
        <w:spacing w:after="0" w:line="500" w:lineRule="auto"/>
        <w:tabs>
          <w:tab w:leader="none" w:pos="263"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Loss per Share and Unaudited Pro Forma Net Loss per Share </w:t>
      </w:r>
      <w:r>
        <w:rPr>
          <w:rFonts w:ascii="Arial" w:cs="Arial" w:eastAsia="Arial" w:hAnsi="Arial"/>
          <w:sz w:val="16"/>
          <w:szCs w:val="16"/>
          <w:b w:val="1"/>
          <w:bCs w:val="1"/>
          <w:i w:val="1"/>
          <w:iCs w:val="1"/>
          <w:color w:val="auto"/>
        </w:rPr>
        <w:t>Net Loss per Share</w:t>
      </w:r>
    </w:p>
    <w:p>
      <w:pPr>
        <w:spacing w:after="0" w:line="1" w:lineRule="exact"/>
        <w:rPr>
          <w:sz w:val="20"/>
          <w:szCs w:val="20"/>
          <w:color w:val="auto"/>
        </w:rPr>
      </w:pPr>
    </w:p>
    <w:p>
      <w:pPr>
        <w:ind w:left="4" w:right="200" w:firstLine="433"/>
        <w:spacing w:after="0" w:line="239"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shares are identical, except with respect to voting rights. As the liquidation and dividend rights are identical, losses are allocated on a proportionate basis and the resulting net loss per share attributed to common shareholders will, therefore, be the same for both Class A and Class B common shares on an individual or combined basis.</w:t>
      </w:r>
    </w:p>
    <w:p>
      <w:pPr>
        <w:spacing w:after="0" w:line="186" w:lineRule="exact"/>
        <w:rPr>
          <w:sz w:val="20"/>
          <w:szCs w:val="20"/>
          <w:color w:val="auto"/>
        </w:rPr>
      </w:pPr>
    </w:p>
    <w:p>
      <w:pPr>
        <w:jc w:val="center"/>
        <w:ind w:right="-103"/>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24"/>
          </w:cols>
          <w:pgMar w:left="236" w:top="142" w:right="339" w:bottom="1440" w:gutter="0" w:footer="0" w:header="0"/>
        </w:sectPr>
      </w:pPr>
    </w:p>
    <w:bookmarkStart w:id="257" w:name="page258"/>
    <w:bookmarkEnd w:id="2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 and Unaudited Pro Forma Net Loss per Share (Continued)</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Basic and diluted net loss per share attributable to common shareholders was calculated as follows: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5"/>
              </w:rPr>
              <w:t>Year Ended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7"/>
              </w:rPr>
              <w:t>Three Months Ended</w:t>
            </w:r>
          </w:p>
        </w:tc>
      </w:tr>
      <w:tr>
        <w:trPr>
          <w:trHeight w:val="202"/>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7"/>
              </w:rPr>
              <w:t>December 31,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97"/>
              </w:rPr>
              <w:t>March 31,</w:t>
            </w:r>
          </w:p>
        </w:tc>
      </w:tr>
      <w:tr>
        <w:trPr>
          <w:trHeight w:val="197"/>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8"/>
              </w:rPr>
              <w:t>(unaudited)</w:t>
            </w:r>
          </w:p>
        </w:tc>
      </w:tr>
      <w:tr>
        <w:trPr>
          <w:trHeight w:val="181"/>
        </w:trPr>
        <w:tc>
          <w:tcPr>
            <w:tcW w:w="49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Numerator:</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1"/>
        </w:trPr>
        <w:tc>
          <w:tcPr>
            <w:tcW w:w="4980" w:type="dxa"/>
            <w:vAlign w:val="bottom"/>
          </w:tcPr>
          <w:p>
            <w:pPr>
              <w:ind w:left="160"/>
              <w:spacing w:after="0" w:line="181" w:lineRule="exact"/>
              <w:rPr>
                <w:sz w:val="20"/>
                <w:szCs w:val="20"/>
                <w:color w:val="auto"/>
              </w:rPr>
            </w:pPr>
            <w:r>
              <w:rPr>
                <w:rFonts w:ascii="Arial" w:cs="Arial" w:eastAsia="Arial" w:hAnsi="Arial"/>
                <w:sz w:val="16"/>
                <w:szCs w:val="16"/>
                <w:color w:val="auto"/>
              </w:rPr>
              <w:t>Net loss attributable to common shareholders</w:t>
            </w:r>
          </w:p>
        </w:tc>
        <w:tc>
          <w:tcPr>
            <w:tcW w:w="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(23,973)</w:t>
            </w:r>
          </w:p>
        </w:tc>
        <w:tc>
          <w:tcPr>
            <w:tcW w:w="180" w:type="dxa"/>
            <w:vAlign w:val="bottom"/>
            <w:gridSpan w:val="2"/>
          </w:tcPr>
          <w:p>
            <w:pPr>
              <w:jc w:val="center"/>
              <w:ind w:right="20"/>
              <w:spacing w:after="0" w:line="181" w:lineRule="exact"/>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(64,873)</w:t>
            </w:r>
          </w:p>
        </w:tc>
        <w:tc>
          <w:tcPr>
            <w:tcW w:w="2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(4,941)</w:t>
            </w:r>
          </w:p>
        </w:tc>
        <w:tc>
          <w:tcPr>
            <w:tcW w:w="20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(15,982)</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980" w:type="dxa"/>
            <w:vAlign w:val="bottom"/>
            <w:shd w:val="clear" w:color="auto" w:fill="CCEEFF"/>
          </w:tcPr>
          <w:p>
            <w:pPr>
              <w:spacing w:after="0" w:line="157" w:lineRule="exact"/>
              <w:rPr>
                <w:sz w:val="20"/>
                <w:szCs w:val="20"/>
                <w:color w:val="auto"/>
              </w:rPr>
            </w:pPr>
            <w:r>
              <w:rPr>
                <w:rFonts w:ascii="Arial" w:cs="Arial" w:eastAsia="Arial" w:hAnsi="Arial"/>
                <w:sz w:val="16"/>
                <w:szCs w:val="16"/>
                <w:color w:val="auto"/>
              </w:rPr>
              <w:t>Denominator:</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1"/>
        </w:trPr>
        <w:tc>
          <w:tcPr>
            <w:tcW w:w="4980" w:type="dxa"/>
            <w:vAlign w:val="bottom"/>
          </w:tcPr>
          <w:p>
            <w:pPr>
              <w:ind w:left="160"/>
              <w:spacing w:after="0" w:line="181" w:lineRule="exact"/>
              <w:rPr>
                <w:sz w:val="20"/>
                <w:szCs w:val="20"/>
                <w:color w:val="auto"/>
              </w:rPr>
            </w:pPr>
            <w:r>
              <w:rPr>
                <w:rFonts w:ascii="Arial" w:cs="Arial" w:eastAsia="Arial" w:hAnsi="Arial"/>
                <w:sz w:val="16"/>
                <w:szCs w:val="16"/>
                <w:color w:val="auto"/>
                <w:w w:val="99"/>
              </w:rPr>
              <w:t>Weighted average common shares outstanding — basic and diluted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261,695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1,809,751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1,405,400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2,478,903</w:t>
            </w:r>
          </w:p>
        </w:tc>
        <w:tc>
          <w:tcPr>
            <w:tcW w:w="14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980" w:type="dxa"/>
            <w:vAlign w:val="bottom"/>
            <w:shd w:val="clear" w:color="auto" w:fill="CCEEFF"/>
          </w:tcPr>
          <w:p>
            <w:pPr>
              <w:spacing w:after="0" w:line="160" w:lineRule="exact"/>
              <w:rPr>
                <w:sz w:val="20"/>
                <w:szCs w:val="20"/>
                <w:color w:val="auto"/>
              </w:rPr>
            </w:pPr>
            <w:r>
              <w:rPr>
                <w:rFonts w:ascii="Arial" w:cs="Arial" w:eastAsia="Arial" w:hAnsi="Arial"/>
                <w:sz w:val="16"/>
                <w:szCs w:val="16"/>
                <w:color w:val="auto"/>
              </w:rPr>
              <w:t>Net loss per share attributable to common shareholders — basic and</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78"/>
        </w:trPr>
        <w:tc>
          <w:tcPr>
            <w:tcW w:w="498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diluted</w:t>
            </w:r>
          </w:p>
        </w:tc>
        <w:tc>
          <w:tcPr>
            <w:tcW w:w="24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(91.61)</w:t>
            </w:r>
          </w:p>
        </w:tc>
        <w:tc>
          <w:tcPr>
            <w:tcW w:w="180" w:type="dxa"/>
            <w:vAlign w:val="bottom"/>
            <w:gridSpan w:val="2"/>
            <w:shd w:val="clear" w:color="auto" w:fill="CCEEFF"/>
          </w:tcPr>
          <w:p>
            <w:pPr>
              <w:jc w:val="center"/>
              <w:ind w:right="20"/>
              <w:spacing w:after="0" w:line="178" w:lineRule="exact"/>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(35.85)</w:t>
            </w:r>
          </w:p>
        </w:tc>
        <w:tc>
          <w:tcPr>
            <w:tcW w:w="2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(3.52)</w:t>
            </w:r>
          </w:p>
        </w:tc>
        <w:tc>
          <w:tcPr>
            <w:tcW w:w="2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(6.45)</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right="900" w:firstLine="433"/>
        <w:spacing w:after="0" w:line="241" w:lineRule="auto"/>
        <w:rPr>
          <w:sz w:val="20"/>
          <w:szCs w:val="20"/>
          <w:color w:val="auto"/>
        </w:rPr>
      </w:pPr>
      <w:r>
        <w:rPr>
          <w:rFonts w:ascii="Arial" w:cs="Arial" w:eastAsia="Arial" w:hAnsi="Arial"/>
          <w:sz w:val="16"/>
          <w:szCs w:val="16"/>
          <w:color w:val="auto"/>
        </w:rPr>
        <w:t>The Company's unvested restricted common shares have been excluded from the computation of basic net loss per share attributable to common shareholders.</w:t>
      </w:r>
    </w:p>
    <w:p>
      <w:pPr>
        <w:spacing w:after="0" w:line="185" w:lineRule="exact"/>
        <w:rPr>
          <w:sz w:val="20"/>
          <w:szCs w:val="20"/>
          <w:color w:val="auto"/>
        </w:rPr>
      </w:pPr>
    </w:p>
    <w:p>
      <w:pPr>
        <w:ind w:firstLine="433"/>
        <w:spacing w:after="0" w:line="237" w:lineRule="auto"/>
        <w:rPr>
          <w:sz w:val="20"/>
          <w:szCs w:val="20"/>
          <w:color w:val="auto"/>
        </w:rPr>
      </w:pPr>
      <w:r>
        <w:rPr>
          <w:rFonts w:ascii="Arial" w:cs="Arial" w:eastAsia="Arial" w:hAnsi="Arial"/>
          <w:sz w:val="16"/>
          <w:szCs w:val="16"/>
          <w:color w:val="auto"/>
        </w:rPr>
        <w:t>The Company's potentially dilutive securities, which include options, unvested restricted shares and convertible preferred shares,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920" w:type="dxa"/>
            <w:vAlign w:val="bottom"/>
            <w:gridSpan w:val="3"/>
          </w:tcPr>
          <w:p>
            <w:pPr>
              <w:jc w:val="right"/>
              <w:ind w:right="402"/>
              <w:spacing w:after="0"/>
              <w:rPr>
                <w:sz w:val="20"/>
                <w:szCs w:val="20"/>
                <w:color w:val="auto"/>
              </w:rPr>
            </w:pPr>
            <w:r>
              <w:rPr>
                <w:rFonts w:ascii="Arial" w:cs="Arial" w:eastAsia="Arial" w:hAnsi="Arial"/>
                <w:sz w:val="16"/>
                <w:szCs w:val="16"/>
                <w:b w:val="1"/>
                <w:bCs w:val="1"/>
                <w:color w:val="auto"/>
              </w:rPr>
              <w:t>Year Ended</w:t>
            </w:r>
          </w:p>
        </w:tc>
        <w:tc>
          <w:tcPr>
            <w:tcW w:w="160" w:type="dxa"/>
            <w:vAlign w:val="bottom"/>
          </w:tcPr>
          <w:p>
            <w:pPr>
              <w:spacing w:after="0"/>
              <w:rPr>
                <w:sz w:val="16"/>
                <w:szCs w:val="16"/>
                <w:color w:val="auto"/>
              </w:rPr>
            </w:pPr>
          </w:p>
        </w:tc>
        <w:tc>
          <w:tcPr>
            <w:tcW w:w="20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8"/>
              </w:rPr>
              <w:t>Three Months Ended</w:t>
            </w:r>
          </w:p>
        </w:tc>
      </w:tr>
      <w:tr>
        <w:trPr>
          <w:trHeight w:val="202"/>
        </w:trPr>
        <w:tc>
          <w:tcPr>
            <w:tcW w:w="5000" w:type="dxa"/>
            <w:vAlign w:val="bottom"/>
          </w:tcPr>
          <w:p>
            <w:pPr>
              <w:spacing w:after="0"/>
              <w:rPr>
                <w:sz w:val="17"/>
                <w:szCs w:val="17"/>
                <w:color w:val="auto"/>
              </w:rPr>
            </w:pPr>
          </w:p>
        </w:tc>
        <w:tc>
          <w:tcPr>
            <w:tcW w:w="1920" w:type="dxa"/>
            <w:vAlign w:val="bottom"/>
            <w:gridSpan w:val="3"/>
          </w:tcPr>
          <w:p>
            <w:pPr>
              <w:jc w:val="right"/>
              <w:ind w:right="322"/>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20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7"/>
              </w:rPr>
              <w:t>March 31,</w:t>
            </w:r>
          </w:p>
        </w:tc>
      </w:tr>
      <w:tr>
        <w:trPr>
          <w:trHeight w:val="197"/>
        </w:trPr>
        <w:tc>
          <w:tcPr>
            <w:tcW w:w="50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r>
      <w:tr>
        <w:trPr>
          <w:trHeight w:val="193"/>
        </w:trPr>
        <w:tc>
          <w:tcPr>
            <w:tcW w:w="5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6"/>
              </w:rPr>
              <w:t>(unaudited)</w:t>
            </w:r>
          </w:p>
        </w:tc>
      </w:tr>
      <w:tr>
        <w:trPr>
          <w:trHeight w:val="181"/>
        </w:trPr>
        <w:tc>
          <w:tcPr>
            <w:tcW w:w="5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Options to purchase common shares</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1,583,691</w:t>
            </w:r>
          </w:p>
        </w:tc>
        <w:tc>
          <w:tcPr>
            <w:tcW w:w="10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3,123,064</w:t>
            </w:r>
          </w:p>
        </w:tc>
        <w:tc>
          <w:tcPr>
            <w:tcW w:w="10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1,622,850</w:t>
            </w:r>
          </w:p>
        </w:tc>
        <w:tc>
          <w:tcPr>
            <w:tcW w:w="10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4,702,190</w:t>
            </w:r>
          </w:p>
        </w:tc>
        <w:tc>
          <w:tcPr>
            <w:tcW w:w="140" w:type="dxa"/>
            <w:vAlign w:val="bottom"/>
            <w:shd w:val="clear" w:color="auto" w:fill="CCEEFF"/>
          </w:tcPr>
          <w:p>
            <w:pPr>
              <w:spacing w:after="0"/>
              <w:rPr>
                <w:sz w:val="15"/>
                <w:szCs w:val="15"/>
                <w:color w:val="auto"/>
              </w:rPr>
            </w:pPr>
          </w:p>
        </w:tc>
      </w:tr>
      <w:tr>
        <w:trPr>
          <w:trHeight w:val="181"/>
        </w:trPr>
        <w:tc>
          <w:tcPr>
            <w:tcW w:w="5000" w:type="dxa"/>
            <w:vAlign w:val="bottom"/>
          </w:tcPr>
          <w:p>
            <w:pPr>
              <w:spacing w:after="0" w:line="181" w:lineRule="exact"/>
              <w:rPr>
                <w:sz w:val="20"/>
                <w:szCs w:val="20"/>
                <w:color w:val="auto"/>
              </w:rPr>
            </w:pPr>
            <w:r>
              <w:rPr>
                <w:rFonts w:ascii="Arial" w:cs="Arial" w:eastAsia="Arial" w:hAnsi="Arial"/>
                <w:sz w:val="16"/>
                <w:szCs w:val="16"/>
                <w:color w:val="auto"/>
              </w:rPr>
              <w:t>Unvested restricted shares</w:t>
            </w: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3,018,229</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1,947,724</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2,750,603</w:t>
            </w: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1,680,098</w:t>
            </w:r>
          </w:p>
        </w:tc>
        <w:tc>
          <w:tcPr>
            <w:tcW w:w="140" w:type="dxa"/>
            <w:vAlign w:val="bottom"/>
          </w:tcPr>
          <w:p>
            <w:pPr>
              <w:spacing w:after="0"/>
              <w:rPr>
                <w:sz w:val="15"/>
                <w:szCs w:val="15"/>
                <w:color w:val="auto"/>
              </w:rPr>
            </w:pPr>
          </w:p>
        </w:tc>
      </w:tr>
      <w:tr>
        <w:trPr>
          <w:trHeight w:val="181"/>
        </w:trPr>
        <w:tc>
          <w:tcPr>
            <w:tcW w:w="5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Convertible preferred shares (as converted to common shares)</w:t>
            </w: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17,128,120</w:t>
            </w:r>
          </w:p>
        </w:tc>
        <w:tc>
          <w:tcPr>
            <w:tcW w:w="1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22,885,492</w:t>
            </w:r>
          </w:p>
        </w:tc>
        <w:tc>
          <w:tcPr>
            <w:tcW w:w="1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22,885,492</w:t>
            </w:r>
          </w:p>
        </w:tc>
        <w:tc>
          <w:tcPr>
            <w:tcW w:w="1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35,670,093</w:t>
            </w:r>
          </w:p>
        </w:tc>
        <w:tc>
          <w:tcPr>
            <w:tcW w:w="140" w:type="dxa"/>
            <w:vAlign w:val="bottom"/>
            <w:shd w:val="clear" w:color="auto" w:fill="CCEEFF"/>
          </w:tcPr>
          <w:p>
            <w:pPr>
              <w:spacing w:after="0"/>
              <w:rPr>
                <w:sz w:val="15"/>
                <w:szCs w:val="15"/>
                <w:color w:val="auto"/>
              </w:rPr>
            </w:pPr>
          </w:p>
        </w:tc>
      </w:tr>
      <w:tr>
        <w:trPr>
          <w:trHeight w:val="185"/>
        </w:trPr>
        <w:tc>
          <w:tcPr>
            <w:tcW w:w="50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21,730,040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27,956,280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27,258,945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42,052,381</w:t>
            </w:r>
          </w:p>
        </w:tc>
        <w:tc>
          <w:tcPr>
            <w:tcW w:w="140" w:type="dxa"/>
            <w:vAlign w:val="bottom"/>
          </w:tcPr>
          <w:p>
            <w:pPr>
              <w:spacing w:after="0"/>
              <w:rPr>
                <w:sz w:val="16"/>
                <w:szCs w:val="16"/>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Unaudited Pro Forma Net Loss per Share</w:t>
      </w:r>
    </w:p>
    <w:p>
      <w:pPr>
        <w:spacing w:after="0" w:line="208" w:lineRule="exact"/>
        <w:rPr>
          <w:sz w:val="20"/>
          <w:szCs w:val="20"/>
          <w:color w:val="auto"/>
        </w:rPr>
      </w:pPr>
    </w:p>
    <w:p>
      <w:pPr>
        <w:ind w:right="480" w:firstLine="433"/>
        <w:spacing w:after="0" w:line="241" w:lineRule="auto"/>
        <w:rPr>
          <w:sz w:val="20"/>
          <w:szCs w:val="20"/>
          <w:color w:val="auto"/>
        </w:rPr>
      </w:pPr>
      <w:r>
        <w:rPr>
          <w:rFonts w:ascii="Arial" w:cs="Arial" w:eastAsia="Arial" w:hAnsi="Arial"/>
          <w:sz w:val="16"/>
          <w:szCs w:val="16"/>
          <w:color w:val="auto"/>
        </w:rPr>
        <w:t>The unaudited pro forma basic and diluted net loss per share attributable to common shareholders for the year ended December 31, 2017 and the three months ended March 31, 2018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58" w:name="page259"/>
    <w:bookmarkEnd w:id="2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 and Unaudited Pro Forma Net Loss per Share (Continued)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have been prepared to give effect to adjustments arising upon the closing of a qualified initial public offering.</w:t>
      </w:r>
    </w:p>
    <w:p>
      <w:pPr>
        <w:spacing w:after="0" w:line="190" w:lineRule="exact"/>
        <w:rPr>
          <w:sz w:val="20"/>
          <w:szCs w:val="20"/>
          <w:color w:val="auto"/>
        </w:rPr>
      </w:pPr>
    </w:p>
    <w:p>
      <w:pPr>
        <w:ind w:right="40" w:firstLine="433"/>
        <w:spacing w:after="0" w:line="237" w:lineRule="auto"/>
        <w:rPr>
          <w:sz w:val="20"/>
          <w:szCs w:val="20"/>
          <w:color w:val="auto"/>
        </w:rPr>
      </w:pPr>
      <w:r>
        <w:rPr>
          <w:rFonts w:ascii="Arial" w:cs="Arial" w:eastAsia="Arial" w:hAnsi="Arial"/>
          <w:sz w:val="16"/>
          <w:szCs w:val="16"/>
          <w:color w:val="auto"/>
        </w:rPr>
        <w:t>The unaudited pro forma basic and diluted weighted average common shares outstanding used in the calculation of unaudited pro forma basic and diluted net loss per share attributable to common shareholders for the year ended December 31, 2017 and the three months ended March 31, 2018 have been prepared to give effect, upon a qualified initial public offering, to the automatic conversion of (i) all outstanding Series A preferred shares into Class B common shares and Class B1 common shares and (ii) all outstanding Series B and Series C preferred shares into Class A common shares and Class A1 common shares as if the proposed initial public offering had occurred on the later of January 1, 2017 or the issuance date of the Preferred Shares.</w:t>
      </w:r>
    </w:p>
    <w:p>
      <w:pPr>
        <w:spacing w:after="0" w:line="189" w:lineRule="exact"/>
        <w:rPr>
          <w:sz w:val="20"/>
          <w:szCs w:val="20"/>
          <w:color w:val="auto"/>
        </w:rPr>
      </w:pPr>
    </w:p>
    <w:p>
      <w:pPr>
        <w:ind w:right="140" w:firstLine="433"/>
        <w:spacing w:after="0" w:line="238" w:lineRule="auto"/>
        <w:rPr>
          <w:sz w:val="20"/>
          <w:szCs w:val="20"/>
          <w:color w:val="auto"/>
        </w:rPr>
      </w:pPr>
      <w:r>
        <w:rPr>
          <w:rFonts w:ascii="Arial" w:cs="Arial" w:eastAsia="Arial" w:hAnsi="Arial"/>
          <w:sz w:val="16"/>
          <w:szCs w:val="16"/>
          <w:color w:val="auto"/>
        </w:rPr>
        <w:t>The rights, including the liquidation and dividend rights, of the holders of Class A, Class A1, Class B and Class B1 common shares are identical, except with respect to voting rights. As the liquidation and dividend rights are identical, losses are allocated on a proportionate basis and the resulting unaudited pro forma net loss per share attributed to common shareholders will, therefore, be the same for both Class A, Class A1, Class B and Class B1 common shares on an individual or combined basis.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Unaudited pro forma basic and diluted net loss per share attributable to common shareholders was calculated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3"/>
          </w:tcPr>
          <w:p>
            <w:pPr>
              <w:jc w:val="center"/>
              <w:ind w:right="1300"/>
              <w:spacing w:after="0"/>
              <w:rPr>
                <w:sz w:val="20"/>
                <w:szCs w:val="20"/>
                <w:color w:val="auto"/>
              </w:rPr>
            </w:pPr>
            <w:r>
              <w:rPr>
                <w:rFonts w:ascii="Arial" w:cs="Arial" w:eastAsia="Arial" w:hAnsi="Arial"/>
                <w:sz w:val="16"/>
                <w:szCs w:val="16"/>
                <w:b w:val="1"/>
                <w:bCs w:val="1"/>
                <w:color w:val="auto"/>
                <w:w w:val="97"/>
              </w:rPr>
              <w:t>Three Months</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w w:val="97"/>
              </w:rPr>
              <w:t>Year Ended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3"/>
          </w:tcPr>
          <w:p>
            <w:pPr>
              <w:jc w:val="center"/>
              <w:ind w:right="1300"/>
              <w:spacing w:after="0" w:line="181" w:lineRule="exact"/>
              <w:rPr>
                <w:sz w:val="20"/>
                <w:szCs w:val="20"/>
                <w:color w:val="auto"/>
              </w:rPr>
            </w:pPr>
            <w:r>
              <w:rPr>
                <w:rFonts w:ascii="Arial" w:cs="Arial" w:eastAsia="Arial" w:hAnsi="Arial"/>
                <w:sz w:val="16"/>
                <w:szCs w:val="16"/>
                <w:b w:val="1"/>
                <w:bCs w:val="1"/>
                <w:color w:val="auto"/>
                <w:w w:val="93"/>
              </w:rPr>
              <w:t>Ended</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w w:val="97"/>
              </w:rPr>
              <w:t>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3"/>
          </w:tcPr>
          <w:p>
            <w:pPr>
              <w:jc w:val="center"/>
              <w:ind w:right="1300"/>
              <w:spacing w:after="0" w:line="181" w:lineRule="exact"/>
              <w:rPr>
                <w:sz w:val="20"/>
                <w:szCs w:val="20"/>
                <w:color w:val="auto"/>
              </w:rPr>
            </w:pPr>
            <w:r>
              <w:rPr>
                <w:rFonts w:ascii="Arial" w:cs="Arial" w:eastAsia="Arial" w:hAnsi="Arial"/>
                <w:sz w:val="16"/>
                <w:szCs w:val="16"/>
                <w:b w:val="1"/>
                <w:bCs w:val="1"/>
                <w:color w:val="auto"/>
              </w:rPr>
              <w:t>March 21,</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7"/>
          </w:tcPr>
          <w:p>
            <w:pPr>
              <w:ind w:left="76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Numerator:</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420" w:type="dxa"/>
            <w:vAlign w:val="bottom"/>
          </w:tcPr>
          <w:p>
            <w:pPr>
              <w:ind w:left="320"/>
              <w:spacing w:after="0" w:line="181" w:lineRule="exact"/>
              <w:rPr>
                <w:sz w:val="20"/>
                <w:szCs w:val="20"/>
                <w:color w:val="auto"/>
              </w:rPr>
            </w:pPr>
            <w:r>
              <w:rPr>
                <w:rFonts w:ascii="Arial" w:cs="Arial" w:eastAsia="Arial" w:hAnsi="Arial"/>
                <w:sz w:val="16"/>
                <w:szCs w:val="16"/>
                <w:color w:val="auto"/>
              </w:rPr>
              <w:t>Net loss attributable to common shareholders</w:t>
            </w:r>
          </w:p>
        </w:tc>
        <w:tc>
          <w:tcPr>
            <w:tcW w:w="2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(64,873)</w:t>
            </w:r>
          </w:p>
        </w:tc>
        <w:tc>
          <w:tcPr>
            <w:tcW w:w="1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(15,982)</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6420" w:type="dxa"/>
            <w:vAlign w:val="bottom"/>
            <w:shd w:val="clear" w:color="auto" w:fill="CCEEFF"/>
          </w:tcPr>
          <w:p>
            <w:pPr>
              <w:spacing w:after="0" w:line="157" w:lineRule="exact"/>
              <w:rPr>
                <w:sz w:val="20"/>
                <w:szCs w:val="20"/>
                <w:color w:val="auto"/>
              </w:rPr>
            </w:pPr>
            <w:r>
              <w:rPr>
                <w:rFonts w:ascii="Arial" w:cs="Arial" w:eastAsia="Arial" w:hAnsi="Arial"/>
                <w:sz w:val="16"/>
                <w:szCs w:val="16"/>
                <w:color w:val="auto"/>
              </w:rPr>
              <w:t>Denominator:</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420" w:type="dxa"/>
            <w:vAlign w:val="bottom"/>
          </w:tcPr>
          <w:p>
            <w:pPr>
              <w:ind w:left="160"/>
              <w:spacing w:after="0" w:line="181" w:lineRule="exact"/>
              <w:rPr>
                <w:sz w:val="20"/>
                <w:szCs w:val="20"/>
                <w:color w:val="auto"/>
              </w:rPr>
            </w:pPr>
            <w:r>
              <w:rPr>
                <w:rFonts w:ascii="Arial" w:cs="Arial" w:eastAsia="Arial" w:hAnsi="Arial"/>
                <w:sz w:val="16"/>
                <w:szCs w:val="16"/>
                <w:color w:val="auto"/>
              </w:rPr>
              <w:t>Weighted average common shares outstanding — basic and diluted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1,809,751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2,478,903</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Pro forma adjustment to reflect assumed automatic conversion of Preferred Shares upon</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642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the closing of the proposed initial public offering</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21,828,659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29,988,048</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6420" w:type="dxa"/>
            <w:vAlign w:val="bottom"/>
          </w:tcPr>
          <w:p>
            <w:pPr>
              <w:ind w:left="320"/>
              <w:spacing w:after="0" w:line="173" w:lineRule="exact"/>
              <w:rPr>
                <w:sz w:val="20"/>
                <w:szCs w:val="20"/>
                <w:color w:val="auto"/>
              </w:rPr>
            </w:pPr>
            <w:r>
              <w:rPr>
                <w:rFonts w:ascii="Arial" w:cs="Arial" w:eastAsia="Arial" w:hAnsi="Arial"/>
                <w:sz w:val="16"/>
                <w:szCs w:val="16"/>
                <w:color w:val="auto"/>
              </w:rPr>
              <w:t>Pro forma weighted average common shares outstanding — basic and diluted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23,638,410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32,466,951</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140" w:type="dxa"/>
            <w:vAlign w:val="bottom"/>
          </w:tcPr>
          <w:p>
            <w:pPr>
              <w:spacing w:after="0"/>
              <w:rPr>
                <w:sz w:val="13"/>
                <w:szCs w:val="13"/>
                <w:color w:val="auto"/>
              </w:rPr>
            </w:pPr>
          </w:p>
        </w:tc>
        <w:tc>
          <w:tcPr>
            <w:tcW w:w="6420" w:type="dxa"/>
            <w:vAlign w:val="bottom"/>
            <w:shd w:val="clear" w:color="auto" w:fill="CCEEFF"/>
          </w:tcPr>
          <w:p>
            <w:pPr>
              <w:spacing w:after="0" w:line="157" w:lineRule="exact"/>
              <w:rPr>
                <w:sz w:val="20"/>
                <w:szCs w:val="20"/>
                <w:color w:val="auto"/>
              </w:rPr>
            </w:pPr>
            <w:r>
              <w:rPr>
                <w:rFonts w:ascii="Arial" w:cs="Arial" w:eastAsia="Arial" w:hAnsi="Arial"/>
                <w:sz w:val="16"/>
                <w:szCs w:val="16"/>
                <w:color w:val="auto"/>
              </w:rPr>
              <w:t>Pro forma net loss per share attributable to common shareholders — basic and diluted</w:t>
            </w:r>
          </w:p>
        </w:tc>
        <w:tc>
          <w:tcPr>
            <w:tcW w:w="2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6"/>
                <w:szCs w:val="16"/>
                <w:color w:val="auto"/>
              </w:rPr>
              <w:t>(2.74)</w:t>
            </w:r>
          </w:p>
        </w:tc>
        <w:tc>
          <w:tcPr>
            <w:tcW w:w="1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6"/>
                <w:szCs w:val="16"/>
                <w:color w:val="auto"/>
              </w:rPr>
              <w:t>(0.49)</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20" w:type="dxa"/>
            <w:vAlign w:val="bottom"/>
            <w:vMerge w:val="restart"/>
          </w:tcPr>
          <w:p>
            <w:pPr>
              <w:ind w:left="4420"/>
              <w:spacing w:after="0"/>
              <w:rPr>
                <w:sz w:val="20"/>
                <w:szCs w:val="20"/>
                <w:color w:val="auto"/>
              </w:rPr>
            </w:pPr>
            <w:r>
              <w:rPr>
                <w:rFonts w:ascii="Arial" w:cs="Arial" w:eastAsia="Arial" w:hAnsi="Arial"/>
                <w:sz w:val="16"/>
                <w:szCs w:val="16"/>
                <w:color w:val="auto"/>
              </w:rPr>
              <w:t>F-39</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4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40" w:type="dxa"/>
            <w:vAlign w:val="bottom"/>
            <w:tcBorders>
              <w:bottom w:val="single" w:sz="8" w:color="808080"/>
            </w:tcBorders>
          </w:tcPr>
          <w:p>
            <w:pPr>
              <w:spacing w:after="0"/>
              <w:rPr>
                <w:sz w:val="16"/>
                <w:szCs w:val="16"/>
                <w:color w:val="auto"/>
              </w:rPr>
            </w:pPr>
          </w:p>
        </w:tc>
        <w:tc>
          <w:tcPr>
            <w:tcW w:w="64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59" w:name="page260"/>
    <w:bookmarkEnd w:id="259"/>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8640" w:hanging="484"/>
        <w:spacing w:after="0" w:line="534" w:lineRule="auto"/>
        <w:tabs>
          <w:tab w:leader="none" w:pos="263"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Lease Agreements</w:t>
      </w:r>
    </w:p>
    <w:p>
      <w:pPr>
        <w:ind w:left="4" w:right="20" w:firstLine="436"/>
        <w:spacing w:after="0" w:line="237" w:lineRule="auto"/>
        <w:rPr>
          <w:sz w:val="20"/>
          <w:szCs w:val="20"/>
          <w:color w:val="auto"/>
        </w:rPr>
      </w:pPr>
      <w:r>
        <w:rPr>
          <w:rFonts w:ascii="Arial" w:cs="Arial" w:eastAsia="Arial" w:hAnsi="Arial"/>
          <w:sz w:val="16"/>
          <w:szCs w:val="16"/>
          <w:color w:val="auto"/>
        </w:rPr>
        <w:t>On July 24, 2015, Kiniksa US entered into an operating lease in Wellesley Hills, Massachusetts for office space that comprises the headquarters for Kiniksa US. In March 2016, effective August 1, 2016, Kiniksa US entered into an expansion and extension on its lease, which expanded its leased space to a total of 10,800 square feet. On March 31, 2017, Kiniksa US renewed this lease and extended the lease term to August 2018. Monthly lease payments, inclusive of base rent and ancillary charges, total $27. As of December 31, 2017 future minimum lease payments under non-cancelable operating lease commitments, which are all due during the year ending December 31, 2018, totaled $270.</w:t>
      </w:r>
    </w:p>
    <w:p>
      <w:pPr>
        <w:spacing w:after="0" w:line="189" w:lineRule="exact"/>
        <w:rPr>
          <w:sz w:val="20"/>
          <w:szCs w:val="20"/>
          <w:color w:val="auto"/>
        </w:rPr>
      </w:pPr>
    </w:p>
    <w:p>
      <w:pPr>
        <w:ind w:left="4" w:right="60" w:firstLine="436"/>
        <w:spacing w:after="0" w:line="238" w:lineRule="auto"/>
        <w:rPr>
          <w:sz w:val="20"/>
          <w:szCs w:val="20"/>
          <w:color w:val="auto"/>
        </w:rPr>
      </w:pPr>
      <w:r>
        <w:rPr>
          <w:rFonts w:ascii="Arial" w:cs="Arial" w:eastAsia="Arial" w:hAnsi="Arial"/>
          <w:sz w:val="16"/>
          <w:szCs w:val="16"/>
          <w:color w:val="auto"/>
        </w:rPr>
        <w:t>On March 13, 2018, Kiniksa US entered into an operating lease in Lexington, Massachusetts for office and laboratory space that comprises the new headquarters for Kiniksa US. The lease expires on July 31, 2021. Upon execution of the lease, the Company made a prepayment of $67 for August 2018 base rent. Monthly lease payments begin in September 2018 and include base rent of $67 as well as, ancillary charges such as the share of operating expenses and real estate taxes.</w:t>
      </w:r>
    </w:p>
    <w:p>
      <w:pPr>
        <w:spacing w:after="0" w:line="184" w:lineRule="exact"/>
        <w:rPr>
          <w:sz w:val="20"/>
          <w:szCs w:val="20"/>
          <w:color w:val="auto"/>
        </w:rPr>
      </w:pPr>
    </w:p>
    <w:p>
      <w:pPr>
        <w:ind w:left="424"/>
        <w:spacing w:after="0"/>
        <w:rPr>
          <w:sz w:val="20"/>
          <w:szCs w:val="20"/>
          <w:color w:val="auto"/>
        </w:rPr>
      </w:pPr>
      <w:r>
        <w:rPr>
          <w:rFonts w:ascii="Arial" w:cs="Arial" w:eastAsia="Arial" w:hAnsi="Arial"/>
          <w:sz w:val="16"/>
          <w:szCs w:val="16"/>
          <w:color w:val="auto"/>
        </w:rPr>
        <w:t>The following table summarizes the future minimum lease payments under non-cancelable operating lease commitments, for the Lexington office, as of</w:t>
      </w:r>
    </w:p>
    <w:p>
      <w:pPr>
        <w:ind w:left="4"/>
        <w:spacing w:after="0"/>
        <w:rPr>
          <w:sz w:val="20"/>
          <w:szCs w:val="20"/>
          <w:color w:val="auto"/>
        </w:rPr>
      </w:pPr>
      <w:r>
        <w:rPr>
          <w:rFonts w:ascii="Arial" w:cs="Arial" w:eastAsia="Arial" w:hAnsi="Arial"/>
          <w:sz w:val="16"/>
          <w:szCs w:val="16"/>
          <w:color w:val="auto"/>
        </w:rPr>
        <w:t>March 31, 2018 (unaudited):</w:t>
      </w:r>
    </w:p>
    <w:p>
      <w:pPr>
        <w:spacing w:after="0" w:line="175" w:lineRule="exact"/>
        <w:rPr>
          <w:sz w:val="20"/>
          <w:szCs w:val="20"/>
          <w:color w:val="auto"/>
        </w:rPr>
      </w:pPr>
    </w:p>
    <w:tbl>
      <w:tblPr>
        <w:tblLayout w:type="fixed"/>
        <w:tblInd w:w="1704" w:type="dxa"/>
        <w:tblCellMar>
          <w:top w:w="0" w:type="dxa"/>
          <w:left w:w="0" w:type="dxa"/>
          <w:bottom w:w="0" w:type="dxa"/>
          <w:right w:w="0" w:type="dxa"/>
        </w:tblCellMar>
      </w:tblPr>
      <w:tr>
        <w:trPr>
          <w:trHeight w:val="161"/>
        </w:trPr>
        <w:tc>
          <w:tcPr>
            <w:tcW w:w="694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1"/>
        </w:trPr>
        <w:tc>
          <w:tcPr>
            <w:tcW w:w="1620" w:type="dxa"/>
            <w:vAlign w:val="bottom"/>
            <w:tcBorders>
              <w:top w:val="single" w:sz="8" w:color="auto"/>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2018</w:t>
            </w:r>
          </w:p>
        </w:tc>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2"/>
              <w:spacing w:after="0" w:line="181" w:lineRule="exact"/>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267</w:t>
            </w:r>
          </w:p>
        </w:tc>
      </w:tr>
      <w:tr>
        <w:trPr>
          <w:trHeight w:val="181"/>
        </w:trPr>
        <w:tc>
          <w:tcPr>
            <w:tcW w:w="1620" w:type="dxa"/>
            <w:vAlign w:val="bottom"/>
          </w:tcPr>
          <w:p>
            <w:pPr>
              <w:ind w:left="20"/>
              <w:spacing w:after="0" w:line="181" w:lineRule="exact"/>
              <w:rPr>
                <w:sz w:val="20"/>
                <w:szCs w:val="20"/>
                <w:color w:val="auto"/>
              </w:rPr>
            </w:pPr>
            <w:r>
              <w:rPr>
                <w:rFonts w:ascii="Arial" w:cs="Arial" w:eastAsia="Arial" w:hAnsi="Arial"/>
                <w:sz w:val="16"/>
                <w:szCs w:val="16"/>
                <w:color w:val="auto"/>
              </w:rPr>
              <w:t>2019</w:t>
            </w:r>
          </w:p>
        </w:tc>
        <w:tc>
          <w:tcPr>
            <w:tcW w:w="5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802</w:t>
            </w:r>
          </w:p>
        </w:tc>
      </w:tr>
      <w:tr>
        <w:trPr>
          <w:trHeight w:val="181"/>
        </w:trPr>
        <w:tc>
          <w:tcPr>
            <w:tcW w:w="16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2020</w:t>
            </w:r>
          </w:p>
        </w:tc>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802</w:t>
            </w:r>
          </w:p>
        </w:tc>
      </w:tr>
      <w:tr>
        <w:trPr>
          <w:trHeight w:val="181"/>
        </w:trPr>
        <w:tc>
          <w:tcPr>
            <w:tcW w:w="1620" w:type="dxa"/>
            <w:vAlign w:val="bottom"/>
          </w:tcPr>
          <w:p>
            <w:pPr>
              <w:ind w:left="20"/>
              <w:spacing w:after="0" w:line="181" w:lineRule="exact"/>
              <w:rPr>
                <w:sz w:val="20"/>
                <w:szCs w:val="20"/>
                <w:color w:val="auto"/>
              </w:rPr>
            </w:pPr>
            <w:r>
              <w:rPr>
                <w:rFonts w:ascii="Arial" w:cs="Arial" w:eastAsia="Arial" w:hAnsi="Arial"/>
                <w:sz w:val="16"/>
                <w:szCs w:val="16"/>
                <w:color w:val="auto"/>
              </w:rPr>
              <w:t>2021</w:t>
            </w:r>
          </w:p>
        </w:tc>
        <w:tc>
          <w:tcPr>
            <w:tcW w:w="5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468</w:t>
            </w:r>
          </w:p>
        </w:tc>
      </w:tr>
      <w:tr>
        <w:trPr>
          <w:trHeight w:val="20"/>
        </w:trPr>
        <w:tc>
          <w:tcPr>
            <w:tcW w:w="16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5"/>
        </w:trPr>
        <w:tc>
          <w:tcPr>
            <w:tcW w:w="1620" w:type="dxa"/>
            <w:vAlign w:val="bottom"/>
            <w:shd w:val="clear" w:color="auto" w:fill="CCEEFF"/>
          </w:tcPr>
          <w:p>
            <w:pPr>
              <w:spacing w:after="0"/>
              <w:rPr>
                <w:sz w:val="16"/>
                <w:szCs w:val="16"/>
                <w:color w:val="auto"/>
              </w:rPr>
            </w:pPr>
          </w:p>
        </w:tc>
        <w:tc>
          <w:tcPr>
            <w:tcW w:w="53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2,339</w:t>
            </w:r>
          </w:p>
        </w:tc>
      </w:tr>
      <w:tr>
        <w:trPr>
          <w:trHeight w:val="20"/>
        </w:trPr>
        <w:tc>
          <w:tcPr>
            <w:tcW w:w="16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 w:firstLine="433"/>
        <w:spacing w:after="0" w:line="239" w:lineRule="auto"/>
        <w:rPr>
          <w:sz w:val="20"/>
          <w:szCs w:val="20"/>
          <w:color w:val="auto"/>
        </w:rPr>
      </w:pPr>
      <w:r>
        <w:rPr>
          <w:rFonts w:ascii="Arial" w:cs="Arial" w:eastAsia="Arial" w:hAnsi="Arial"/>
          <w:sz w:val="16"/>
          <w:szCs w:val="16"/>
          <w:color w:val="auto"/>
        </w:rPr>
        <w:t>The Company recognizes rent expense on a straight-line basis over the respective lease period and has recorded deferred rent for rent expense incurred but not yet paid. The Company recorded rent expense of $286, $402, $100 and $130 during the years ended December 31, 2016 and 2017 and the three months ended March 31, 2017 and 2018 (unaudited), respectively.</w:t>
      </w:r>
    </w:p>
    <w:p>
      <w:pPr>
        <w:spacing w:after="0" w:line="168"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License Agreements</w:t>
      </w:r>
    </w:p>
    <w:p>
      <w:pPr>
        <w:spacing w:after="0" w:line="208" w:lineRule="exact"/>
        <w:rPr>
          <w:sz w:val="20"/>
          <w:szCs w:val="20"/>
          <w:color w:val="auto"/>
        </w:rPr>
      </w:pPr>
    </w:p>
    <w:p>
      <w:pPr>
        <w:ind w:left="4" w:right="360" w:firstLine="433"/>
        <w:spacing w:after="0" w:line="241" w:lineRule="auto"/>
        <w:rPr>
          <w:sz w:val="20"/>
          <w:szCs w:val="20"/>
          <w:color w:val="auto"/>
        </w:rPr>
      </w:pPr>
      <w:r>
        <w:rPr>
          <w:rFonts w:ascii="Arial" w:cs="Arial" w:eastAsia="Arial" w:hAnsi="Arial"/>
          <w:sz w:val="16"/>
          <w:szCs w:val="16"/>
          <w:color w:val="auto"/>
        </w:rPr>
        <w:t>The Company has entered into license agreements with various parties under which it is obligated to make contingent and non-contingent payments (see Note 9).</w:t>
      </w:r>
    </w:p>
    <w:p>
      <w:pPr>
        <w:spacing w:after="0" w:line="167"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Manufacturing Commitments</w:t>
      </w:r>
    </w:p>
    <w:p>
      <w:pPr>
        <w:spacing w:after="0" w:line="208" w:lineRule="exact"/>
        <w:rPr>
          <w:sz w:val="20"/>
          <w:szCs w:val="20"/>
          <w:color w:val="auto"/>
        </w:rPr>
      </w:pPr>
    </w:p>
    <w:p>
      <w:pPr>
        <w:ind w:left="4" w:right="40" w:firstLine="436"/>
        <w:spacing w:after="0" w:line="262" w:lineRule="auto"/>
        <w:rPr>
          <w:sz w:val="20"/>
          <w:szCs w:val="20"/>
          <w:color w:val="auto"/>
        </w:rPr>
      </w:pPr>
      <w:r>
        <w:rPr>
          <w:rFonts w:ascii="Arial" w:cs="Arial" w:eastAsia="Arial" w:hAnsi="Arial"/>
          <w:sz w:val="15"/>
          <w:szCs w:val="15"/>
          <w:color w:val="auto"/>
        </w:rPr>
        <w:t>During the year ended December 31, 2017 and three months ended March 31, 2018 (unaudited), the Company entered into agreements with several contract manufacturing organizations to provide pre-clinical and clinical trial materials. As of December 31, 2017 and March 31, 2018 (unaudited), the Company had non-cancelable purchase commitments under these agreements totaling $7,766 and $5,870, respectively, which are all due during the year ending December 31, 2018.</w:t>
      </w:r>
    </w:p>
    <w:p>
      <w:pPr>
        <w:spacing w:after="0" w:line="17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4"/>
          </w:cols>
          <w:pgMar w:left="236" w:top="142" w:right="259" w:bottom="1440" w:gutter="0" w:footer="0" w:header="0"/>
        </w:sectPr>
      </w:pPr>
    </w:p>
    <w:bookmarkStart w:id="260" w:name="page261"/>
    <w:bookmarkEnd w:id="260"/>
    <w:p>
      <w:pPr>
        <w:ind w:left="4"/>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03"/>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ind w:left="484" w:right="7640" w:hanging="484"/>
        <w:spacing w:after="0" w:line="500" w:lineRule="auto"/>
        <w:tabs>
          <w:tab w:leader="none" w:pos="263"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(Continued) </w:t>
      </w:r>
      <w:r>
        <w:rPr>
          <w:rFonts w:ascii="Arial" w:cs="Arial" w:eastAsia="Arial" w:hAnsi="Arial"/>
          <w:sz w:val="16"/>
          <w:szCs w:val="16"/>
          <w:b w:val="1"/>
          <w:bCs w:val="1"/>
          <w:i w:val="1"/>
          <w:iCs w:val="1"/>
          <w:color w:val="auto"/>
        </w:rPr>
        <w:t>Indemnification Agreements</w:t>
      </w:r>
    </w:p>
    <w:p>
      <w:pPr>
        <w:spacing w:after="0" w:line="1" w:lineRule="exact"/>
        <w:rPr>
          <w:sz w:val="20"/>
          <w:szCs w:val="20"/>
          <w:color w:val="auto"/>
        </w:rPr>
      </w:pPr>
    </w:p>
    <w:p>
      <w:pPr>
        <w:ind w:left="4" w:firstLine="436"/>
        <w:spacing w:after="0" w:line="237"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2016 or 2017.</w:t>
      </w:r>
    </w:p>
    <w:p>
      <w:pPr>
        <w:spacing w:after="0" w:line="169"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208" w:lineRule="exact"/>
        <w:rPr>
          <w:sz w:val="20"/>
          <w:szCs w:val="20"/>
          <w:color w:val="auto"/>
        </w:rPr>
      </w:pPr>
    </w:p>
    <w:p>
      <w:pPr>
        <w:ind w:left="424"/>
        <w:spacing w:after="0"/>
        <w:rPr>
          <w:sz w:val="20"/>
          <w:szCs w:val="20"/>
          <w:color w:val="auto"/>
        </w:rPr>
      </w:pPr>
      <w:r>
        <w:rPr>
          <w:rFonts w:ascii="Arial" w:cs="Arial" w:eastAsia="Arial" w:hAnsi="Arial"/>
          <w:sz w:val="16"/>
          <w:szCs w:val="16"/>
          <w:color w:val="auto"/>
        </w:rPr>
        <w:t>The Company is not a party to any litigation and does not have contingency reserves established for any litigation liabilities.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13. Benefit Plans</w:t>
      </w:r>
    </w:p>
    <w:p>
      <w:pPr>
        <w:spacing w:after="0" w:line="210" w:lineRule="exact"/>
        <w:rPr>
          <w:sz w:val="20"/>
          <w:szCs w:val="20"/>
          <w:color w:val="auto"/>
        </w:rPr>
      </w:pPr>
    </w:p>
    <w:p>
      <w:pPr>
        <w:ind w:left="4" w:firstLine="433"/>
        <w:spacing w:after="0" w:line="237" w:lineRule="auto"/>
        <w:rPr>
          <w:sz w:val="20"/>
          <w:szCs w:val="20"/>
          <w:color w:val="auto"/>
        </w:rPr>
      </w:pPr>
      <w:r>
        <w:rPr>
          <w:rFonts w:ascii="Arial" w:cs="Arial" w:eastAsia="Arial" w:hAnsi="Arial"/>
          <w:sz w:val="16"/>
          <w:szCs w:val="16"/>
          <w:color w:val="auto"/>
        </w:rPr>
        <w:t>The Company has established a defined-contribution savings plan under Section 401(k) of the Internal Revenue Code. This plan covers substantially all employees who meet minimum age and service requirements and allows participants to defer a portion of their annual compensation on a pre-tax basis. The Company provides matching contributions of 100% of the first 3% of each participant's salary contributed, plus 50% for each of the next 2% contributed. Employees are immediately and fully vested in their own contributions and the Company's match. During the years ended December 31, 2016 and 2017 and the three months ended March 31, 2017 and 2018 (unaudited), the Company contributed $143, $264, $75 and $115, respectively, to the plan.</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14. Subsequent Events</w:t>
      </w:r>
    </w:p>
    <w:p>
      <w:pPr>
        <w:spacing w:after="0" w:line="210" w:lineRule="exact"/>
        <w:rPr>
          <w:sz w:val="20"/>
          <w:szCs w:val="20"/>
          <w:color w:val="auto"/>
        </w:rPr>
      </w:pPr>
    </w:p>
    <w:p>
      <w:pPr>
        <w:ind w:left="4" w:right="140" w:firstLine="436"/>
        <w:spacing w:after="0" w:line="273" w:lineRule="auto"/>
        <w:rPr>
          <w:sz w:val="20"/>
          <w:szCs w:val="20"/>
          <w:color w:val="auto"/>
        </w:rPr>
      </w:pPr>
      <w:r>
        <w:rPr>
          <w:rFonts w:ascii="Arial" w:cs="Arial" w:eastAsia="Arial" w:hAnsi="Arial"/>
          <w:sz w:val="15"/>
          <w:szCs w:val="15"/>
          <w:color w:val="auto"/>
        </w:rPr>
        <w:t>For its consolidated financial statements as of December 31, 2017 and for the year then ended, the Company evaluated subsequent events through February 27, 2018, the date on which those financial statements were issued, and, with respect to the reverse share split described below, through May 14, 2018.</w:t>
      </w:r>
    </w:p>
    <w:p>
      <w:pPr>
        <w:spacing w:after="0" w:line="144" w:lineRule="exact"/>
        <w:rPr>
          <w:sz w:val="20"/>
          <w:szCs w:val="20"/>
          <w:color w:val="auto"/>
        </w:rPr>
      </w:pPr>
    </w:p>
    <w:p>
      <w:pPr>
        <w:ind w:left="484"/>
        <w:spacing w:after="0"/>
        <w:rPr>
          <w:sz w:val="20"/>
          <w:szCs w:val="20"/>
          <w:color w:val="auto"/>
        </w:rPr>
      </w:pPr>
      <w:r>
        <w:rPr>
          <w:rFonts w:ascii="Arial" w:cs="Arial" w:eastAsia="Arial" w:hAnsi="Arial"/>
          <w:sz w:val="16"/>
          <w:szCs w:val="16"/>
          <w:b w:val="1"/>
          <w:bCs w:val="1"/>
          <w:i w:val="1"/>
          <w:iCs w:val="1"/>
          <w:color w:val="auto"/>
        </w:rPr>
        <w:t>Reverse Share Split</w:t>
      </w:r>
    </w:p>
    <w:p>
      <w:pPr>
        <w:spacing w:after="0" w:line="208" w:lineRule="exact"/>
        <w:rPr>
          <w:sz w:val="20"/>
          <w:szCs w:val="20"/>
          <w:color w:val="auto"/>
        </w:rPr>
      </w:pPr>
    </w:p>
    <w:p>
      <w:pPr>
        <w:ind w:left="4" w:right="80" w:firstLine="436"/>
        <w:spacing w:after="0" w:line="239" w:lineRule="auto"/>
        <w:rPr>
          <w:sz w:val="20"/>
          <w:szCs w:val="20"/>
          <w:color w:val="auto"/>
        </w:rPr>
      </w:pPr>
      <w:r>
        <w:rPr>
          <w:rFonts w:ascii="Arial" w:cs="Arial" w:eastAsia="Arial" w:hAnsi="Arial"/>
          <w:sz w:val="16"/>
          <w:szCs w:val="16"/>
          <w:color w:val="auto"/>
        </w:rPr>
        <w:t>On May 11, 2018, the Company effected a 1-for-2.73235 reverse share split of its authorized, designated, issued and outstanding common shares and Preferred Shares. Accordingly, all share and per share amounts for all periods presented in the accompanying consolidated financial statements and notes thereto have been adjusted retroactively, where applicable, to reflect this reverse share split.</w:t>
      </w:r>
    </w:p>
    <w:p>
      <w:pPr>
        <w:spacing w:after="0" w:line="186" w:lineRule="exact"/>
        <w:rPr>
          <w:sz w:val="20"/>
          <w:szCs w:val="20"/>
          <w:color w:val="auto"/>
        </w:rPr>
      </w:pPr>
    </w:p>
    <w:p>
      <w:pPr>
        <w:jc w:val="center"/>
        <w:ind w:right="-103"/>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266305" cy="20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24"/>
          </w:cols>
          <w:pgMar w:left="236" w:top="142" w:right="339" w:bottom="1440" w:gutter="0" w:footer="0" w:header="0"/>
        </w:sectPr>
      </w:pPr>
    </w:p>
    <w:bookmarkStart w:id="261" w:name="page262"/>
    <w:bookmarkEnd w:id="2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KINIKSA PHARMACEUTICALS, LTD.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Subsequent Events (Unaudited)</w:t>
      </w:r>
    </w:p>
    <w:p>
      <w:pPr>
        <w:spacing w:after="0" w:line="210" w:lineRule="exact"/>
        <w:rPr>
          <w:sz w:val="20"/>
          <w:szCs w:val="20"/>
          <w:color w:val="auto"/>
        </w:rPr>
      </w:pPr>
    </w:p>
    <w:p>
      <w:pPr>
        <w:ind w:right="360" w:firstLine="436"/>
        <w:spacing w:after="0" w:line="239" w:lineRule="auto"/>
        <w:rPr>
          <w:sz w:val="20"/>
          <w:szCs w:val="20"/>
          <w:color w:val="auto"/>
        </w:rPr>
      </w:pPr>
      <w:r>
        <w:rPr>
          <w:rFonts w:ascii="Arial" w:cs="Arial" w:eastAsia="Arial" w:hAnsi="Arial"/>
          <w:sz w:val="16"/>
          <w:szCs w:val="16"/>
          <w:color w:val="auto"/>
        </w:rPr>
        <w:t>For its interim consolidated financial statements as of March 31, 2018 and for the three months then ended, the Company evaluated subsequent events through April 27, 2018, the date on which those financial statements were issued, and, with respect to the reverse share split described above, through May 14, 2018.</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2018 Incentive Award Plan</w:t>
      </w:r>
    </w:p>
    <w:p>
      <w:pPr>
        <w:spacing w:after="0" w:line="208" w:lineRule="exact"/>
        <w:rPr>
          <w:sz w:val="20"/>
          <w:szCs w:val="20"/>
          <w:color w:val="auto"/>
        </w:rPr>
      </w:pPr>
    </w:p>
    <w:p>
      <w:pPr>
        <w:ind w:firstLine="436"/>
        <w:spacing w:after="0" w:line="236" w:lineRule="auto"/>
        <w:rPr>
          <w:sz w:val="20"/>
          <w:szCs w:val="20"/>
          <w:color w:val="auto"/>
        </w:rPr>
      </w:pPr>
      <w:r>
        <w:rPr>
          <w:rFonts w:ascii="Arial" w:cs="Arial" w:eastAsia="Arial" w:hAnsi="Arial"/>
          <w:sz w:val="16"/>
          <w:szCs w:val="16"/>
          <w:color w:val="auto"/>
        </w:rPr>
        <w:t>On May 11, 2018, the Company's board of directors and shareholders approved the 2018 Incentive Award Plan (the "2018 Plan"), which will become effective upon the date of the effectiveness of the registration statement for the Company's initial public offering. The 2018 Plan provides for the grant of incentive options, nonqualified options, share appreciation rights, restricted shares, dividend equivalents, restricted share units and other share- or cash-based awards. A total of 4,466,500 Class A common shares were initially reserved for issuance under the 2018 Plan. The number of Class A common shares that may be issued under the 2018 Plan will automatically increase on each January 1, beginning with the fiscal year ending December 31, 2019 and continuing for each fiscal year until, and including, the fiscal year ending December 31, 2028, equal to the lesser of (i) 4% of the Class A common shares outstanding (on an as-converted basis) on the final day of the immediately preceding calendar year and (ii) a smaller number of Class A common shares determined by the Company's board of directors. No more than 27,915,000 Class A common shares may be issued under the 2018 Plan upon the exercise of incentive options. The Class A common shares underlying any awards that expire, lapse unexercised or are terminated, exchanged for cash, surrendered, repurchased, canceled without having been fully exercised or forfeited under the 2018 Plan or the 2015 Plan will be added back to the Class A common shares available for issuance under the 2018 Plan.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2018 Employee Share Purchase Plan</w:t>
      </w:r>
    </w:p>
    <w:p>
      <w:pPr>
        <w:spacing w:after="0" w:line="208" w:lineRule="exact"/>
        <w:rPr>
          <w:sz w:val="20"/>
          <w:szCs w:val="20"/>
          <w:color w:val="auto"/>
        </w:rPr>
      </w:pPr>
    </w:p>
    <w:p>
      <w:pPr>
        <w:ind w:right="60" w:firstLine="436"/>
        <w:spacing w:after="0" w:line="237" w:lineRule="auto"/>
        <w:rPr>
          <w:sz w:val="20"/>
          <w:szCs w:val="20"/>
          <w:color w:val="auto"/>
        </w:rPr>
      </w:pPr>
      <w:r>
        <w:rPr>
          <w:rFonts w:ascii="Arial" w:cs="Arial" w:eastAsia="Arial" w:hAnsi="Arial"/>
          <w:sz w:val="16"/>
          <w:szCs w:val="16"/>
          <w:color w:val="auto"/>
        </w:rPr>
        <w:t>On May 11, 2018, the Company's board of directors and shareholders approved the 2018 Employee Share Purchase Plan (the "2018 ESPP"), which will become effective upon the date of the effectiveness of the registration statement for the Company's initial public offering. A total of 670,000 Class A common shares were initially reserved for issuance under the 2018 ESPP. The number of Class A common shares that may be issued under the 2018 ESPP will automatically increase on each January 1, beginning with the fiscal year ending December 31, 2019 and continuing for each fiscal year until, and including, the fiscal year ending December 31, 2028, equal to the lesser of (i) 1% of the Class A common shares outstanding (on an as-converted basis) on the final day of the immediately preceding calendar year and (ii) a smaller number of Class A common shares determined by the Company's board of directors, provided that no more than 6,420,000 Class A common shares may be issued under the 2018 ESPP.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62" w:name="page263"/>
    <w:bookmarkEnd w:id="2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356235</wp:posOffset>
            </wp:positionV>
            <wp:extent cx="726122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122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7,000,000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125095</wp:posOffset>
            </wp:positionV>
            <wp:extent cx="139382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93825" cy="7620"/>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1664335</wp:posOffset>
            </wp:positionV>
            <wp:extent cx="139382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93825" cy="7620"/>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477520</wp:posOffset>
            </wp:positionV>
            <wp:extent cx="1539875" cy="10648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39875" cy="106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Goldman, Sachs &amp; Co. LLC</w:t>
      </w:r>
    </w:p>
    <w:p>
      <w:pPr>
        <w:spacing w:after="0" w:line="2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J.P. Morgan</w:t>
      </w:r>
    </w:p>
    <w:p>
      <w:pPr>
        <w:jc w:val="center"/>
        <w:ind w:right="-239"/>
        <w:spacing w:after="0"/>
        <w:rPr>
          <w:sz w:val="20"/>
          <w:szCs w:val="20"/>
          <w:color w:val="auto"/>
        </w:rPr>
      </w:pPr>
      <w:r>
        <w:rPr>
          <w:rFonts w:ascii="Arial" w:cs="Arial" w:eastAsia="Arial" w:hAnsi="Arial"/>
          <w:sz w:val="22"/>
          <w:szCs w:val="22"/>
          <w:b w:val="1"/>
          <w:bCs w:val="1"/>
          <w:color w:val="auto"/>
        </w:rPr>
        <w:t>JMP Securities</w:t>
      </w:r>
    </w:p>
    <w:p>
      <w:pPr>
        <w:jc w:val="center"/>
        <w:ind w:right="-239"/>
        <w:spacing w:after="0"/>
        <w:rPr>
          <w:sz w:val="20"/>
          <w:szCs w:val="20"/>
          <w:color w:val="auto"/>
        </w:rPr>
      </w:pPr>
      <w:r>
        <w:rPr>
          <w:rFonts w:ascii="Arial" w:cs="Arial" w:eastAsia="Arial" w:hAnsi="Arial"/>
          <w:sz w:val="22"/>
          <w:szCs w:val="22"/>
          <w:b w:val="1"/>
          <w:bCs w:val="1"/>
          <w:color w:val="auto"/>
        </w:rPr>
        <w:t>Wedbush PacGrow</w:t>
      </w:r>
    </w:p>
    <w:p>
      <w:pPr>
        <w:spacing w:after="0" w:line="183" w:lineRule="exact"/>
        <w:rPr>
          <w:sz w:val="20"/>
          <w:szCs w:val="20"/>
          <w:color w:val="auto"/>
        </w:rPr>
      </w:pPr>
    </w:p>
    <w:p>
      <w:pPr>
        <w:ind w:firstLine="436"/>
        <w:spacing w:after="0" w:line="216" w:lineRule="auto"/>
        <w:rPr>
          <w:sz w:val="20"/>
          <w:szCs w:val="20"/>
          <w:color w:val="auto"/>
        </w:rPr>
      </w:pPr>
      <w:r>
        <w:rPr>
          <w:rFonts w:ascii="Arial" w:cs="Arial" w:eastAsia="Arial" w:hAnsi="Arial"/>
          <w:sz w:val="16"/>
          <w:szCs w:val="16"/>
          <w:b w:val="1"/>
          <w:bCs w:val="1"/>
          <w:color w:val="auto"/>
        </w:rPr>
        <w:t>Through and including , 2018 (the 25</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726122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132715</wp:posOffset>
            </wp:positionV>
            <wp:extent cx="7261225" cy="304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122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283845</wp:posOffset>
            </wp:positionV>
            <wp:extent cx="7266305" cy="20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263" w:name="page264"/>
    <w:bookmarkEnd w:id="2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178"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9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10" w:lineRule="exact"/>
        <w:rPr>
          <w:sz w:val="20"/>
          <w:szCs w:val="20"/>
          <w:color w:val="auto"/>
        </w:rPr>
      </w:pPr>
    </w:p>
    <w:p>
      <w:pPr>
        <w:ind w:right="420" w:firstLine="433"/>
        <w:spacing w:after="0" w:line="239" w:lineRule="auto"/>
        <w:rPr>
          <w:sz w:val="20"/>
          <w:szCs w:val="20"/>
          <w:color w:val="auto"/>
        </w:rPr>
      </w:pPr>
      <w:r>
        <w:rPr>
          <w:rFonts w:ascii="Arial" w:cs="Arial" w:eastAsia="Arial" w:hAnsi="Arial"/>
          <w:sz w:val="16"/>
          <w:szCs w:val="16"/>
          <w:color w:val="auto"/>
        </w:rPr>
        <w:t>The following table indicates the expenses to be incurred in connection with this offering described in this registration statement, other than underwriting discounts and commissions, all of which will be paid by us. All amounts are estimated except the SEC registration fee, the Financial Industry Regulatory Authority, Inc., or FINRA, filing fee and The Nasdaq Global Select Market fee.</w:t>
      </w:r>
    </w:p>
    <w:p>
      <w:pPr>
        <w:spacing w:after="0" w:line="178" w:lineRule="exact"/>
        <w:rPr>
          <w:sz w:val="20"/>
          <w:szCs w:val="20"/>
          <w:color w:val="auto"/>
        </w:rPr>
      </w:pPr>
    </w:p>
    <w:tbl>
      <w:tblPr>
        <w:tblLayout w:type="fixed"/>
        <w:tblInd w:w="1700" w:type="dxa"/>
        <w:tblCellMar>
          <w:top w:w="0" w:type="dxa"/>
          <w:left w:w="0" w:type="dxa"/>
          <w:bottom w:w="0" w:type="dxa"/>
          <w:right w:w="0" w:type="dxa"/>
        </w:tblCellMar>
      </w:tblPr>
      <w:tr>
        <w:trPr>
          <w:trHeight w:val="202"/>
        </w:trPr>
        <w:tc>
          <w:tcPr>
            <w:tcW w:w="6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r>
      <w:tr>
        <w:trPr>
          <w:trHeight w:val="181"/>
        </w:trPr>
        <w:tc>
          <w:tcPr>
            <w:tcW w:w="68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SEC Registration fee</w:t>
            </w:r>
          </w:p>
        </w:tc>
        <w:tc>
          <w:tcPr>
            <w:tcW w:w="200" w:type="dxa"/>
            <w:vAlign w:val="bottom"/>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19,043</w:t>
            </w:r>
          </w:p>
        </w:tc>
      </w:tr>
      <w:tr>
        <w:trPr>
          <w:trHeight w:val="181"/>
        </w:trPr>
        <w:tc>
          <w:tcPr>
            <w:tcW w:w="6860" w:type="dxa"/>
            <w:vAlign w:val="bottom"/>
          </w:tcPr>
          <w:p>
            <w:pPr>
              <w:ind w:left="20"/>
              <w:spacing w:after="0" w:line="181" w:lineRule="exact"/>
              <w:rPr>
                <w:sz w:val="20"/>
                <w:szCs w:val="20"/>
                <w:color w:val="auto"/>
              </w:rPr>
            </w:pPr>
            <w:r>
              <w:rPr>
                <w:rFonts w:ascii="Arial" w:cs="Arial" w:eastAsia="Arial" w:hAnsi="Arial"/>
                <w:sz w:val="16"/>
                <w:szCs w:val="16"/>
                <w:color w:val="auto"/>
              </w:rPr>
              <w:t>FINRA filing fee</w:t>
            </w:r>
          </w:p>
        </w:tc>
        <w:tc>
          <w:tcPr>
            <w:tcW w:w="200" w:type="dxa"/>
            <w:vAlign w:val="bottom"/>
          </w:tcPr>
          <w:p>
            <w:pPr>
              <w:spacing w:after="0"/>
              <w:rPr>
                <w:sz w:val="15"/>
                <w:szCs w:val="15"/>
                <w:color w:val="auto"/>
              </w:rPr>
            </w:pPr>
          </w:p>
        </w:tc>
        <w:tc>
          <w:tcPr>
            <w:tcW w:w="9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23,442</w:t>
            </w:r>
          </w:p>
        </w:tc>
      </w:tr>
      <w:tr>
        <w:trPr>
          <w:trHeight w:val="181"/>
        </w:trPr>
        <w:tc>
          <w:tcPr>
            <w:tcW w:w="68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The Nasdaq Global Select Market initial listing fee</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125,000</w:t>
            </w:r>
          </w:p>
        </w:tc>
        <w:tc>
          <w:tcPr>
            <w:tcW w:w="140" w:type="dxa"/>
            <w:vAlign w:val="bottom"/>
            <w:shd w:val="clear" w:color="auto" w:fill="CCEEFF"/>
          </w:tcPr>
          <w:p>
            <w:pPr>
              <w:spacing w:after="0"/>
              <w:rPr>
                <w:sz w:val="15"/>
                <w:szCs w:val="15"/>
                <w:color w:val="auto"/>
              </w:rPr>
            </w:pPr>
          </w:p>
        </w:tc>
      </w:tr>
      <w:tr>
        <w:trPr>
          <w:trHeight w:val="181"/>
        </w:trPr>
        <w:tc>
          <w:tcPr>
            <w:tcW w:w="6860" w:type="dxa"/>
            <w:vAlign w:val="bottom"/>
          </w:tcPr>
          <w:p>
            <w:pPr>
              <w:ind w:left="20"/>
              <w:spacing w:after="0" w:line="181" w:lineRule="exact"/>
              <w:rPr>
                <w:sz w:val="20"/>
                <w:szCs w:val="20"/>
                <w:color w:val="auto"/>
              </w:rPr>
            </w:pPr>
            <w:r>
              <w:rPr>
                <w:rFonts w:ascii="Arial" w:cs="Arial" w:eastAsia="Arial" w:hAnsi="Arial"/>
                <w:sz w:val="16"/>
                <w:szCs w:val="16"/>
                <w:color w:val="auto"/>
              </w:rPr>
              <w:t>Accountants' fees and expenses</w:t>
            </w:r>
          </w:p>
        </w:tc>
        <w:tc>
          <w:tcPr>
            <w:tcW w:w="20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1,000,000</w:t>
            </w:r>
          </w:p>
        </w:tc>
        <w:tc>
          <w:tcPr>
            <w:tcW w:w="140" w:type="dxa"/>
            <w:vAlign w:val="bottom"/>
          </w:tcPr>
          <w:p>
            <w:pPr>
              <w:spacing w:after="0"/>
              <w:rPr>
                <w:sz w:val="15"/>
                <w:szCs w:val="15"/>
                <w:color w:val="auto"/>
              </w:rPr>
            </w:pPr>
          </w:p>
        </w:tc>
      </w:tr>
      <w:tr>
        <w:trPr>
          <w:trHeight w:val="181"/>
        </w:trPr>
        <w:tc>
          <w:tcPr>
            <w:tcW w:w="68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Legal fees and expenses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2,270,000</w:t>
            </w:r>
          </w:p>
        </w:tc>
        <w:tc>
          <w:tcPr>
            <w:tcW w:w="140" w:type="dxa"/>
            <w:vAlign w:val="bottom"/>
            <w:shd w:val="clear" w:color="auto" w:fill="CCEEFF"/>
          </w:tcPr>
          <w:p>
            <w:pPr>
              <w:spacing w:after="0"/>
              <w:rPr>
                <w:sz w:val="15"/>
                <w:szCs w:val="15"/>
                <w:color w:val="auto"/>
              </w:rPr>
            </w:pPr>
          </w:p>
        </w:tc>
      </w:tr>
      <w:tr>
        <w:trPr>
          <w:trHeight w:val="181"/>
        </w:trPr>
        <w:tc>
          <w:tcPr>
            <w:tcW w:w="6860" w:type="dxa"/>
            <w:vAlign w:val="bottom"/>
          </w:tcPr>
          <w:p>
            <w:pPr>
              <w:ind w:left="20"/>
              <w:spacing w:after="0" w:line="181" w:lineRule="exact"/>
              <w:rPr>
                <w:sz w:val="20"/>
                <w:szCs w:val="20"/>
                <w:color w:val="auto"/>
              </w:rPr>
            </w:pPr>
            <w:r>
              <w:rPr>
                <w:rFonts w:ascii="Arial" w:cs="Arial" w:eastAsia="Arial" w:hAnsi="Arial"/>
                <w:sz w:val="16"/>
                <w:szCs w:val="16"/>
                <w:color w:val="auto"/>
              </w:rPr>
              <w:t>Blue Sky fees and expenses</w:t>
            </w:r>
          </w:p>
        </w:tc>
        <w:tc>
          <w:tcPr>
            <w:tcW w:w="200" w:type="dxa"/>
            <w:vAlign w:val="bottom"/>
          </w:tcPr>
          <w:p>
            <w:pPr>
              <w:spacing w:after="0"/>
              <w:rPr>
                <w:sz w:val="15"/>
                <w:szCs w:val="15"/>
                <w:color w:val="auto"/>
              </w:rPr>
            </w:pPr>
          </w:p>
        </w:tc>
        <w:tc>
          <w:tcPr>
            <w:tcW w:w="94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10,000</w:t>
            </w:r>
          </w:p>
        </w:tc>
      </w:tr>
      <w:tr>
        <w:trPr>
          <w:trHeight w:val="181"/>
        </w:trPr>
        <w:tc>
          <w:tcPr>
            <w:tcW w:w="68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Transfer Agent's fees and expenses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5,000</w:t>
            </w:r>
          </w:p>
        </w:tc>
        <w:tc>
          <w:tcPr>
            <w:tcW w:w="140" w:type="dxa"/>
            <w:vAlign w:val="bottom"/>
            <w:shd w:val="clear" w:color="auto" w:fill="CCEEFF"/>
          </w:tcPr>
          <w:p>
            <w:pPr>
              <w:spacing w:after="0"/>
              <w:rPr>
                <w:sz w:val="15"/>
                <w:szCs w:val="15"/>
                <w:color w:val="auto"/>
              </w:rPr>
            </w:pPr>
          </w:p>
        </w:tc>
      </w:tr>
      <w:tr>
        <w:trPr>
          <w:trHeight w:val="181"/>
        </w:trPr>
        <w:tc>
          <w:tcPr>
            <w:tcW w:w="6860" w:type="dxa"/>
            <w:vAlign w:val="bottom"/>
          </w:tcPr>
          <w:p>
            <w:pPr>
              <w:ind w:left="20"/>
              <w:spacing w:after="0" w:line="181" w:lineRule="exact"/>
              <w:rPr>
                <w:sz w:val="20"/>
                <w:szCs w:val="20"/>
                <w:color w:val="auto"/>
              </w:rPr>
            </w:pPr>
            <w:r>
              <w:rPr>
                <w:rFonts w:ascii="Arial" w:cs="Arial" w:eastAsia="Arial" w:hAnsi="Arial"/>
                <w:sz w:val="16"/>
                <w:szCs w:val="16"/>
                <w:color w:val="auto"/>
              </w:rPr>
              <w:t>Printing and engraving expenses</w:t>
            </w:r>
          </w:p>
        </w:tc>
        <w:tc>
          <w:tcPr>
            <w:tcW w:w="20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200,000</w:t>
            </w:r>
          </w:p>
        </w:tc>
        <w:tc>
          <w:tcPr>
            <w:tcW w:w="140" w:type="dxa"/>
            <w:vAlign w:val="bottom"/>
          </w:tcPr>
          <w:p>
            <w:pPr>
              <w:spacing w:after="0"/>
              <w:rPr>
                <w:sz w:val="15"/>
                <w:szCs w:val="15"/>
                <w:color w:val="auto"/>
              </w:rPr>
            </w:pPr>
          </w:p>
        </w:tc>
      </w:tr>
      <w:tr>
        <w:trPr>
          <w:trHeight w:val="181"/>
        </w:trPr>
        <w:tc>
          <w:tcPr>
            <w:tcW w:w="68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Miscellaneous</w:t>
            </w: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147,515</w:t>
            </w:r>
          </w:p>
        </w:tc>
        <w:tc>
          <w:tcPr>
            <w:tcW w:w="140" w:type="dxa"/>
            <w:vAlign w:val="bottom"/>
            <w:shd w:val="clear" w:color="auto" w:fill="CCEEFF"/>
          </w:tcPr>
          <w:p>
            <w:pPr>
              <w:spacing w:after="0"/>
              <w:rPr>
                <w:sz w:val="15"/>
                <w:szCs w:val="15"/>
                <w:color w:val="auto"/>
              </w:rPr>
            </w:pPr>
          </w:p>
        </w:tc>
      </w:tr>
      <w:tr>
        <w:trPr>
          <w:trHeight w:val="173"/>
        </w:trPr>
        <w:tc>
          <w:tcPr>
            <w:tcW w:w="6860" w:type="dxa"/>
            <w:vAlign w:val="bottom"/>
          </w:tcPr>
          <w:p>
            <w:pPr>
              <w:ind w:left="20"/>
              <w:spacing w:after="0" w:line="173" w:lineRule="exact"/>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auto"/>
            </w:tcBorders>
          </w:tcPr>
          <w:p>
            <w:pPr>
              <w:jc w:val="right"/>
              <w:ind w:right="22"/>
              <w:spacing w:after="0" w:line="17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3,800,000</w:t>
            </w:r>
          </w:p>
        </w:tc>
        <w:tc>
          <w:tcPr>
            <w:tcW w:w="140" w:type="dxa"/>
            <w:vAlign w:val="bottom"/>
          </w:tcPr>
          <w:p>
            <w:pPr>
              <w:spacing w:after="0"/>
              <w:rPr>
                <w:sz w:val="15"/>
                <w:szCs w:val="15"/>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10" w:lineRule="exact"/>
        <w:rPr>
          <w:sz w:val="20"/>
          <w:szCs w:val="20"/>
          <w:color w:val="auto"/>
        </w:rPr>
      </w:pPr>
    </w:p>
    <w:p>
      <w:pPr>
        <w:ind w:right="60" w:firstLine="436"/>
        <w:spacing w:after="0" w:line="257" w:lineRule="auto"/>
        <w:rPr>
          <w:sz w:val="20"/>
          <w:szCs w:val="20"/>
          <w:color w:val="auto"/>
        </w:rPr>
      </w:pPr>
      <w:r>
        <w:rPr>
          <w:rFonts w:ascii="Arial" w:cs="Arial" w:eastAsia="Arial" w:hAnsi="Arial"/>
          <w:sz w:val="15"/>
          <w:szCs w:val="15"/>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74" w:lineRule="exact"/>
        <w:rPr>
          <w:sz w:val="20"/>
          <w:szCs w:val="20"/>
          <w:color w:val="auto"/>
        </w:rPr>
      </w:pPr>
    </w:p>
    <w:p>
      <w:pPr>
        <w:ind w:firstLine="436"/>
        <w:spacing w:after="0" w:line="237" w:lineRule="auto"/>
        <w:rPr>
          <w:sz w:val="20"/>
          <w:szCs w:val="20"/>
          <w:color w:val="auto"/>
        </w:rPr>
      </w:pPr>
      <w:r>
        <w:rPr>
          <w:rFonts w:ascii="Arial" w:cs="Arial" w:eastAsia="Arial" w:hAnsi="Arial"/>
          <w:sz w:val="16"/>
          <w:szCs w:val="16"/>
          <w:color w:val="auto"/>
        </w:rPr>
        <w:t>We have adopted provisions in our bye-laws that provide that we shall indemnify our officers and directors in respect of their actions and omissions, except in respect of their fraud or dishonesty.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the Company may otherwise indemnify such officer or director. We will maintain a general liability insurance policy that covers certain liabilities of directors and officers of our Company arising out of claims based on acts or omissions in their capacities as directors or officers.</w:t>
      </w:r>
    </w:p>
    <w:p>
      <w:pPr>
        <w:spacing w:after="0" w:line="188" w:lineRule="exact"/>
        <w:rPr>
          <w:sz w:val="20"/>
          <w:szCs w:val="20"/>
          <w:color w:val="auto"/>
        </w:rPr>
      </w:pPr>
    </w:p>
    <w:p>
      <w:pPr>
        <w:ind w:firstLine="436"/>
        <w:spacing w:after="0" w:line="239" w:lineRule="auto"/>
        <w:rPr>
          <w:sz w:val="20"/>
          <w:szCs w:val="20"/>
          <w:color w:val="auto"/>
        </w:rPr>
      </w:pPr>
      <w:r>
        <w:rPr>
          <w:rFonts w:ascii="Arial" w:cs="Arial" w:eastAsia="Arial" w:hAnsi="Arial"/>
          <w:sz w:val="16"/>
          <w:szCs w:val="16"/>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64" w:name="page265"/>
    <w:bookmarkEnd w:id="2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of our directors or officers, or any other company or enterprise to which the person provides services at our request.</w:t>
      </w:r>
    </w:p>
    <w:p>
      <w:pPr>
        <w:spacing w:after="0" w:line="190" w:lineRule="exact"/>
        <w:rPr>
          <w:sz w:val="20"/>
          <w:szCs w:val="20"/>
          <w:color w:val="auto"/>
        </w:rPr>
      </w:pPr>
    </w:p>
    <w:p>
      <w:pPr>
        <w:ind w:right="320" w:firstLine="436"/>
        <w:spacing w:after="0" w:line="273" w:lineRule="auto"/>
        <w:rPr>
          <w:sz w:val="20"/>
          <w:szCs w:val="20"/>
          <w:color w:val="auto"/>
        </w:rPr>
      </w:pPr>
      <w:r>
        <w:rPr>
          <w:rFonts w:ascii="Arial" w:cs="Arial" w:eastAsia="Arial" w:hAnsi="Arial"/>
          <w:sz w:val="15"/>
          <w:szCs w:val="15"/>
          <w:color w:val="auto"/>
        </w:rPr>
        <w:t>In any underwriting agreement we enter into in connection with the sale of Class A common shares being registered hereby, the underwriters will agree to indemnify, under certain conditions, us, our directors, our officers and persons who control us within the meaning of the Securities Act against certain liabilities.</w:t>
      </w:r>
    </w:p>
    <w:p>
      <w:pPr>
        <w:spacing w:after="0" w:line="14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210" w:lineRule="exact"/>
        <w:rPr>
          <w:sz w:val="20"/>
          <w:szCs w:val="20"/>
          <w:color w:val="auto"/>
        </w:rPr>
      </w:pPr>
    </w:p>
    <w:p>
      <w:pPr>
        <w:ind w:right="20" w:firstLine="436"/>
        <w:spacing w:after="0" w:line="241" w:lineRule="auto"/>
        <w:rPr>
          <w:sz w:val="20"/>
          <w:szCs w:val="20"/>
          <w:color w:val="auto"/>
        </w:rPr>
      </w:pPr>
      <w:r>
        <w:rPr>
          <w:rFonts w:ascii="Arial" w:cs="Arial" w:eastAsia="Arial" w:hAnsi="Arial"/>
          <w:sz w:val="16"/>
          <w:szCs w:val="16"/>
          <w:color w:val="auto"/>
        </w:rPr>
        <w:t>Set forth below is information regarding shares issued by us within the past three years. Also included is the consideration received by us for such shares and information relating to the section of the Securities Act, or rule of the SEC, under which exemption from registration was claimed.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Issuance of Securities.</w:t>
      </w:r>
    </w:p>
    <w:p>
      <w:pPr>
        <w:spacing w:after="0" w:line="190" w:lineRule="exact"/>
        <w:rPr>
          <w:sz w:val="20"/>
          <w:szCs w:val="20"/>
          <w:color w:val="auto"/>
        </w:rPr>
      </w:pPr>
    </w:p>
    <w:p>
      <w:pPr>
        <w:ind w:right="560" w:firstLine="436"/>
        <w:spacing w:after="0" w:line="241" w:lineRule="auto"/>
        <w:rPr>
          <w:sz w:val="20"/>
          <w:szCs w:val="20"/>
          <w:color w:val="auto"/>
        </w:rPr>
      </w:pPr>
      <w:r>
        <w:rPr>
          <w:rFonts w:ascii="Arial" w:cs="Arial" w:eastAsia="Arial" w:hAnsi="Arial"/>
          <w:sz w:val="16"/>
          <w:szCs w:val="16"/>
          <w:color w:val="auto"/>
        </w:rPr>
        <w:t>In September 2015, we issued and sold 713,667 Class A common shares to our employees and a consultant at a price per share of $0.000273235 for aggregate gross consideration of $195.</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October 2015, we issued 3,568,353 Class B common shares to all of our Class A common shareholders as a distribution on their Class A common shares.</w:t>
      </w:r>
    </w:p>
    <w:p>
      <w:pPr>
        <w:spacing w:after="0" w:line="201" w:lineRule="exact"/>
        <w:rPr>
          <w:sz w:val="20"/>
          <w:szCs w:val="20"/>
          <w:color w:val="auto"/>
        </w:rPr>
      </w:pPr>
    </w:p>
    <w:p>
      <w:pPr>
        <w:ind w:right="260" w:firstLine="436"/>
        <w:spacing w:after="0" w:line="241" w:lineRule="auto"/>
        <w:rPr>
          <w:sz w:val="20"/>
          <w:szCs w:val="20"/>
          <w:color w:val="auto"/>
        </w:rPr>
      </w:pPr>
      <w:r>
        <w:rPr>
          <w:rFonts w:ascii="Arial" w:cs="Arial" w:eastAsia="Arial" w:hAnsi="Arial"/>
          <w:sz w:val="16"/>
          <w:szCs w:val="16"/>
          <w:color w:val="auto"/>
        </w:rPr>
        <w:t>In October 2015, we issued and sold an aggregate of 8,028,809 Series A preferred shares to investors at a price per share of $4.6707 for aggregate gross consideration of $37.5 million.</w:t>
      </w:r>
    </w:p>
    <w:p>
      <w:pPr>
        <w:spacing w:after="0" w:line="185" w:lineRule="exact"/>
        <w:rPr>
          <w:sz w:val="20"/>
          <w:szCs w:val="20"/>
          <w:color w:val="auto"/>
        </w:rPr>
      </w:pPr>
    </w:p>
    <w:p>
      <w:pPr>
        <w:ind w:right="60" w:firstLine="436"/>
        <w:spacing w:after="0" w:line="241" w:lineRule="auto"/>
        <w:rPr>
          <w:sz w:val="20"/>
          <w:szCs w:val="20"/>
          <w:color w:val="auto"/>
        </w:rPr>
      </w:pPr>
      <w:r>
        <w:rPr>
          <w:rFonts w:ascii="Arial" w:cs="Arial" w:eastAsia="Arial" w:hAnsi="Arial"/>
          <w:sz w:val="16"/>
          <w:szCs w:val="16"/>
          <w:color w:val="auto"/>
        </w:rPr>
        <w:t>In September 2016, we issued and sold 9,099,311 Series A preferred shares to investors at a price per share of $4.6707 for aggregate gross consideration of $42.5 million.</w:t>
      </w:r>
    </w:p>
    <w:p>
      <w:pPr>
        <w:spacing w:after="0" w:line="185" w:lineRule="exact"/>
        <w:rPr>
          <w:sz w:val="20"/>
          <w:szCs w:val="20"/>
          <w:color w:val="auto"/>
        </w:rPr>
      </w:pPr>
    </w:p>
    <w:p>
      <w:pPr>
        <w:ind w:right="380" w:firstLine="436"/>
        <w:spacing w:after="0" w:line="241" w:lineRule="auto"/>
        <w:rPr>
          <w:sz w:val="20"/>
          <w:szCs w:val="20"/>
          <w:color w:val="auto"/>
        </w:rPr>
      </w:pPr>
      <w:r>
        <w:rPr>
          <w:rFonts w:ascii="Arial" w:cs="Arial" w:eastAsia="Arial" w:hAnsi="Arial"/>
          <w:sz w:val="16"/>
          <w:szCs w:val="16"/>
          <w:color w:val="auto"/>
        </w:rPr>
        <w:t>In March 2017, we issued and sold an aggregate of 5,757,372 Series B preferred shares to investors at a price per share of $6.9475 for aggregate gross consideration of $40.0 million.</w:t>
      </w:r>
    </w:p>
    <w:p>
      <w:pPr>
        <w:spacing w:after="0" w:line="185" w:lineRule="exact"/>
        <w:rPr>
          <w:sz w:val="20"/>
          <w:szCs w:val="20"/>
          <w:color w:val="auto"/>
        </w:rPr>
      </w:pPr>
    </w:p>
    <w:p>
      <w:pPr>
        <w:ind w:right="340" w:firstLine="436"/>
        <w:spacing w:after="0" w:line="241" w:lineRule="auto"/>
        <w:rPr>
          <w:sz w:val="20"/>
          <w:szCs w:val="20"/>
          <w:color w:val="auto"/>
        </w:rPr>
      </w:pPr>
      <w:r>
        <w:rPr>
          <w:rFonts w:ascii="Arial" w:cs="Arial" w:eastAsia="Arial" w:hAnsi="Arial"/>
          <w:sz w:val="16"/>
          <w:szCs w:val="16"/>
          <w:color w:val="auto"/>
        </w:rPr>
        <w:t>In February 2018, we issued and sold an aggregate of 12,784,601 Series C preferred shares to investors at a price per $15.6438 per share for aggregate gross proceeds of $200.0 million.</w:t>
      </w:r>
    </w:p>
    <w:p>
      <w:pPr>
        <w:spacing w:after="0" w:line="185" w:lineRule="exact"/>
        <w:rPr>
          <w:sz w:val="20"/>
          <w:szCs w:val="20"/>
          <w:color w:val="auto"/>
        </w:rPr>
      </w:pPr>
    </w:p>
    <w:p>
      <w:pPr>
        <w:jc w:val="both"/>
        <w:ind w:firstLine="436"/>
        <w:spacing w:after="0" w:line="239" w:lineRule="auto"/>
        <w:rPr>
          <w:sz w:val="20"/>
          <w:szCs w:val="20"/>
          <w:color w:val="auto"/>
        </w:rPr>
      </w:pPr>
      <w:r>
        <w:rPr>
          <w:rFonts w:ascii="Arial" w:cs="Arial" w:eastAsia="Arial" w:hAnsi="Arial"/>
          <w:sz w:val="16"/>
          <w:szCs w:val="16"/>
          <w:color w:val="auto"/>
        </w:rPr>
        <w:t>Since July 15, 2015, the date of formation of the registrant, the registrant has issued 6,309 Class A common shares pursuant to the exercise of share options at an exercise price of $1.59 and 4,574 Class A common shares pursuant to the exercise of share options at an exercise price of $3.80, for total aggregate proceeds to the registrant of $27,375.</w:t>
      </w:r>
    </w:p>
    <w:p>
      <w:pPr>
        <w:spacing w:after="0" w:line="186" w:lineRule="exact"/>
        <w:rPr>
          <w:sz w:val="20"/>
          <w:szCs w:val="20"/>
          <w:color w:val="auto"/>
        </w:rPr>
      </w:pPr>
    </w:p>
    <w:p>
      <w:pPr>
        <w:ind w:firstLine="433"/>
        <w:spacing w:after="0" w:line="239" w:lineRule="auto"/>
        <w:rPr>
          <w:sz w:val="20"/>
          <w:szCs w:val="20"/>
          <w:color w:val="auto"/>
        </w:rPr>
      </w:pPr>
      <w:r>
        <w:rPr>
          <w:rFonts w:ascii="Arial" w:cs="Arial" w:eastAsia="Arial" w:hAnsi="Arial"/>
          <w:sz w:val="16"/>
          <w:szCs w:val="16"/>
          <w:color w:val="auto"/>
        </w:rPr>
        <w:t>The securities listed above were issued pursuant to written compensatory plans or arrangements with our employees, directors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65" w:name="page266"/>
    <w:bookmarkEnd w:id="2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1560" w:type="dxa"/>
            <w:vAlign w:val="bottom"/>
            <w:gridSpan w:val="3"/>
          </w:tcPr>
          <w:p>
            <w:pPr>
              <w:jc w:val="right"/>
              <w:ind w:right="560"/>
              <w:spacing w:after="0"/>
              <w:rPr>
                <w:sz w:val="20"/>
                <w:szCs w:val="20"/>
                <w:color w:val="auto"/>
              </w:rPr>
            </w:pPr>
            <w:r>
              <w:rPr>
                <w:rFonts w:ascii="Arial" w:cs="Arial" w:eastAsia="Arial" w:hAnsi="Arial"/>
                <w:sz w:val="16"/>
                <w:szCs w:val="16"/>
                <w:color w:val="auto"/>
              </w:rPr>
              <w:t>(a)   Exhibits.</w:t>
            </w:r>
          </w:p>
        </w:tc>
        <w:tc>
          <w:tcPr>
            <w:tcW w:w="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7"/>
        </w:trPr>
        <w:tc>
          <w:tcPr>
            <w:tcW w:w="7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Exhibit</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7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gridSpan w:val="12"/>
          </w:tcPr>
          <w:p>
            <w:pPr>
              <w:ind w:left="160"/>
              <w:spacing w:after="0"/>
              <w:rPr>
                <w:sz w:val="20"/>
                <w:szCs w:val="20"/>
                <w:color w:val="auto"/>
              </w:rPr>
            </w:pPr>
            <w:r>
              <w:rPr>
                <w:rFonts w:ascii="Arial" w:cs="Arial" w:eastAsia="Arial" w:hAnsi="Arial"/>
                <w:sz w:val="16"/>
                <w:szCs w:val="16"/>
                <w:b w:val="1"/>
                <w:bCs w:val="1"/>
                <w:color w:val="auto"/>
              </w:rPr>
              <w:t>Description of Exhibit</w:t>
            </w:r>
          </w:p>
        </w:tc>
      </w:tr>
      <w:tr>
        <w:trPr>
          <w:trHeight w:val="157"/>
        </w:trPr>
        <w:tc>
          <w:tcPr>
            <w:tcW w:w="1560" w:type="dxa"/>
            <w:vAlign w:val="bottom"/>
            <w:gridSpan w:val="3"/>
          </w:tcPr>
          <w:p>
            <w:pPr>
              <w:jc w:val="right"/>
              <w:ind w:right="100"/>
              <w:spacing w:after="0" w:line="157" w:lineRule="exact"/>
              <w:rPr>
                <w:sz w:val="20"/>
                <w:szCs w:val="20"/>
                <w:color w:val="auto"/>
              </w:rPr>
            </w:pPr>
            <w:r>
              <w:rPr>
                <w:rFonts w:ascii="Arial" w:cs="Arial" w:eastAsia="Arial" w:hAnsi="Arial"/>
                <w:sz w:val="16"/>
                <w:szCs w:val="16"/>
                <w:color w:val="auto"/>
              </w:rPr>
              <w:t>1.1*</w:t>
            </w:r>
          </w:p>
        </w:tc>
        <w:tc>
          <w:tcPr>
            <w:tcW w:w="2280" w:type="dxa"/>
            <w:vAlign w:val="bottom"/>
            <w:tcBorders>
              <w:bottom w:val="single" w:sz="8" w:color="0000EE"/>
            </w:tcBorders>
            <w:gridSpan w:val="2"/>
          </w:tcPr>
          <w:p>
            <w:pPr>
              <w:spacing w:after="0" w:line="157" w:lineRule="exact"/>
              <w:rPr>
                <w:rFonts w:ascii="Arial" w:cs="Arial" w:eastAsia="Arial" w:hAnsi="Arial"/>
                <w:sz w:val="16"/>
                <w:szCs w:val="16"/>
                <w:color w:val="0000EE"/>
                <w:w w:val="97"/>
              </w:rPr>
            </w:pPr>
            <w:hyperlink r:id="rId322">
              <w:r>
                <w:rPr>
                  <w:rFonts w:ascii="Arial" w:cs="Arial" w:eastAsia="Arial" w:hAnsi="Arial"/>
                  <w:sz w:val="16"/>
                  <w:szCs w:val="16"/>
                  <w:color w:val="0000EE"/>
                  <w:w w:val="97"/>
                </w:rPr>
                <w:t>Form of Underwriting Agreement</w:t>
              </w:r>
            </w:hyperlink>
          </w:p>
        </w:tc>
        <w:tc>
          <w:tcPr>
            <w:tcW w:w="6000" w:type="dxa"/>
            <w:vAlign w:val="bottom"/>
            <w:gridSpan w:val="14"/>
          </w:tcPr>
          <w:p>
            <w:pPr>
              <w:spacing w:after="0"/>
              <w:rPr>
                <w:sz w:val="13"/>
                <w:szCs w:val="13"/>
                <w:color w:val="auto"/>
              </w:rPr>
            </w:pPr>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3.1*</w:t>
            </w:r>
          </w:p>
        </w:tc>
        <w:tc>
          <w:tcPr>
            <w:tcW w:w="3180" w:type="dxa"/>
            <w:vAlign w:val="bottom"/>
            <w:tcBorders>
              <w:bottom w:val="single" w:sz="8" w:color="0000EE"/>
            </w:tcBorders>
            <w:gridSpan w:val="4"/>
          </w:tcPr>
          <w:p>
            <w:pPr>
              <w:spacing w:after="0"/>
              <w:rPr>
                <w:rFonts w:ascii="Arial" w:cs="Arial" w:eastAsia="Arial" w:hAnsi="Arial"/>
                <w:sz w:val="16"/>
                <w:szCs w:val="16"/>
                <w:color w:val="0000EE"/>
                <w:w w:val="97"/>
              </w:rPr>
            </w:pPr>
            <w:hyperlink r:id="rId323">
              <w:r>
                <w:rPr>
                  <w:rFonts w:ascii="Arial" w:cs="Arial" w:eastAsia="Arial" w:hAnsi="Arial"/>
                  <w:sz w:val="16"/>
                  <w:szCs w:val="16"/>
                  <w:color w:val="0000EE"/>
                  <w:w w:val="97"/>
                </w:rPr>
                <w:t>Memorandum of Association of the Registrant</w:t>
              </w:r>
            </w:hyperlink>
          </w:p>
        </w:tc>
        <w:tc>
          <w:tcPr>
            <w:tcW w:w="5100" w:type="dxa"/>
            <w:vAlign w:val="bottom"/>
            <w:gridSpan w:val="12"/>
          </w:tcPr>
          <w:p>
            <w:pPr>
              <w:spacing w:after="0"/>
              <w:rPr>
                <w:sz w:val="24"/>
                <w:szCs w:val="24"/>
                <w:color w:val="auto"/>
              </w:rPr>
            </w:pPr>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3.2*</w:t>
            </w:r>
          </w:p>
        </w:tc>
        <w:tc>
          <w:tcPr>
            <w:tcW w:w="4860" w:type="dxa"/>
            <w:vAlign w:val="bottom"/>
            <w:tcBorders>
              <w:bottom w:val="single" w:sz="8" w:color="0000EE"/>
            </w:tcBorders>
            <w:gridSpan w:val="10"/>
          </w:tcPr>
          <w:p>
            <w:pPr>
              <w:spacing w:after="0"/>
              <w:rPr>
                <w:rFonts w:ascii="Arial" w:cs="Arial" w:eastAsia="Arial" w:hAnsi="Arial"/>
                <w:sz w:val="16"/>
                <w:szCs w:val="16"/>
                <w:color w:val="0000EE"/>
                <w:w w:val="97"/>
              </w:rPr>
            </w:pPr>
            <w:hyperlink r:id="rId324">
              <w:r>
                <w:rPr>
                  <w:rFonts w:ascii="Arial" w:cs="Arial" w:eastAsia="Arial" w:hAnsi="Arial"/>
                  <w:sz w:val="16"/>
                  <w:szCs w:val="16"/>
                  <w:color w:val="0000EE"/>
                  <w:w w:val="97"/>
                </w:rPr>
                <w:t>Amended and Restated Bye-laws of the Registrant (currently in effect)</w:t>
              </w:r>
            </w:hyperlink>
          </w:p>
        </w:tc>
        <w:tc>
          <w:tcPr>
            <w:tcW w:w="3420" w:type="dxa"/>
            <w:vAlign w:val="bottom"/>
            <w:gridSpan w:val="6"/>
          </w:tcPr>
          <w:p>
            <w:pPr>
              <w:spacing w:after="0"/>
              <w:rPr>
                <w:sz w:val="24"/>
                <w:szCs w:val="24"/>
                <w:color w:val="auto"/>
              </w:rPr>
            </w:pPr>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3.3*</w:t>
            </w:r>
          </w:p>
        </w:tc>
        <w:tc>
          <w:tcPr>
            <w:tcW w:w="8280" w:type="dxa"/>
            <w:vAlign w:val="bottom"/>
            <w:gridSpan w:val="16"/>
          </w:tcPr>
          <w:p>
            <w:pPr>
              <w:spacing w:after="0"/>
              <w:rPr>
                <w:rFonts w:ascii="Arial" w:cs="Arial" w:eastAsia="Arial" w:hAnsi="Arial"/>
                <w:sz w:val="16"/>
                <w:szCs w:val="16"/>
                <w:color w:val="0000EE"/>
              </w:rPr>
            </w:pPr>
            <w:hyperlink r:id="rId325">
              <w:r>
                <w:rPr>
                  <w:rFonts w:ascii="Arial" w:cs="Arial" w:eastAsia="Arial" w:hAnsi="Arial"/>
                  <w:sz w:val="16"/>
                  <w:szCs w:val="16"/>
                  <w:color w:val="0000EE"/>
                </w:rPr>
                <w:t>Form of Amended and Restated Bye-laws of the Registrant (to be effective immediately following the closing of this</w:t>
              </w:r>
            </w:hyperlink>
          </w:p>
        </w:tc>
      </w:tr>
      <w:tr>
        <w:trPr>
          <w:trHeight w:val="161"/>
        </w:trPr>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0000EE"/>
              <w:bottom w:val="single" w:sz="8" w:color="0000EE"/>
            </w:tcBorders>
          </w:tcPr>
          <w:p>
            <w:pPr>
              <w:spacing w:after="0" w:line="161" w:lineRule="exact"/>
              <w:rPr>
                <w:rFonts w:ascii="Arial" w:cs="Arial" w:eastAsia="Arial" w:hAnsi="Arial"/>
                <w:sz w:val="16"/>
                <w:szCs w:val="16"/>
                <w:color w:val="0000EE"/>
                <w:w w:val="95"/>
              </w:rPr>
            </w:pPr>
            <w:hyperlink r:id="rId325">
              <w:r>
                <w:rPr>
                  <w:rFonts w:ascii="Arial" w:cs="Arial" w:eastAsia="Arial" w:hAnsi="Arial"/>
                  <w:sz w:val="16"/>
                  <w:szCs w:val="16"/>
                  <w:color w:val="0000EE"/>
                  <w:w w:val="95"/>
                </w:rPr>
                <w:t>offering)</w:t>
              </w:r>
            </w:hyperlink>
          </w:p>
        </w:tc>
        <w:tc>
          <w:tcPr>
            <w:tcW w:w="7380" w:type="dxa"/>
            <w:vAlign w:val="bottom"/>
            <w:tcBorders>
              <w:top w:val="single" w:sz="8" w:color="0000EE"/>
            </w:tcBorders>
            <w:gridSpan w:val="12"/>
          </w:tcPr>
          <w:p>
            <w:pPr>
              <w:spacing w:after="0"/>
              <w:rPr>
                <w:sz w:val="13"/>
                <w:szCs w:val="13"/>
                <w:color w:val="auto"/>
              </w:rPr>
            </w:pPr>
          </w:p>
        </w:tc>
        <w:tc>
          <w:tcPr>
            <w:tcW w:w="320" w:type="dxa"/>
            <w:vAlign w:val="bottom"/>
            <w:gridSpan w:val="3"/>
          </w:tcPr>
          <w:p>
            <w:pPr>
              <w:spacing w:after="0"/>
              <w:rPr>
                <w:sz w:val="13"/>
                <w:szCs w:val="13"/>
                <w:color w:val="auto"/>
              </w:rPr>
            </w:pPr>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4.1*</w:t>
            </w:r>
          </w:p>
        </w:tc>
        <w:tc>
          <w:tcPr>
            <w:tcW w:w="4700" w:type="dxa"/>
            <w:vAlign w:val="bottom"/>
            <w:tcBorders>
              <w:bottom w:val="single" w:sz="8" w:color="0000EE"/>
            </w:tcBorders>
            <w:gridSpan w:val="8"/>
          </w:tcPr>
          <w:p>
            <w:pPr>
              <w:spacing w:after="0"/>
              <w:rPr>
                <w:rFonts w:ascii="Arial" w:cs="Arial" w:eastAsia="Arial" w:hAnsi="Arial"/>
                <w:sz w:val="16"/>
                <w:szCs w:val="16"/>
                <w:color w:val="0000EE"/>
                <w:w w:val="97"/>
              </w:rPr>
            </w:pPr>
            <w:hyperlink r:id="rId326">
              <w:r>
                <w:rPr>
                  <w:rFonts w:ascii="Arial" w:cs="Arial" w:eastAsia="Arial" w:hAnsi="Arial"/>
                  <w:sz w:val="16"/>
                  <w:szCs w:val="16"/>
                  <w:color w:val="0000EE"/>
                  <w:w w:val="97"/>
                </w:rPr>
                <w:t>Specimen Share Certificate evidencing the Class A common shares</w:t>
              </w:r>
            </w:hyperlink>
          </w:p>
        </w:tc>
        <w:tc>
          <w:tcPr>
            <w:tcW w:w="3580" w:type="dxa"/>
            <w:vAlign w:val="bottom"/>
            <w:gridSpan w:val="8"/>
          </w:tcPr>
          <w:p>
            <w:pPr>
              <w:spacing w:after="0"/>
              <w:rPr>
                <w:sz w:val="24"/>
                <w:szCs w:val="24"/>
                <w:color w:val="auto"/>
              </w:rPr>
            </w:pPr>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4.2*</w:t>
            </w:r>
          </w:p>
        </w:tc>
        <w:tc>
          <w:tcPr>
            <w:tcW w:w="6340" w:type="dxa"/>
            <w:vAlign w:val="bottom"/>
            <w:tcBorders>
              <w:bottom w:val="single" w:sz="8" w:color="0000EE"/>
            </w:tcBorders>
            <w:gridSpan w:val="11"/>
          </w:tcPr>
          <w:p>
            <w:pPr>
              <w:spacing w:after="0"/>
              <w:rPr>
                <w:rFonts w:ascii="Arial" w:cs="Arial" w:eastAsia="Arial" w:hAnsi="Arial"/>
                <w:sz w:val="16"/>
                <w:szCs w:val="16"/>
                <w:color w:val="0000EE"/>
                <w:w w:val="97"/>
              </w:rPr>
            </w:pPr>
            <w:hyperlink r:id="rId327">
              <w:r>
                <w:rPr>
                  <w:rFonts w:ascii="Arial" w:cs="Arial" w:eastAsia="Arial" w:hAnsi="Arial"/>
                  <w:sz w:val="16"/>
                  <w:szCs w:val="16"/>
                  <w:color w:val="0000EE"/>
                  <w:w w:val="97"/>
                </w:rPr>
                <w:t>Second Amended and Restated Investors' Rights Agreement, dated as of February 9, 2018</w:t>
              </w:r>
            </w:hyperlink>
          </w:p>
        </w:tc>
        <w:tc>
          <w:tcPr>
            <w:tcW w:w="1940" w:type="dxa"/>
            <w:vAlign w:val="bottom"/>
            <w:gridSpan w:val="5"/>
          </w:tcPr>
          <w:p>
            <w:pPr>
              <w:spacing w:after="0"/>
              <w:rPr>
                <w:sz w:val="24"/>
                <w:szCs w:val="24"/>
                <w:color w:val="auto"/>
              </w:rPr>
            </w:pPr>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5.1*</w:t>
            </w:r>
          </w:p>
        </w:tc>
        <w:tc>
          <w:tcPr>
            <w:tcW w:w="2440" w:type="dxa"/>
            <w:vAlign w:val="bottom"/>
            <w:tcBorders>
              <w:bottom w:val="single" w:sz="8" w:color="0000EE"/>
            </w:tcBorders>
            <w:gridSpan w:val="3"/>
          </w:tcPr>
          <w:p>
            <w:pPr>
              <w:spacing w:after="0"/>
              <w:rPr>
                <w:rFonts w:ascii="Arial" w:cs="Arial" w:eastAsia="Arial" w:hAnsi="Arial"/>
                <w:sz w:val="16"/>
                <w:szCs w:val="16"/>
                <w:color w:val="0000EE"/>
                <w:w w:val="97"/>
              </w:rPr>
            </w:pPr>
            <w:hyperlink r:id="rId328">
              <w:r>
                <w:rPr>
                  <w:rFonts w:ascii="Arial" w:cs="Arial" w:eastAsia="Arial" w:hAnsi="Arial"/>
                  <w:sz w:val="16"/>
                  <w:szCs w:val="16"/>
                  <w:color w:val="0000EE"/>
                  <w:w w:val="97"/>
                </w:rPr>
                <w:t>Opinion of Conyers Dill &amp; Pearman</w:t>
              </w:r>
            </w:hyperlink>
          </w:p>
        </w:tc>
        <w:tc>
          <w:tcPr>
            <w:tcW w:w="5840" w:type="dxa"/>
            <w:vAlign w:val="bottom"/>
            <w:gridSpan w:val="13"/>
          </w:tcPr>
          <w:p>
            <w:pPr>
              <w:spacing w:after="0"/>
              <w:rPr>
                <w:sz w:val="24"/>
                <w:szCs w:val="24"/>
                <w:color w:val="auto"/>
              </w:rPr>
            </w:pPr>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10.1*</w:t>
            </w:r>
          </w:p>
        </w:tc>
        <w:tc>
          <w:tcPr>
            <w:tcW w:w="8280" w:type="dxa"/>
            <w:vAlign w:val="bottom"/>
            <w:gridSpan w:val="16"/>
          </w:tcPr>
          <w:p>
            <w:pPr>
              <w:spacing w:after="0"/>
              <w:rPr>
                <w:rFonts w:ascii="Arial" w:cs="Arial" w:eastAsia="Arial" w:hAnsi="Arial"/>
                <w:sz w:val="16"/>
                <w:szCs w:val="16"/>
                <w:color w:val="0000EE"/>
              </w:rPr>
            </w:pPr>
            <w:hyperlink r:id="rId329">
              <w:r>
                <w:rPr>
                  <w:rFonts w:ascii="Arial" w:cs="Arial" w:eastAsia="Arial" w:hAnsi="Arial"/>
                  <w:sz w:val="16"/>
                  <w:szCs w:val="16"/>
                  <w:color w:val="0000EE"/>
                </w:rPr>
                <w:t>2015 Equity Incentive Plan, as amended, and form of share option grant notice and option agreement thereunder</w:t>
              </w:r>
            </w:hyperlink>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10.2*</w:t>
            </w:r>
          </w:p>
        </w:tc>
        <w:tc>
          <w:tcPr>
            <w:tcW w:w="7820" w:type="dxa"/>
            <w:vAlign w:val="bottom"/>
            <w:tcBorders>
              <w:top w:val="single" w:sz="8" w:color="0000EE"/>
            </w:tcBorders>
            <w:gridSpan w:val="12"/>
          </w:tcPr>
          <w:p>
            <w:pPr>
              <w:spacing w:after="0"/>
              <w:rPr>
                <w:rFonts w:ascii="Arial" w:cs="Arial" w:eastAsia="Arial" w:hAnsi="Arial"/>
                <w:sz w:val="16"/>
                <w:szCs w:val="16"/>
                <w:color w:val="0000EE"/>
              </w:rPr>
            </w:pPr>
            <w:hyperlink r:id="rId330">
              <w:r>
                <w:rPr>
                  <w:rFonts w:ascii="Arial" w:cs="Arial" w:eastAsia="Arial" w:hAnsi="Arial"/>
                  <w:sz w:val="16"/>
                  <w:szCs w:val="16"/>
                  <w:color w:val="0000EE"/>
                </w:rPr>
                <w:t>2018 Incentive Award Plan and form of award agreements thereunder</w:t>
              </w:r>
            </w:hyperlink>
          </w:p>
        </w:tc>
        <w:tc>
          <w:tcPr>
            <w:tcW w:w="460" w:type="dxa"/>
            <w:vAlign w:val="bottom"/>
            <w:gridSpan w:val="4"/>
          </w:tcPr>
          <w:p>
            <w:pPr>
              <w:spacing w:after="0"/>
              <w:rPr>
                <w:sz w:val="24"/>
                <w:szCs w:val="24"/>
                <w:color w:val="auto"/>
              </w:rPr>
            </w:pPr>
          </w:p>
        </w:tc>
      </w:tr>
      <w:tr>
        <w:trPr>
          <w:trHeight w:val="20"/>
        </w:trPr>
        <w:tc>
          <w:tcPr>
            <w:tcW w:w="1560" w:type="dxa"/>
            <w:vAlign w:val="bottom"/>
            <w:gridSpan w:val="3"/>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10.3*</w:t>
            </w:r>
          </w:p>
        </w:tc>
        <w:tc>
          <w:tcPr>
            <w:tcW w:w="8140" w:type="dxa"/>
            <w:vAlign w:val="bottom"/>
            <w:tcBorders>
              <w:bottom w:val="single" w:sz="8" w:color="0000EE"/>
            </w:tcBorders>
            <w:gridSpan w:val="14"/>
          </w:tcPr>
          <w:p>
            <w:pPr>
              <w:spacing w:after="0"/>
              <w:rPr>
                <w:rFonts w:ascii="Arial" w:cs="Arial" w:eastAsia="Arial" w:hAnsi="Arial"/>
                <w:sz w:val="16"/>
                <w:szCs w:val="16"/>
                <w:color w:val="0000EE"/>
                <w:w w:val="97"/>
              </w:rPr>
            </w:pPr>
            <w:hyperlink r:id="rId331">
              <w:r>
                <w:rPr>
                  <w:rFonts w:ascii="Arial" w:cs="Arial" w:eastAsia="Arial" w:hAnsi="Arial"/>
                  <w:sz w:val="16"/>
                  <w:szCs w:val="16"/>
                  <w:color w:val="0000EE"/>
                  <w:w w:val="97"/>
                </w:rPr>
                <w:t>Form of Amended and Restated Employment Agreement by and between Kiniksa Pharmaceuticals Corp. and Sanj K.</w:t>
              </w:r>
            </w:hyperlink>
          </w:p>
        </w:tc>
        <w:tc>
          <w:tcPr>
            <w:tcW w:w="140" w:type="dxa"/>
            <w:vAlign w:val="bottom"/>
            <w:gridSpan w:val="2"/>
          </w:tcPr>
          <w:p>
            <w:pPr>
              <w:spacing w:after="0"/>
              <w:rPr>
                <w:sz w:val="24"/>
                <w:szCs w:val="24"/>
                <w:color w:val="auto"/>
              </w:rPr>
            </w:pPr>
          </w:p>
        </w:tc>
      </w:tr>
      <w:tr>
        <w:trPr>
          <w:trHeight w:val="161"/>
        </w:trPr>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80" w:type="dxa"/>
            <w:vAlign w:val="bottom"/>
            <w:gridSpan w:val="16"/>
          </w:tcPr>
          <w:p>
            <w:pPr>
              <w:spacing w:after="0" w:line="161" w:lineRule="exact"/>
              <w:rPr>
                <w:rFonts w:ascii="Arial" w:cs="Arial" w:eastAsia="Arial" w:hAnsi="Arial"/>
                <w:sz w:val="16"/>
                <w:szCs w:val="16"/>
                <w:color w:val="0000EE"/>
              </w:rPr>
            </w:pPr>
            <w:hyperlink r:id="rId331">
              <w:r>
                <w:rPr>
                  <w:rFonts w:ascii="Arial" w:cs="Arial" w:eastAsia="Arial" w:hAnsi="Arial"/>
                  <w:sz w:val="16"/>
                  <w:szCs w:val="16"/>
                  <w:color w:val="0000EE"/>
                </w:rPr>
                <w:t>Patel, to be entered into in connection with this offering</w:t>
              </w:r>
            </w:hyperlink>
          </w:p>
        </w:tc>
      </w:tr>
      <w:tr>
        <w:trPr>
          <w:trHeight w:val="20"/>
        </w:trPr>
        <w:tc>
          <w:tcPr>
            <w:tcW w:w="1560" w:type="dxa"/>
            <w:vAlign w:val="bottom"/>
            <w:gridSpan w:val="3"/>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10.4*</w:t>
            </w:r>
          </w:p>
        </w:tc>
        <w:tc>
          <w:tcPr>
            <w:tcW w:w="8220" w:type="dxa"/>
            <w:vAlign w:val="bottom"/>
            <w:tcBorders>
              <w:bottom w:val="single" w:sz="8" w:color="0000EE"/>
            </w:tcBorders>
            <w:gridSpan w:val="15"/>
          </w:tcPr>
          <w:p>
            <w:pPr>
              <w:spacing w:after="0"/>
              <w:rPr>
                <w:rFonts w:ascii="Arial" w:cs="Arial" w:eastAsia="Arial" w:hAnsi="Arial"/>
                <w:sz w:val="16"/>
                <w:szCs w:val="16"/>
                <w:color w:val="0000EE"/>
                <w:w w:val="97"/>
              </w:rPr>
            </w:pPr>
            <w:hyperlink r:id="rId332">
              <w:r>
                <w:rPr>
                  <w:rFonts w:ascii="Arial" w:cs="Arial" w:eastAsia="Arial" w:hAnsi="Arial"/>
                  <w:sz w:val="16"/>
                  <w:szCs w:val="16"/>
                  <w:color w:val="0000EE"/>
                  <w:w w:val="97"/>
                </w:rPr>
                <w:t>Form of Amended and Restated Employment Agreement by and between Kiniksa Pharmaceuticals Corp. and Stephen</w:t>
              </w:r>
            </w:hyperlink>
          </w:p>
        </w:tc>
        <w:tc>
          <w:tcPr>
            <w:tcW w:w="60" w:type="dxa"/>
            <w:vAlign w:val="bottom"/>
          </w:tcPr>
          <w:p>
            <w:pPr>
              <w:spacing w:after="0"/>
              <w:rPr>
                <w:sz w:val="24"/>
                <w:szCs w:val="24"/>
                <w:color w:val="auto"/>
              </w:rPr>
            </w:pPr>
          </w:p>
        </w:tc>
      </w:tr>
      <w:tr>
        <w:trPr>
          <w:trHeight w:val="161"/>
        </w:trPr>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80" w:type="dxa"/>
            <w:vAlign w:val="bottom"/>
            <w:gridSpan w:val="16"/>
          </w:tcPr>
          <w:p>
            <w:pPr>
              <w:spacing w:after="0" w:line="161" w:lineRule="exact"/>
              <w:rPr>
                <w:rFonts w:ascii="Arial" w:cs="Arial" w:eastAsia="Arial" w:hAnsi="Arial"/>
                <w:sz w:val="16"/>
                <w:szCs w:val="16"/>
                <w:color w:val="0000EE"/>
              </w:rPr>
            </w:pPr>
            <w:hyperlink r:id="rId332">
              <w:r>
                <w:rPr>
                  <w:rFonts w:ascii="Arial" w:cs="Arial" w:eastAsia="Arial" w:hAnsi="Arial"/>
                  <w:sz w:val="16"/>
                  <w:szCs w:val="16"/>
                  <w:color w:val="0000EE"/>
                </w:rPr>
                <w:t>Mahoney, to be entered into in connection with this offering</w:t>
              </w:r>
            </w:hyperlink>
          </w:p>
        </w:tc>
      </w:tr>
      <w:tr>
        <w:trPr>
          <w:trHeight w:val="20"/>
        </w:trPr>
        <w:tc>
          <w:tcPr>
            <w:tcW w:w="1560" w:type="dxa"/>
            <w:vAlign w:val="bottom"/>
            <w:gridSpan w:val="3"/>
          </w:tcPr>
          <w:p>
            <w:pPr>
              <w:spacing w:after="0" w:line="20" w:lineRule="exact"/>
              <w:rPr>
                <w:sz w:val="1"/>
                <w:szCs w:val="1"/>
                <w:color w:val="auto"/>
              </w:rPr>
            </w:pPr>
          </w:p>
        </w:tc>
        <w:tc>
          <w:tcPr>
            <w:tcW w:w="39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0" w:type="dxa"/>
            <w:vAlign w:val="bottom"/>
            <w:gridSpan w:val="9"/>
          </w:tcPr>
          <w:p>
            <w:pPr>
              <w:spacing w:after="0" w:line="20" w:lineRule="exact"/>
              <w:rPr>
                <w:sz w:val="1"/>
                <w:szCs w:val="1"/>
                <w:color w:val="auto"/>
              </w:rPr>
            </w:pPr>
          </w:p>
        </w:tc>
      </w:tr>
      <w:tr>
        <w:trPr>
          <w:trHeight w:val="342"/>
        </w:trPr>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10.5*</w:t>
            </w:r>
          </w:p>
        </w:tc>
        <w:tc>
          <w:tcPr>
            <w:tcW w:w="8140" w:type="dxa"/>
            <w:vAlign w:val="bottom"/>
            <w:tcBorders>
              <w:bottom w:val="single" w:sz="8" w:color="0000EE"/>
            </w:tcBorders>
            <w:gridSpan w:val="14"/>
          </w:tcPr>
          <w:p>
            <w:pPr>
              <w:spacing w:after="0"/>
              <w:rPr>
                <w:rFonts w:ascii="Arial" w:cs="Arial" w:eastAsia="Arial" w:hAnsi="Arial"/>
                <w:sz w:val="16"/>
                <w:szCs w:val="16"/>
                <w:color w:val="0000EE"/>
                <w:w w:val="97"/>
              </w:rPr>
            </w:pPr>
            <w:hyperlink r:id="rId333">
              <w:r>
                <w:rPr>
                  <w:rFonts w:ascii="Arial" w:cs="Arial" w:eastAsia="Arial" w:hAnsi="Arial"/>
                  <w:sz w:val="16"/>
                  <w:szCs w:val="16"/>
                  <w:color w:val="0000EE"/>
                  <w:w w:val="97"/>
                </w:rPr>
                <w:t>Form of Amended and Restated Employment Agreement by and between Kiniksa Pharmaceuticals Corp. and John F.</w:t>
              </w:r>
            </w:hyperlink>
          </w:p>
        </w:tc>
        <w:tc>
          <w:tcPr>
            <w:tcW w:w="140" w:type="dxa"/>
            <w:vAlign w:val="bottom"/>
            <w:gridSpan w:val="2"/>
          </w:tcPr>
          <w:p>
            <w:pPr>
              <w:spacing w:after="0"/>
              <w:rPr>
                <w:sz w:val="24"/>
                <w:szCs w:val="24"/>
                <w:color w:val="auto"/>
              </w:rPr>
            </w:pPr>
          </w:p>
        </w:tc>
      </w:tr>
      <w:tr>
        <w:trPr>
          <w:trHeight w:val="161"/>
        </w:trPr>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20" w:type="dxa"/>
            <w:vAlign w:val="bottom"/>
            <w:tcBorders>
              <w:bottom w:val="single" w:sz="8" w:color="0000EE"/>
            </w:tcBorders>
            <w:gridSpan w:val="6"/>
          </w:tcPr>
          <w:p>
            <w:pPr>
              <w:spacing w:after="0" w:line="161" w:lineRule="exact"/>
              <w:rPr>
                <w:rFonts w:ascii="Arial" w:cs="Arial" w:eastAsia="Arial" w:hAnsi="Arial"/>
                <w:sz w:val="16"/>
                <w:szCs w:val="16"/>
                <w:color w:val="0000EE"/>
                <w:w w:val="97"/>
              </w:rPr>
            </w:pPr>
            <w:hyperlink r:id="rId333">
              <w:r>
                <w:rPr>
                  <w:rFonts w:ascii="Arial" w:cs="Arial" w:eastAsia="Arial" w:hAnsi="Arial"/>
                  <w:sz w:val="16"/>
                  <w:szCs w:val="16"/>
                  <w:color w:val="0000EE"/>
                  <w:w w:val="97"/>
                </w:rPr>
                <w:t>Paolini, to be entered into in connection with this offering</w:t>
              </w:r>
            </w:hyperlink>
          </w:p>
        </w:tc>
        <w:tc>
          <w:tcPr>
            <w:tcW w:w="4360" w:type="dxa"/>
            <w:vAlign w:val="bottom"/>
            <w:gridSpan w:val="10"/>
          </w:tcPr>
          <w:p>
            <w:pPr>
              <w:spacing w:after="0"/>
              <w:rPr>
                <w:sz w:val="13"/>
                <w:szCs w:val="13"/>
                <w:color w:val="auto"/>
              </w:rPr>
            </w:pPr>
          </w:p>
        </w:tc>
      </w:tr>
    </w:tbl>
    <w:p>
      <w:pPr>
        <w:spacing w:after="0" w:line="196" w:lineRule="exact"/>
        <w:rPr>
          <w:sz w:val="20"/>
          <w:szCs w:val="20"/>
          <w:color w:val="auto"/>
        </w:rPr>
      </w:pPr>
    </w:p>
    <w:p>
      <w:pPr>
        <w:ind w:left="2000" w:right="640" w:hanging="461"/>
        <w:spacing w:after="0" w:line="241" w:lineRule="auto"/>
        <w:rPr>
          <w:rFonts w:ascii="Arial" w:cs="Arial" w:eastAsia="Arial" w:hAnsi="Arial"/>
          <w:sz w:val="16"/>
          <w:szCs w:val="16"/>
          <w:u w:val="single" w:color="auto"/>
          <w:color w:val="0000EE"/>
        </w:rPr>
      </w:pPr>
      <w:r>
        <w:rPr>
          <w:rFonts w:ascii="Arial" w:cs="Arial" w:eastAsia="Arial" w:hAnsi="Arial"/>
          <w:sz w:val="16"/>
          <w:szCs w:val="16"/>
          <w:color w:val="auto"/>
        </w:rPr>
        <w:t>10.6†*</w:t>
      </w:r>
      <w:hyperlink r:id="rId334">
        <w:r>
          <w:rPr>
            <w:rFonts w:ascii="Arial" w:cs="Arial" w:eastAsia="Arial" w:hAnsi="Arial"/>
            <w:sz w:val="16"/>
            <w:szCs w:val="16"/>
            <w:u w:val="single" w:color="auto"/>
            <w:color w:val="0000EE"/>
          </w:rPr>
          <w:t>Asset Purchase Agreement, dated September 7, 2016, by and between the Registrant and Biogen MA Inc., as</w:t>
        </w:r>
      </w:hyperlink>
      <w:r>
        <w:rPr>
          <w:rFonts w:ascii="Arial" w:cs="Arial" w:eastAsia="Arial" w:hAnsi="Arial"/>
          <w:sz w:val="16"/>
          <w:szCs w:val="16"/>
          <w:color w:val="auto"/>
        </w:rPr>
        <w:t xml:space="preserve"> </w:t>
      </w:r>
      <w:hyperlink r:id="rId334">
        <w:r>
          <w:rPr>
            <w:rFonts w:ascii="Arial" w:cs="Arial" w:eastAsia="Arial" w:hAnsi="Arial"/>
            <w:sz w:val="16"/>
            <w:szCs w:val="16"/>
            <w:u w:val="single" w:color="auto"/>
            <w:color w:val="0000EE"/>
          </w:rPr>
          <w:t>amended</w:t>
        </w:r>
      </w:hyperlink>
    </w:p>
    <w:p>
      <w:pPr>
        <w:spacing w:after="0" w:line="173" w:lineRule="exact"/>
        <w:rPr>
          <w:sz w:val="20"/>
          <w:szCs w:val="20"/>
          <w:color w:val="auto"/>
        </w:rPr>
      </w:pPr>
    </w:p>
    <w:p>
      <w:pPr>
        <w:ind w:left="1540"/>
        <w:spacing w:after="0"/>
        <w:rPr>
          <w:rFonts w:ascii="Arial" w:cs="Arial" w:eastAsia="Arial" w:hAnsi="Arial"/>
          <w:sz w:val="15"/>
          <w:szCs w:val="15"/>
          <w:color w:val="auto"/>
        </w:rPr>
      </w:pPr>
      <w:r>
        <w:rPr>
          <w:rFonts w:ascii="Arial" w:cs="Arial" w:eastAsia="Arial" w:hAnsi="Arial"/>
          <w:sz w:val="15"/>
          <w:szCs w:val="15"/>
          <w:color w:val="auto"/>
        </w:rPr>
        <w:t>10.7†*</w:t>
      </w:r>
      <w:hyperlink r:id="rId335">
        <w:r>
          <w:rPr>
            <w:rFonts w:ascii="Arial" w:cs="Arial" w:eastAsia="Arial" w:hAnsi="Arial"/>
            <w:sz w:val="15"/>
            <w:szCs w:val="15"/>
            <w:u w:val="single" w:color="auto"/>
            <w:color w:val="0000EE"/>
          </w:rPr>
          <w:t>License Agreement, dated September 25, 2017, by and between the Registrant and Regeneron Pharmaceuticals, Inc.</w:t>
        </w:r>
      </w:hyperlink>
    </w:p>
    <w:p>
      <w:pPr>
        <w:spacing w:after="0" w:line="189" w:lineRule="exact"/>
        <w:rPr>
          <w:sz w:val="20"/>
          <w:szCs w:val="20"/>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10.8†*</w:t>
      </w:r>
      <w:hyperlink r:id="rId336">
        <w:r>
          <w:rPr>
            <w:rFonts w:ascii="Arial" w:cs="Arial" w:eastAsia="Arial" w:hAnsi="Arial"/>
            <w:sz w:val="16"/>
            <w:szCs w:val="16"/>
            <w:u w:val="single" w:color="auto"/>
            <w:color w:val="0000EE"/>
          </w:rPr>
          <w:t>License Agreement, dated as of December 21, 2017, by and between the Registrant and MedImmune, Limited</w:t>
        </w:r>
      </w:hyperlink>
    </w:p>
    <w:p>
      <w:pPr>
        <w:spacing w:after="0" w:line="178" w:lineRule="exact"/>
        <w:rPr>
          <w:sz w:val="20"/>
          <w:szCs w:val="20"/>
          <w:color w:val="auto"/>
        </w:rPr>
      </w:pPr>
    </w:p>
    <w:p>
      <w:pPr>
        <w:ind w:left="2000" w:right="780" w:hanging="461"/>
        <w:spacing w:after="0" w:line="24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10.9* </w:t>
      </w:r>
      <w:hyperlink r:id="rId337">
        <w:r>
          <w:rPr>
            <w:rFonts w:ascii="Arial" w:cs="Arial" w:eastAsia="Arial" w:hAnsi="Arial"/>
            <w:sz w:val="16"/>
            <w:szCs w:val="16"/>
            <w:u w:val="single" w:color="auto"/>
            <w:color w:val="0000EE"/>
          </w:rPr>
          <w:t>Clinical Supply Agreement, dated as of September 27, 2017, by and between the Registrant and Regeneron</w:t>
        </w:r>
      </w:hyperlink>
      <w:r>
        <w:rPr>
          <w:rFonts w:ascii="Arial" w:cs="Arial" w:eastAsia="Arial" w:hAnsi="Arial"/>
          <w:sz w:val="16"/>
          <w:szCs w:val="16"/>
          <w:color w:val="auto"/>
        </w:rPr>
        <w:t xml:space="preserve"> </w:t>
      </w:r>
      <w:hyperlink r:id="rId337">
        <w:r>
          <w:rPr>
            <w:rFonts w:ascii="Arial" w:cs="Arial" w:eastAsia="Arial" w:hAnsi="Arial"/>
            <w:sz w:val="16"/>
            <w:szCs w:val="16"/>
            <w:u w:val="single" w:color="auto"/>
            <w:color w:val="0000EE"/>
          </w:rPr>
          <w:t>Pharmaceuticals, Inc.</w:t>
        </w:r>
      </w:hyperlink>
    </w:p>
    <w:p>
      <w:pPr>
        <w:spacing w:after="0" w:line="173" w:lineRule="exact"/>
        <w:rPr>
          <w:sz w:val="20"/>
          <w:szCs w:val="20"/>
          <w:color w:val="auto"/>
        </w:rPr>
      </w:pPr>
    </w:p>
    <w:p>
      <w:pPr>
        <w:ind w:left="2000" w:right="180" w:hanging="548"/>
        <w:spacing w:after="0" w:line="24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10.10* </w:t>
      </w:r>
      <w:hyperlink r:id="rId338">
        <w:r>
          <w:rPr>
            <w:rFonts w:ascii="Arial" w:cs="Arial" w:eastAsia="Arial" w:hAnsi="Arial"/>
            <w:sz w:val="16"/>
            <w:szCs w:val="16"/>
            <w:u w:val="single" w:color="auto"/>
            <w:color w:val="0000EE"/>
          </w:rPr>
          <w:t>Sublease Agreement, dated as of March 13, 2018, by and between Kiniksa Pharmaceuticals Corp. and Shire Human</w:t>
        </w:r>
      </w:hyperlink>
      <w:r>
        <w:rPr>
          <w:rFonts w:ascii="Arial" w:cs="Arial" w:eastAsia="Arial" w:hAnsi="Arial"/>
          <w:sz w:val="16"/>
          <w:szCs w:val="16"/>
          <w:color w:val="auto"/>
        </w:rPr>
        <w:t xml:space="preserve"> </w:t>
      </w:r>
      <w:hyperlink r:id="rId338">
        <w:r>
          <w:rPr>
            <w:rFonts w:ascii="Arial" w:cs="Arial" w:eastAsia="Arial" w:hAnsi="Arial"/>
            <w:sz w:val="16"/>
            <w:szCs w:val="16"/>
            <w:u w:val="single" w:color="auto"/>
            <w:color w:val="0000EE"/>
          </w:rPr>
          <w:t>Genetic Therapies, Inc.</w:t>
        </w:r>
      </w:hyperlink>
    </w:p>
    <w:p>
      <w:pPr>
        <w:spacing w:after="0" w:line="173" w:lineRule="exact"/>
        <w:rPr>
          <w:sz w:val="20"/>
          <w:szCs w:val="20"/>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 xml:space="preserve">10.11* </w:t>
      </w:r>
      <w:hyperlink r:id="rId339">
        <w:r>
          <w:rPr>
            <w:rFonts w:ascii="Arial" w:cs="Arial" w:eastAsia="Arial" w:hAnsi="Arial"/>
            <w:sz w:val="16"/>
            <w:szCs w:val="16"/>
            <w:u w:val="single" w:color="auto"/>
            <w:color w:val="0000EE"/>
          </w:rPr>
          <w:t>Form of Indemnification Agreement for Non-Fund-Designated Directors</w:t>
        </w:r>
      </w:hyperlink>
    </w:p>
    <w:p>
      <w:pPr>
        <w:spacing w:after="0" w:line="178" w:lineRule="exact"/>
        <w:rPr>
          <w:sz w:val="20"/>
          <w:szCs w:val="20"/>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 xml:space="preserve">10.12* </w:t>
      </w:r>
      <w:hyperlink r:id="rId340">
        <w:r>
          <w:rPr>
            <w:rFonts w:ascii="Arial" w:cs="Arial" w:eastAsia="Arial" w:hAnsi="Arial"/>
            <w:sz w:val="16"/>
            <w:szCs w:val="16"/>
            <w:u w:val="single" w:color="auto"/>
            <w:color w:val="0000EE"/>
          </w:rPr>
          <w:t>Form of Indemnification Agreement for Fund-Designated Directors</w:t>
        </w:r>
      </w:hyperlink>
    </w:p>
    <w:p>
      <w:pPr>
        <w:spacing w:after="0" w:line="178" w:lineRule="exact"/>
        <w:rPr>
          <w:sz w:val="20"/>
          <w:szCs w:val="20"/>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 xml:space="preserve">10.13* </w:t>
      </w:r>
      <w:hyperlink r:id="rId341">
        <w:r>
          <w:rPr>
            <w:rFonts w:ascii="Arial" w:cs="Arial" w:eastAsia="Arial" w:hAnsi="Arial"/>
            <w:sz w:val="16"/>
            <w:szCs w:val="16"/>
            <w:u w:val="single" w:color="auto"/>
            <w:color w:val="0000EE"/>
          </w:rPr>
          <w:t>Form of Indemnification Agreement for Officers</w:t>
        </w:r>
      </w:hyperlink>
    </w:p>
    <w:p>
      <w:pPr>
        <w:spacing w:after="0" w:line="178" w:lineRule="exact"/>
        <w:rPr>
          <w:sz w:val="20"/>
          <w:szCs w:val="20"/>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 xml:space="preserve">10.14* </w:t>
      </w:r>
      <w:hyperlink r:id="rId342">
        <w:r>
          <w:rPr>
            <w:rFonts w:ascii="Arial" w:cs="Arial" w:eastAsia="Arial" w:hAnsi="Arial"/>
            <w:sz w:val="16"/>
            <w:szCs w:val="16"/>
            <w:u w:val="single" w:color="auto"/>
            <w:color w:val="0000EE"/>
          </w:rPr>
          <w:t>2018 Employee Share Purchase Plan</w:t>
        </w:r>
      </w:hyperlink>
    </w:p>
    <w:p>
      <w:pPr>
        <w:spacing w:after="0" w:line="37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280"/>
          </w:cols>
          <w:pgMar w:left="240" w:top="143" w:right="137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184"/>
        </w:trPr>
        <w:tc>
          <w:tcPr>
            <w:tcW w:w="1980" w:type="dxa"/>
            <w:vAlign w:val="bottom"/>
            <w:gridSpan w:val="4"/>
          </w:tcPr>
          <w:p>
            <w:pPr>
              <w:jc w:val="right"/>
              <w:ind w:right="760"/>
              <w:spacing w:after="0"/>
              <w:rPr>
                <w:rFonts w:ascii="Arial" w:cs="Arial" w:eastAsia="Arial" w:hAnsi="Arial"/>
                <w:sz w:val="16"/>
                <w:szCs w:val="16"/>
                <w:color w:val="0000EE"/>
                <w:w w:val="94"/>
              </w:rPr>
            </w:pPr>
            <w:hyperlink w:anchor="page4">
              <w:r>
                <w:rPr>
                  <w:rFonts w:ascii="Arial" w:cs="Arial" w:eastAsia="Arial" w:hAnsi="Arial"/>
                  <w:sz w:val="16"/>
                  <w:szCs w:val="16"/>
                  <w:color w:val="0000EE"/>
                  <w:w w:val="94"/>
                </w:rPr>
                <w:t>Table of Contents</w:t>
              </w:r>
            </w:hyperlink>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1"/>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7"/>
              </w:rPr>
              <w:t>Exhibit</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1140" w:type="dxa"/>
            <w:vAlign w:val="bottom"/>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Description of Exhibit</w:t>
            </w:r>
          </w:p>
        </w:tc>
      </w:tr>
      <w:tr>
        <w:trPr>
          <w:trHeight w:val="157"/>
        </w:trPr>
        <w:tc>
          <w:tcPr>
            <w:tcW w:w="1980" w:type="dxa"/>
            <w:vAlign w:val="bottom"/>
            <w:gridSpan w:val="4"/>
          </w:tcPr>
          <w:p>
            <w:pPr>
              <w:jc w:val="right"/>
              <w:ind w:right="80"/>
              <w:spacing w:after="0" w:line="157" w:lineRule="exact"/>
              <w:rPr>
                <w:sz w:val="20"/>
                <w:szCs w:val="20"/>
                <w:color w:val="auto"/>
              </w:rPr>
            </w:pPr>
            <w:r>
              <w:rPr>
                <w:rFonts w:ascii="Arial" w:cs="Arial" w:eastAsia="Arial" w:hAnsi="Arial"/>
                <w:sz w:val="16"/>
                <w:szCs w:val="16"/>
                <w:color w:val="auto"/>
              </w:rPr>
              <w:t>10.15*</w:t>
            </w:r>
          </w:p>
        </w:tc>
        <w:tc>
          <w:tcPr>
            <w:tcW w:w="3340" w:type="dxa"/>
            <w:vAlign w:val="bottom"/>
            <w:tcBorders>
              <w:bottom w:val="single" w:sz="8" w:color="0000EE"/>
            </w:tcBorders>
            <w:gridSpan w:val="4"/>
          </w:tcPr>
          <w:p>
            <w:pPr>
              <w:spacing w:after="0" w:line="157" w:lineRule="exact"/>
              <w:rPr>
                <w:rFonts w:ascii="Arial" w:cs="Arial" w:eastAsia="Arial" w:hAnsi="Arial"/>
                <w:sz w:val="16"/>
                <w:szCs w:val="16"/>
                <w:color w:val="0000EE"/>
                <w:w w:val="97"/>
              </w:rPr>
            </w:pPr>
            <w:hyperlink r:id="rId344">
              <w:r>
                <w:rPr>
                  <w:rFonts w:ascii="Arial" w:cs="Arial" w:eastAsia="Arial" w:hAnsi="Arial"/>
                  <w:sz w:val="16"/>
                  <w:szCs w:val="16"/>
                  <w:color w:val="0000EE"/>
                  <w:w w:val="97"/>
                </w:rPr>
                <w:t>Non-Employee Director Compensation Program</w:t>
              </w:r>
            </w:hyperlink>
          </w:p>
        </w:tc>
        <w:tc>
          <w:tcPr>
            <w:tcW w:w="4960" w:type="dxa"/>
            <w:vAlign w:val="bottom"/>
            <w:gridSpan w:val="9"/>
          </w:tcPr>
          <w:p>
            <w:pPr>
              <w:spacing w:after="0"/>
              <w:rPr>
                <w:sz w:val="13"/>
                <w:szCs w:val="13"/>
                <w:color w:val="auto"/>
              </w:rPr>
            </w:pPr>
          </w:p>
        </w:tc>
      </w:tr>
      <w:tr>
        <w:trPr>
          <w:trHeight w:val="342"/>
        </w:trPr>
        <w:tc>
          <w:tcPr>
            <w:tcW w:w="1980" w:type="dxa"/>
            <w:vAlign w:val="bottom"/>
            <w:gridSpan w:val="4"/>
          </w:tcPr>
          <w:p>
            <w:pPr>
              <w:jc w:val="right"/>
              <w:ind w:right="80"/>
              <w:spacing w:after="0"/>
              <w:rPr>
                <w:sz w:val="20"/>
                <w:szCs w:val="20"/>
                <w:color w:val="auto"/>
              </w:rPr>
            </w:pPr>
            <w:r>
              <w:rPr>
                <w:rFonts w:ascii="Arial" w:cs="Arial" w:eastAsia="Arial" w:hAnsi="Arial"/>
                <w:sz w:val="16"/>
                <w:szCs w:val="16"/>
                <w:color w:val="auto"/>
              </w:rPr>
              <w:t>10.16*</w:t>
            </w:r>
          </w:p>
        </w:tc>
        <w:tc>
          <w:tcPr>
            <w:tcW w:w="8220" w:type="dxa"/>
            <w:vAlign w:val="bottom"/>
            <w:tcBorders>
              <w:bottom w:val="single" w:sz="8" w:color="0000EE"/>
            </w:tcBorders>
            <w:gridSpan w:val="12"/>
          </w:tcPr>
          <w:p>
            <w:pPr>
              <w:spacing w:after="0"/>
              <w:rPr>
                <w:rFonts w:ascii="Arial" w:cs="Arial" w:eastAsia="Arial" w:hAnsi="Arial"/>
                <w:sz w:val="16"/>
                <w:szCs w:val="16"/>
                <w:color w:val="0000EE"/>
                <w:w w:val="97"/>
              </w:rPr>
            </w:pPr>
            <w:hyperlink r:id="rId345">
              <w:r>
                <w:rPr>
                  <w:rFonts w:ascii="Arial" w:cs="Arial" w:eastAsia="Arial" w:hAnsi="Arial"/>
                  <w:sz w:val="16"/>
                  <w:szCs w:val="16"/>
                  <w:color w:val="0000EE"/>
                  <w:w w:val="97"/>
                </w:rPr>
                <w:t>Form of Amended and Restated Employment Agreement by and between Kiniksa Pharmaceuticals Corp. and Thomas</w:t>
              </w:r>
            </w:hyperlink>
          </w:p>
        </w:tc>
        <w:tc>
          <w:tcPr>
            <w:tcW w:w="80" w:type="dxa"/>
            <w:vAlign w:val="bottom"/>
          </w:tcPr>
          <w:p>
            <w:pPr>
              <w:spacing w:after="0"/>
              <w:rPr>
                <w:sz w:val="24"/>
                <w:szCs w:val="24"/>
                <w:color w:val="auto"/>
              </w:rPr>
            </w:pPr>
          </w:p>
        </w:tc>
      </w:tr>
      <w:tr>
        <w:trPr>
          <w:trHeight w:val="161"/>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300" w:type="dxa"/>
            <w:vAlign w:val="bottom"/>
            <w:gridSpan w:val="13"/>
          </w:tcPr>
          <w:p>
            <w:pPr>
              <w:spacing w:after="0" w:line="161" w:lineRule="exact"/>
              <w:rPr>
                <w:rFonts w:ascii="Arial" w:cs="Arial" w:eastAsia="Arial" w:hAnsi="Arial"/>
                <w:sz w:val="16"/>
                <w:szCs w:val="16"/>
                <w:color w:val="0000EE"/>
              </w:rPr>
            </w:pPr>
            <w:hyperlink r:id="rId345">
              <w:r>
                <w:rPr>
                  <w:rFonts w:ascii="Arial" w:cs="Arial" w:eastAsia="Arial" w:hAnsi="Arial"/>
                  <w:sz w:val="16"/>
                  <w:szCs w:val="16"/>
                  <w:color w:val="0000EE"/>
                </w:rPr>
                <w:t>Beetham, to be entered into in connection with this offering</w:t>
              </w:r>
            </w:hyperlink>
          </w:p>
        </w:tc>
      </w:tr>
      <w:tr>
        <w:trPr>
          <w:trHeight w:val="20"/>
        </w:trPr>
        <w:tc>
          <w:tcPr>
            <w:tcW w:w="1980" w:type="dxa"/>
            <w:vAlign w:val="bottom"/>
            <w:gridSpan w:val="4"/>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2"/>
        </w:trPr>
        <w:tc>
          <w:tcPr>
            <w:tcW w:w="1980" w:type="dxa"/>
            <w:vAlign w:val="bottom"/>
            <w:gridSpan w:val="4"/>
          </w:tcPr>
          <w:p>
            <w:pPr>
              <w:jc w:val="right"/>
              <w:ind w:right="80"/>
              <w:spacing w:after="0"/>
              <w:rPr>
                <w:sz w:val="20"/>
                <w:szCs w:val="20"/>
                <w:color w:val="auto"/>
              </w:rPr>
            </w:pPr>
            <w:r>
              <w:rPr>
                <w:rFonts w:ascii="Arial" w:cs="Arial" w:eastAsia="Arial" w:hAnsi="Arial"/>
                <w:sz w:val="16"/>
                <w:szCs w:val="16"/>
                <w:color w:val="auto"/>
              </w:rPr>
              <w:t>10.17*</w:t>
            </w:r>
          </w:p>
        </w:tc>
        <w:tc>
          <w:tcPr>
            <w:tcW w:w="8300" w:type="dxa"/>
            <w:vAlign w:val="bottom"/>
            <w:gridSpan w:val="13"/>
          </w:tcPr>
          <w:p>
            <w:pPr>
              <w:spacing w:after="0"/>
              <w:rPr>
                <w:rFonts w:ascii="Arial" w:cs="Arial" w:eastAsia="Arial" w:hAnsi="Arial"/>
                <w:sz w:val="16"/>
                <w:szCs w:val="16"/>
                <w:color w:val="0000EE"/>
              </w:rPr>
            </w:pPr>
            <w:hyperlink r:id="rId346">
              <w:r>
                <w:rPr>
                  <w:rFonts w:ascii="Arial" w:cs="Arial" w:eastAsia="Arial" w:hAnsi="Arial"/>
                  <w:sz w:val="16"/>
                  <w:szCs w:val="16"/>
                  <w:color w:val="0000EE"/>
                </w:rPr>
                <w:t>Form of Amended and Restated Employment Agreement by and between Kiniksa Pharmaceuticals Corp. and Chris</w:t>
              </w:r>
            </w:hyperlink>
          </w:p>
        </w:tc>
      </w:tr>
      <w:tr>
        <w:trPr>
          <w:trHeight w:val="161"/>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80" w:type="dxa"/>
            <w:vAlign w:val="bottom"/>
            <w:tcBorders>
              <w:top w:val="single" w:sz="8" w:color="0000EE"/>
              <w:bottom w:val="single" w:sz="8" w:color="0000EE"/>
            </w:tcBorders>
            <w:gridSpan w:val="6"/>
          </w:tcPr>
          <w:p>
            <w:pPr>
              <w:spacing w:after="0" w:line="161" w:lineRule="exact"/>
              <w:rPr>
                <w:rFonts w:ascii="Arial" w:cs="Arial" w:eastAsia="Arial" w:hAnsi="Arial"/>
                <w:sz w:val="16"/>
                <w:szCs w:val="16"/>
                <w:color w:val="0000EE"/>
                <w:w w:val="98"/>
              </w:rPr>
            </w:pPr>
            <w:hyperlink r:id="rId346">
              <w:r>
                <w:rPr>
                  <w:rFonts w:ascii="Arial" w:cs="Arial" w:eastAsia="Arial" w:hAnsi="Arial"/>
                  <w:sz w:val="16"/>
                  <w:szCs w:val="16"/>
                  <w:color w:val="0000EE"/>
                  <w:w w:val="98"/>
                </w:rPr>
                <w:t>Heberlig, to be entered into in connection with this offering</w:t>
              </w:r>
            </w:hyperlink>
          </w:p>
        </w:tc>
        <w:tc>
          <w:tcPr>
            <w:tcW w:w="3920" w:type="dxa"/>
            <w:vAlign w:val="bottom"/>
            <w:tcBorders>
              <w:top w:val="single" w:sz="8" w:color="0000EE"/>
            </w:tcBorders>
            <w:gridSpan w:val="4"/>
          </w:tcPr>
          <w:p>
            <w:pPr>
              <w:spacing w:after="0"/>
              <w:rPr>
                <w:sz w:val="13"/>
                <w:szCs w:val="13"/>
                <w:color w:val="auto"/>
              </w:rPr>
            </w:pPr>
          </w:p>
        </w:tc>
        <w:tc>
          <w:tcPr>
            <w:tcW w:w="300" w:type="dxa"/>
            <w:vAlign w:val="bottom"/>
            <w:gridSpan w:val="3"/>
          </w:tcPr>
          <w:p>
            <w:pPr>
              <w:spacing w:after="0"/>
              <w:rPr>
                <w:sz w:val="13"/>
                <w:szCs w:val="13"/>
                <w:color w:val="auto"/>
              </w:rPr>
            </w:pPr>
          </w:p>
        </w:tc>
      </w:tr>
      <w:tr>
        <w:trPr>
          <w:trHeight w:val="342"/>
        </w:trPr>
        <w:tc>
          <w:tcPr>
            <w:tcW w:w="1980" w:type="dxa"/>
            <w:vAlign w:val="bottom"/>
            <w:gridSpan w:val="4"/>
          </w:tcPr>
          <w:p>
            <w:pPr>
              <w:jc w:val="right"/>
              <w:ind w:right="80"/>
              <w:spacing w:after="0"/>
              <w:rPr>
                <w:sz w:val="20"/>
                <w:szCs w:val="20"/>
                <w:color w:val="auto"/>
              </w:rPr>
            </w:pPr>
            <w:r>
              <w:rPr>
                <w:rFonts w:ascii="Arial" w:cs="Arial" w:eastAsia="Arial" w:hAnsi="Arial"/>
                <w:sz w:val="16"/>
                <w:szCs w:val="16"/>
                <w:color w:val="auto"/>
              </w:rPr>
              <w:t>10.18*</w:t>
            </w:r>
          </w:p>
        </w:tc>
        <w:tc>
          <w:tcPr>
            <w:tcW w:w="8200" w:type="dxa"/>
            <w:vAlign w:val="bottom"/>
            <w:tcBorders>
              <w:bottom w:val="single" w:sz="8" w:color="0000EE"/>
            </w:tcBorders>
            <w:gridSpan w:val="11"/>
          </w:tcPr>
          <w:p>
            <w:pPr>
              <w:spacing w:after="0"/>
              <w:rPr>
                <w:rFonts w:ascii="Arial" w:cs="Arial" w:eastAsia="Arial" w:hAnsi="Arial"/>
                <w:sz w:val="16"/>
                <w:szCs w:val="16"/>
                <w:color w:val="0000EE"/>
                <w:w w:val="97"/>
              </w:rPr>
            </w:pPr>
            <w:hyperlink r:id="rId347">
              <w:r>
                <w:rPr>
                  <w:rFonts w:ascii="Arial" w:cs="Arial" w:eastAsia="Arial" w:hAnsi="Arial"/>
                  <w:sz w:val="16"/>
                  <w:szCs w:val="16"/>
                  <w:color w:val="0000EE"/>
                  <w:w w:val="97"/>
                </w:rPr>
                <w:t>Form of Amended and Restated Employment Agreement by and between Kiniksa Pharmaceuticals Corp. and Carsten</w:t>
              </w:r>
            </w:hyperlink>
          </w:p>
        </w:tc>
        <w:tc>
          <w:tcPr>
            <w:tcW w:w="100" w:type="dxa"/>
            <w:vAlign w:val="bottom"/>
            <w:gridSpan w:val="2"/>
          </w:tcPr>
          <w:p>
            <w:pPr>
              <w:spacing w:after="0"/>
              <w:rPr>
                <w:sz w:val="24"/>
                <w:szCs w:val="24"/>
                <w:color w:val="auto"/>
              </w:rPr>
            </w:pPr>
          </w:p>
        </w:tc>
      </w:tr>
      <w:tr>
        <w:trPr>
          <w:trHeight w:val="161"/>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00" w:type="dxa"/>
            <w:vAlign w:val="bottom"/>
            <w:tcBorders>
              <w:bottom w:val="single" w:sz="8" w:color="0000EE"/>
            </w:tcBorders>
            <w:gridSpan w:val="5"/>
          </w:tcPr>
          <w:p>
            <w:pPr>
              <w:spacing w:after="0" w:line="161" w:lineRule="exact"/>
              <w:rPr>
                <w:rFonts w:ascii="Arial" w:cs="Arial" w:eastAsia="Arial" w:hAnsi="Arial"/>
                <w:sz w:val="16"/>
                <w:szCs w:val="16"/>
                <w:color w:val="0000EE"/>
                <w:w w:val="97"/>
              </w:rPr>
            </w:pPr>
            <w:hyperlink r:id="rId347">
              <w:r>
                <w:rPr>
                  <w:rFonts w:ascii="Arial" w:cs="Arial" w:eastAsia="Arial" w:hAnsi="Arial"/>
                  <w:sz w:val="16"/>
                  <w:szCs w:val="16"/>
                  <w:color w:val="0000EE"/>
                  <w:w w:val="97"/>
                </w:rPr>
                <w:t>Boess, to be entered into in connection with this offering</w:t>
              </w:r>
            </w:hyperlink>
          </w:p>
        </w:tc>
        <w:tc>
          <w:tcPr>
            <w:tcW w:w="4400" w:type="dxa"/>
            <w:vAlign w:val="bottom"/>
            <w:gridSpan w:val="8"/>
          </w:tcPr>
          <w:p>
            <w:pPr>
              <w:spacing w:after="0"/>
              <w:rPr>
                <w:sz w:val="13"/>
                <w:szCs w:val="13"/>
                <w:color w:val="auto"/>
              </w:rPr>
            </w:pPr>
          </w:p>
        </w:tc>
      </w:tr>
      <w:tr>
        <w:trPr>
          <w:trHeight w:val="342"/>
        </w:trPr>
        <w:tc>
          <w:tcPr>
            <w:tcW w:w="1980" w:type="dxa"/>
            <w:vAlign w:val="bottom"/>
            <w:gridSpan w:val="4"/>
          </w:tcPr>
          <w:p>
            <w:pPr>
              <w:jc w:val="right"/>
              <w:ind w:right="80"/>
              <w:spacing w:after="0"/>
              <w:rPr>
                <w:sz w:val="20"/>
                <w:szCs w:val="20"/>
                <w:color w:val="auto"/>
              </w:rPr>
            </w:pPr>
            <w:r>
              <w:rPr>
                <w:rFonts w:ascii="Arial" w:cs="Arial" w:eastAsia="Arial" w:hAnsi="Arial"/>
                <w:sz w:val="16"/>
                <w:szCs w:val="16"/>
                <w:color w:val="auto"/>
              </w:rPr>
              <w:t>10.19*</w:t>
            </w:r>
          </w:p>
        </w:tc>
        <w:tc>
          <w:tcPr>
            <w:tcW w:w="8220" w:type="dxa"/>
            <w:vAlign w:val="bottom"/>
            <w:tcBorders>
              <w:bottom w:val="single" w:sz="8" w:color="0000EE"/>
            </w:tcBorders>
            <w:gridSpan w:val="12"/>
          </w:tcPr>
          <w:p>
            <w:pPr>
              <w:spacing w:after="0"/>
              <w:rPr>
                <w:rFonts w:ascii="Arial" w:cs="Arial" w:eastAsia="Arial" w:hAnsi="Arial"/>
                <w:sz w:val="16"/>
                <w:szCs w:val="16"/>
                <w:color w:val="0000EE"/>
                <w:w w:val="97"/>
              </w:rPr>
            </w:pPr>
            <w:hyperlink r:id="rId348">
              <w:r>
                <w:rPr>
                  <w:rFonts w:ascii="Arial" w:cs="Arial" w:eastAsia="Arial" w:hAnsi="Arial"/>
                  <w:sz w:val="16"/>
                  <w:szCs w:val="16"/>
                  <w:color w:val="0000EE"/>
                  <w:w w:val="97"/>
                </w:rPr>
                <w:t>Form of Amended and Restated Employment Agreement by and between Kiniksa Pharmaceuticals Corp. and Rasmus</w:t>
              </w:r>
            </w:hyperlink>
          </w:p>
        </w:tc>
        <w:tc>
          <w:tcPr>
            <w:tcW w:w="80" w:type="dxa"/>
            <w:vAlign w:val="bottom"/>
          </w:tcPr>
          <w:p>
            <w:pPr>
              <w:spacing w:after="0"/>
              <w:rPr>
                <w:sz w:val="24"/>
                <w:szCs w:val="24"/>
                <w:color w:val="auto"/>
              </w:rPr>
            </w:pPr>
          </w:p>
        </w:tc>
      </w:tr>
      <w:tr>
        <w:trPr>
          <w:trHeight w:val="161"/>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300" w:type="dxa"/>
            <w:vAlign w:val="bottom"/>
            <w:gridSpan w:val="13"/>
          </w:tcPr>
          <w:p>
            <w:pPr>
              <w:spacing w:after="0" w:line="161" w:lineRule="exact"/>
              <w:rPr>
                <w:rFonts w:ascii="Arial" w:cs="Arial" w:eastAsia="Arial" w:hAnsi="Arial"/>
                <w:sz w:val="16"/>
                <w:szCs w:val="16"/>
                <w:color w:val="0000EE"/>
              </w:rPr>
            </w:pPr>
            <w:hyperlink r:id="rId348">
              <w:r>
                <w:rPr>
                  <w:rFonts w:ascii="Arial" w:cs="Arial" w:eastAsia="Arial" w:hAnsi="Arial"/>
                  <w:sz w:val="16"/>
                  <w:szCs w:val="16"/>
                  <w:color w:val="0000EE"/>
                </w:rPr>
                <w:t>Holm-Jorgensen, to be entered into in connection with this offering</w:t>
              </w:r>
            </w:hyperlink>
          </w:p>
        </w:tc>
      </w:tr>
      <w:tr>
        <w:trPr>
          <w:trHeight w:val="342"/>
        </w:trPr>
        <w:tc>
          <w:tcPr>
            <w:tcW w:w="1980" w:type="dxa"/>
            <w:vAlign w:val="bottom"/>
            <w:gridSpan w:val="4"/>
          </w:tcPr>
          <w:p>
            <w:pPr>
              <w:jc w:val="right"/>
              <w:ind w:right="80"/>
              <w:spacing w:after="0"/>
              <w:rPr>
                <w:sz w:val="20"/>
                <w:szCs w:val="20"/>
                <w:color w:val="auto"/>
              </w:rPr>
            </w:pPr>
            <w:r>
              <w:rPr>
                <w:rFonts w:ascii="Arial" w:cs="Arial" w:eastAsia="Arial" w:hAnsi="Arial"/>
                <w:sz w:val="16"/>
                <w:szCs w:val="16"/>
                <w:color w:val="auto"/>
              </w:rPr>
              <w:t>21.1*</w:t>
            </w:r>
          </w:p>
        </w:tc>
        <w:tc>
          <w:tcPr>
            <w:tcW w:w="20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7"/>
              </w:rPr>
            </w:pPr>
            <w:hyperlink r:id="rId349">
              <w:r>
                <w:rPr>
                  <w:rFonts w:ascii="Arial" w:cs="Arial" w:eastAsia="Arial" w:hAnsi="Arial"/>
                  <w:sz w:val="16"/>
                  <w:szCs w:val="16"/>
                  <w:color w:val="0000EE"/>
                  <w:w w:val="97"/>
                </w:rPr>
                <w:t>Subsidiaries of the Registrant</w:t>
              </w:r>
            </w:hyperlink>
          </w:p>
        </w:tc>
        <w:tc>
          <w:tcPr>
            <w:tcW w:w="2540" w:type="dxa"/>
            <w:vAlign w:val="bottom"/>
            <w:tcBorders>
              <w:top w:val="single" w:sz="8" w:color="0000EE"/>
            </w:tcBorders>
            <w:gridSpan w:val="5"/>
          </w:tcPr>
          <w:p>
            <w:pPr>
              <w:spacing w:after="0"/>
              <w:rPr>
                <w:sz w:val="24"/>
                <w:szCs w:val="24"/>
                <w:color w:val="auto"/>
              </w:rPr>
            </w:pPr>
          </w:p>
        </w:tc>
        <w:tc>
          <w:tcPr>
            <w:tcW w:w="3700" w:type="dxa"/>
            <w:vAlign w:val="bottom"/>
            <w:gridSpan w:val="5"/>
          </w:tcPr>
          <w:p>
            <w:pPr>
              <w:spacing w:after="0"/>
              <w:rPr>
                <w:sz w:val="24"/>
                <w:szCs w:val="24"/>
                <w:color w:val="auto"/>
              </w:rPr>
            </w:pPr>
          </w:p>
        </w:tc>
      </w:tr>
      <w:tr>
        <w:trPr>
          <w:trHeight w:val="342"/>
        </w:trPr>
        <w:tc>
          <w:tcPr>
            <w:tcW w:w="1840" w:type="dxa"/>
            <w:vAlign w:val="bottom"/>
            <w:gridSpan w:val="3"/>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24"/>
                <w:szCs w:val="24"/>
                <w:color w:val="auto"/>
              </w:rPr>
            </w:pPr>
          </w:p>
        </w:tc>
        <w:tc>
          <w:tcPr>
            <w:tcW w:w="8300" w:type="dxa"/>
            <w:vAlign w:val="bottom"/>
            <w:gridSpan w:val="13"/>
          </w:tcPr>
          <w:p>
            <w:pPr>
              <w:spacing w:after="0"/>
              <w:rPr>
                <w:sz w:val="20"/>
                <w:szCs w:val="20"/>
                <w:color w:val="auto"/>
              </w:rPr>
            </w:pPr>
            <w:r>
              <w:rPr>
                <w:rFonts w:ascii="Arial" w:cs="Arial" w:eastAsia="Arial" w:hAnsi="Arial"/>
                <w:sz w:val="16"/>
                <w:szCs w:val="16"/>
                <w:color w:val="0000EE"/>
              </w:rPr>
              <w:t>Consent of PricewaterhouseCoopers LLP, independent registered public accounting firm</w:t>
            </w:r>
          </w:p>
        </w:tc>
      </w:tr>
      <w:tr>
        <w:trPr>
          <w:trHeight w:val="342"/>
        </w:trPr>
        <w:tc>
          <w:tcPr>
            <w:tcW w:w="1980" w:type="dxa"/>
            <w:vAlign w:val="bottom"/>
            <w:gridSpan w:val="4"/>
          </w:tcPr>
          <w:p>
            <w:pPr>
              <w:jc w:val="right"/>
              <w:ind w:right="80"/>
              <w:spacing w:after="0"/>
              <w:rPr>
                <w:sz w:val="20"/>
                <w:szCs w:val="20"/>
                <w:color w:val="auto"/>
              </w:rPr>
            </w:pPr>
            <w:r>
              <w:rPr>
                <w:rFonts w:ascii="Arial" w:cs="Arial" w:eastAsia="Arial" w:hAnsi="Arial"/>
                <w:sz w:val="16"/>
                <w:szCs w:val="16"/>
                <w:color w:val="auto"/>
              </w:rPr>
              <w:t>23.2*</w:t>
            </w:r>
          </w:p>
        </w:tc>
        <w:tc>
          <w:tcPr>
            <w:tcW w:w="416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7"/>
              </w:rPr>
            </w:pPr>
            <w:hyperlink r:id="rId328">
              <w:r>
                <w:rPr>
                  <w:rFonts w:ascii="Arial" w:cs="Arial" w:eastAsia="Arial" w:hAnsi="Arial"/>
                  <w:sz w:val="16"/>
                  <w:szCs w:val="16"/>
                  <w:color w:val="0000EE"/>
                  <w:w w:val="97"/>
                </w:rPr>
                <w:t>Consent of Conyers Dill &amp; Pearman (included in Exhibit 5.1)</w:t>
              </w:r>
            </w:hyperlink>
          </w:p>
        </w:tc>
        <w:tc>
          <w:tcPr>
            <w:tcW w:w="1960" w:type="dxa"/>
            <w:vAlign w:val="bottom"/>
            <w:tcBorders>
              <w:top w:val="single" w:sz="8" w:color="0000EE"/>
            </w:tcBorders>
            <w:gridSpan w:val="2"/>
          </w:tcPr>
          <w:p>
            <w:pPr>
              <w:spacing w:after="0"/>
              <w:rPr>
                <w:sz w:val="24"/>
                <w:szCs w:val="24"/>
                <w:color w:val="auto"/>
              </w:rPr>
            </w:pPr>
          </w:p>
        </w:tc>
        <w:tc>
          <w:tcPr>
            <w:tcW w:w="2180" w:type="dxa"/>
            <w:vAlign w:val="bottom"/>
            <w:gridSpan w:val="4"/>
          </w:tcPr>
          <w:p>
            <w:pPr>
              <w:spacing w:after="0"/>
              <w:rPr>
                <w:sz w:val="24"/>
                <w:szCs w:val="24"/>
                <w:color w:val="auto"/>
              </w:rPr>
            </w:pPr>
          </w:p>
        </w:tc>
      </w:tr>
      <w:tr>
        <w:trPr>
          <w:trHeight w:val="342"/>
        </w:trPr>
        <w:tc>
          <w:tcPr>
            <w:tcW w:w="1980" w:type="dxa"/>
            <w:vAlign w:val="bottom"/>
            <w:gridSpan w:val="4"/>
          </w:tcPr>
          <w:p>
            <w:pPr>
              <w:jc w:val="right"/>
              <w:ind w:right="80"/>
              <w:spacing w:after="0"/>
              <w:rPr>
                <w:sz w:val="20"/>
                <w:szCs w:val="20"/>
                <w:color w:val="auto"/>
              </w:rPr>
            </w:pPr>
            <w:r>
              <w:rPr>
                <w:rFonts w:ascii="Arial" w:cs="Arial" w:eastAsia="Arial" w:hAnsi="Arial"/>
                <w:sz w:val="16"/>
                <w:szCs w:val="16"/>
                <w:color w:val="auto"/>
              </w:rPr>
              <w:t>24.1*</w:t>
            </w:r>
          </w:p>
        </w:tc>
        <w:tc>
          <w:tcPr>
            <w:tcW w:w="8300" w:type="dxa"/>
            <w:vAlign w:val="bottom"/>
            <w:gridSpan w:val="13"/>
          </w:tcPr>
          <w:p>
            <w:pPr>
              <w:spacing w:after="0"/>
              <w:rPr>
                <w:rFonts w:ascii="Arial" w:cs="Arial" w:eastAsia="Arial" w:hAnsi="Arial"/>
                <w:sz w:val="16"/>
                <w:szCs w:val="16"/>
                <w:color w:val="0000EE"/>
              </w:rPr>
            </w:pPr>
            <w:hyperlink r:id="rId350">
              <w:r>
                <w:rPr>
                  <w:rFonts w:ascii="Arial" w:cs="Arial" w:eastAsia="Arial" w:hAnsi="Arial"/>
                  <w:sz w:val="16"/>
                  <w:szCs w:val="16"/>
                  <w:color w:val="0000EE"/>
                </w:rPr>
                <w:t>Power of Attorney</w:t>
              </w:r>
            </w:hyperlink>
          </w:p>
        </w:tc>
      </w:tr>
      <w:tr>
        <w:trPr>
          <w:trHeight w:val="101"/>
        </w:trPr>
        <w:tc>
          <w:tcPr>
            <w:tcW w:w="1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top w:val="single" w:sz="8" w:color="0000EE"/>
              <w:bottom w:val="single" w:sz="8" w:color="auto"/>
            </w:tcBorders>
          </w:tcPr>
          <w:p>
            <w:pPr>
              <w:spacing w:after="0"/>
              <w:rPr>
                <w:sz w:val="8"/>
                <w:szCs w:val="8"/>
                <w:color w:val="auto"/>
              </w:rPr>
            </w:pPr>
          </w:p>
        </w:tc>
        <w:tc>
          <w:tcPr>
            <w:tcW w:w="116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6" w:lineRule="exact"/>
        <w:rPr>
          <w:sz w:val="20"/>
          <w:szCs w:val="20"/>
          <w:color w:val="auto"/>
        </w:rPr>
      </w:pPr>
    </w:p>
    <w:p>
      <w:pPr>
        <w:ind w:left="1620" w:hanging="480"/>
        <w:spacing w:after="0"/>
        <w:tabs>
          <w:tab w:leader="none" w:pos="16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190" w:lineRule="exact"/>
        <w:rPr>
          <w:sz w:val="20"/>
          <w:szCs w:val="20"/>
          <w:color w:val="auto"/>
        </w:rPr>
      </w:pPr>
    </w:p>
    <w:p>
      <w:pPr>
        <w:ind w:left="1620" w:hanging="480"/>
        <w:spacing w:after="0" w:line="241" w:lineRule="auto"/>
        <w:tabs>
          <w:tab w:leader="none" w:pos="162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Portions of this exhibit (indicated by asterisks) have been omitted pursuant to a request for confidential treatment pursuant to Rule 406 under the Securities Act of 1933, as amended.</w:t>
      </w:r>
    </w:p>
    <w:p>
      <w:pPr>
        <w:spacing w:after="0" w:line="185" w:lineRule="exact"/>
        <w:rPr>
          <w:rFonts w:ascii="Arial" w:cs="Arial" w:eastAsia="Arial" w:hAnsi="Arial"/>
          <w:sz w:val="16"/>
          <w:szCs w:val="16"/>
          <w:color w:val="auto"/>
        </w:rPr>
      </w:pPr>
    </w:p>
    <w:p>
      <w:pPr>
        <w:ind w:right="60" w:firstLine="432"/>
        <w:spacing w:after="0" w:line="241" w:lineRule="auto"/>
        <w:tabs>
          <w:tab w:leader="none" w:pos="84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Financial Statement Schedules. Schedules not listed above have been omitted because the information required to be set forth therein is not applicable or is shown in the financial statements or notes thereto.</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1">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380"/>
          </w:cols>
          <w:pgMar w:left="240" w:top="113" w:right="279" w:bottom="1440" w:gutter="0" w:footer="0" w:header="0"/>
        </w:sectPr>
      </w:pPr>
    </w:p>
    <w:bookmarkStart w:id="267" w:name="page268"/>
    <w:bookmarkEnd w:id="2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10" w:lineRule="exact"/>
        <w:rPr>
          <w:sz w:val="20"/>
          <w:szCs w:val="20"/>
          <w:color w:val="auto"/>
        </w:rPr>
      </w:pPr>
    </w:p>
    <w:p>
      <w:pPr>
        <w:ind w:right="620" w:firstLine="433"/>
        <w:spacing w:after="0" w:line="241" w:lineRule="auto"/>
        <w:rPr>
          <w:sz w:val="20"/>
          <w:szCs w:val="20"/>
          <w:color w:val="auto"/>
        </w:rPr>
      </w:pPr>
      <w:r>
        <w:rPr>
          <w:rFonts w:ascii="Arial" w:cs="Arial" w:eastAsia="Arial" w:hAnsi="Arial"/>
          <w:sz w:val="16"/>
          <w:szCs w:val="16"/>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85" w:lineRule="exact"/>
        <w:rPr>
          <w:sz w:val="20"/>
          <w:szCs w:val="20"/>
          <w:color w:val="auto"/>
        </w:rPr>
      </w:pPr>
    </w:p>
    <w:p>
      <w:pPr>
        <w:ind w:right="20" w:firstLine="436"/>
        <w:spacing w:after="0" w:line="237"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undersigned hereby undertakes that:</w:t>
      </w:r>
    </w:p>
    <w:p>
      <w:pPr>
        <w:spacing w:after="0" w:line="190" w:lineRule="exact"/>
        <w:rPr>
          <w:sz w:val="20"/>
          <w:szCs w:val="20"/>
          <w:color w:val="auto"/>
        </w:rPr>
      </w:pPr>
    </w:p>
    <w:p>
      <w:pPr>
        <w:ind w:left="960" w:hanging="481"/>
        <w:spacing w:after="0" w:line="239" w:lineRule="auto"/>
        <w:tabs>
          <w:tab w:leader="none" w:pos="9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6"/>
          <w:szCs w:val="16"/>
          <w:color w:val="auto"/>
        </w:rPr>
      </w:pPr>
    </w:p>
    <w:p>
      <w:pPr>
        <w:ind w:left="960" w:right="120" w:hanging="481"/>
        <w:spacing w:after="0" w:line="239" w:lineRule="auto"/>
        <w:tabs>
          <w:tab w:leader="none" w:pos="9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2">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8" w:name="page269"/>
    <w:bookmarkEnd w:id="2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0"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SIGNATURES</w:t>
      </w:r>
    </w:p>
    <w:p>
      <w:pPr>
        <w:spacing w:after="0" w:line="210"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Hamilton, Bermuda, on this 18th day of May 2018.</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KINIKSA PHARMACEUTICALS, LTD.</w:t>
      </w:r>
    </w:p>
    <w:p>
      <w:pPr>
        <w:spacing w:after="0" w:line="202" w:lineRule="exact"/>
        <w:rPr>
          <w:sz w:val="20"/>
          <w:szCs w:val="20"/>
          <w:color w:val="auto"/>
        </w:rPr>
      </w:pPr>
    </w:p>
    <w:p>
      <w:pPr>
        <w:ind w:left="5660"/>
        <w:spacing w:after="0"/>
        <w:tabs>
          <w:tab w:leader="none" w:pos="7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SANJ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118745</wp:posOffset>
            </wp:positionV>
            <wp:extent cx="256603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3">
                      <a:extLst>
                        <a:ext uri="{28A0092B-C50C-407E-A947-70E740481C1C}"/>
                      </a:extLst>
                    </a:blip>
                    <a:srcRect/>
                    <a:stretch>
                      <a:fillRect/>
                    </a:stretch>
                  </pic:blipFill>
                  <pic:spPr bwMode="auto">
                    <a:xfrm>
                      <a:off x="0" y="0"/>
                      <a:ext cx="2566035" cy="7620"/>
                    </a:xfrm>
                    <a:prstGeom prst="rect">
                      <a:avLst/>
                    </a:prstGeom>
                    <a:noFill/>
                  </pic:spPr>
                </pic:pic>
              </a:graphicData>
            </a:graphic>
          </wp:anchor>
        </w:drawing>
      </w:r>
    </w:p>
    <w:p>
      <w:pPr>
        <w:spacing w:after="0" w:line="275" w:lineRule="exact"/>
        <w:rPr>
          <w:sz w:val="20"/>
          <w:szCs w:val="20"/>
          <w:color w:val="auto"/>
        </w:rPr>
      </w:pPr>
    </w:p>
    <w:p>
      <w:pPr>
        <w:jc w:val="center"/>
        <w:ind w:left="5140"/>
        <w:spacing w:after="0"/>
        <w:rPr>
          <w:sz w:val="20"/>
          <w:szCs w:val="20"/>
          <w:color w:val="auto"/>
        </w:rPr>
      </w:pPr>
      <w:r>
        <w:rPr>
          <w:rFonts w:ascii="Arial" w:cs="Arial" w:eastAsia="Arial" w:hAnsi="Arial"/>
          <w:sz w:val="16"/>
          <w:szCs w:val="16"/>
          <w:color w:val="auto"/>
        </w:rPr>
        <w:t>Sanj K. Patel</w:t>
      </w:r>
    </w:p>
    <w:p>
      <w:pPr>
        <w:jc w:val="center"/>
        <w:ind w:left="5140"/>
        <w:spacing w:after="0" w:line="236" w:lineRule="auto"/>
        <w:rPr>
          <w:sz w:val="20"/>
          <w:szCs w:val="20"/>
          <w:color w:val="auto"/>
        </w:rPr>
      </w:pPr>
      <w:r>
        <w:rPr>
          <w:rFonts w:ascii="Arial" w:cs="Arial" w:eastAsia="Arial" w:hAnsi="Arial"/>
          <w:sz w:val="16"/>
          <w:szCs w:val="16"/>
          <w:i w:val="1"/>
          <w:iCs w:val="1"/>
          <w:color w:val="auto"/>
        </w:rPr>
        <w:t>Chief Executive Officer and Chairman of the Board of</w:t>
      </w:r>
    </w:p>
    <w:p>
      <w:pPr>
        <w:jc w:val="center"/>
        <w:ind w:left="5140"/>
        <w:spacing w:after="0"/>
        <w:rPr>
          <w:sz w:val="20"/>
          <w:szCs w:val="20"/>
          <w:color w:val="auto"/>
        </w:rPr>
      </w:pPr>
      <w:r>
        <w:rPr>
          <w:rFonts w:ascii="Arial" w:cs="Arial" w:eastAsia="Arial" w:hAnsi="Arial"/>
          <w:sz w:val="16"/>
          <w:szCs w:val="16"/>
          <w:i w:val="1"/>
          <w:iCs w:val="1"/>
          <w:color w:val="auto"/>
        </w:rPr>
        <w:t>Directors</w:t>
      </w:r>
    </w:p>
    <w:p>
      <w:pPr>
        <w:spacing w:after="0" w:line="19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740"/>
          </w:cols>
          <w:pgMar w:left="240" w:top="142" w:right="919" w:bottom="1440" w:gutter="0" w:footer="0" w:header="0"/>
        </w:sectPr>
      </w:pPr>
    </w:p>
    <w:bookmarkStart w:id="269" w:name="page270"/>
    <w:bookmarkEnd w:id="2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10"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and on the dates indicated.</w:t>
      </w:r>
    </w:p>
    <w:p>
      <w:pPr>
        <w:spacing w:after="0" w:line="165" w:lineRule="exact"/>
        <w:rPr>
          <w:sz w:val="20"/>
          <w:szCs w:val="20"/>
          <w:color w:val="auto"/>
        </w:rPr>
      </w:pPr>
    </w:p>
    <w:p>
      <w:pPr>
        <w:ind w:left="2740"/>
        <w:spacing w:after="0"/>
        <w:tabs>
          <w:tab w:leader="none" w:pos="6720" w:val="left"/>
          <w:tab w:leader="none" w:pos="9320" w:val="left"/>
        </w:tabs>
        <w:rPr>
          <w:sz w:val="20"/>
          <w:szCs w:val="20"/>
          <w:color w:val="auto"/>
        </w:rPr>
      </w:pPr>
      <w:r>
        <w:rPr>
          <w:rFonts w:ascii="Arial" w:cs="Arial" w:eastAsia="Arial" w:hAnsi="Arial"/>
          <w:sz w:val="16"/>
          <w:szCs w:val="16"/>
          <w:b w:val="1"/>
          <w:bCs w:val="1"/>
          <w:u w:val="single" w:color="auto"/>
          <w:color w:val="auto"/>
        </w:rPr>
        <w:t>Signature</w:t>
      </w:r>
      <w:r>
        <w:rPr>
          <w:sz w:val="20"/>
          <w:szCs w:val="20"/>
          <w:color w:val="auto"/>
        </w:rPr>
        <w:tab/>
      </w:r>
      <w:r>
        <w:rPr>
          <w:rFonts w:ascii="Arial" w:cs="Arial" w:eastAsia="Arial" w:hAnsi="Arial"/>
          <w:sz w:val="16"/>
          <w:szCs w:val="16"/>
          <w:b w:val="1"/>
          <w:bCs w:val="1"/>
          <w:u w:val="single" w:color="auto"/>
          <w:color w:val="auto"/>
        </w:rPr>
        <w:t>Title</w:t>
      </w:r>
      <w:r>
        <w:rPr>
          <w:sz w:val="20"/>
          <w:szCs w:val="20"/>
          <w:color w:val="auto"/>
        </w:rPr>
        <w:tab/>
      </w:r>
      <w:r>
        <w:rPr>
          <w:rFonts w:ascii="Arial" w:cs="Arial" w:eastAsia="Arial" w:hAnsi="Arial"/>
          <w:sz w:val="15"/>
          <w:szCs w:val="15"/>
          <w:b w:val="1"/>
          <w:bCs w:val="1"/>
          <w:u w:val="single" w:color="auto"/>
          <w:color w:val="auto"/>
        </w:rPr>
        <w:t>Date</w:t>
      </w:r>
    </w:p>
    <w:p>
      <w:pPr>
        <w:sectPr>
          <w:pgSz w:w="11900" w:h="16838" w:orient="portrait"/>
          <w:cols w:equalWidth="0" w:num="1">
            <w:col w:w="11220"/>
          </w:cols>
          <w:pgMar w:left="240" w:top="142" w:right="4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SANJ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50165</wp:posOffset>
            </wp:positionV>
            <wp:extent cx="251206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5">
                      <a:extLst>
                        <a:ext uri="{28A0092B-C50C-407E-A947-70E740481C1C}"/>
                      </a:extLst>
                    </a:blip>
                    <a:srcRect/>
                    <a:stretch>
                      <a:fillRect/>
                    </a:stretch>
                  </pic:blipFill>
                  <pic:spPr bwMode="auto">
                    <a:xfrm>
                      <a:off x="0" y="0"/>
                      <a:ext cx="2512060" cy="7620"/>
                    </a:xfrm>
                    <a:prstGeom prst="rect">
                      <a:avLst/>
                    </a:prstGeom>
                    <a:noFill/>
                  </pic:spPr>
                </pic:pic>
              </a:graphicData>
            </a:graphic>
          </wp:anchor>
        </w:drawing>
      </w:r>
    </w:p>
    <w:p>
      <w:pPr>
        <w:spacing w:after="0" w:line="146"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Sanj K. Patel</w:t>
      </w:r>
    </w:p>
    <w:p>
      <w:pPr>
        <w:spacing w:after="0" w:line="190"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CHRIS HEBERLIG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50165</wp:posOffset>
            </wp:positionV>
            <wp:extent cx="251206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6">
                      <a:extLst>
                        <a:ext uri="{28A0092B-C50C-407E-A947-70E740481C1C}"/>
                      </a:extLst>
                    </a:blip>
                    <a:srcRect/>
                    <a:stretch>
                      <a:fillRect/>
                    </a:stretch>
                  </pic:blipFill>
                  <pic:spPr bwMode="auto">
                    <a:xfrm>
                      <a:off x="0" y="0"/>
                      <a:ext cx="2512060" cy="7620"/>
                    </a:xfrm>
                    <a:prstGeom prst="rect">
                      <a:avLst/>
                    </a:prstGeom>
                    <a:noFill/>
                  </pic:spPr>
                </pic:pic>
              </a:graphicData>
            </a:graphic>
          </wp:anchor>
        </w:drawing>
      </w:r>
    </w:p>
    <w:p>
      <w:pPr>
        <w:spacing w:after="0" w:line="146"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Chris Heberlig</w:t>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50165</wp:posOffset>
            </wp:positionV>
            <wp:extent cx="251206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7">
                      <a:extLst>
                        <a:ext uri="{28A0092B-C50C-407E-A947-70E740481C1C}"/>
                      </a:extLst>
                    </a:blip>
                    <a:srcRect/>
                    <a:stretch>
                      <a:fillRect/>
                    </a:stretch>
                  </pic:blipFill>
                  <pic:spPr bwMode="auto">
                    <a:xfrm>
                      <a:off x="0" y="0"/>
                      <a:ext cx="2512060" cy="7620"/>
                    </a:xfrm>
                    <a:prstGeom prst="rect">
                      <a:avLst/>
                    </a:prstGeom>
                    <a:noFill/>
                  </pic:spPr>
                </pic:pic>
              </a:graphicData>
            </a:graphic>
          </wp:anchor>
        </w:drawing>
      </w:r>
    </w:p>
    <w:p>
      <w:pPr>
        <w:spacing w:after="0" w:line="146"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Felix J. Baker</w:t>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50165</wp:posOffset>
            </wp:positionV>
            <wp:extent cx="251206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8">
                      <a:extLst>
                        <a:ext uri="{28A0092B-C50C-407E-A947-70E740481C1C}"/>
                      </a:extLst>
                    </a:blip>
                    <a:srcRect/>
                    <a:stretch>
                      <a:fillRect/>
                    </a:stretch>
                  </pic:blipFill>
                  <pic:spPr bwMode="auto">
                    <a:xfrm>
                      <a:off x="0" y="0"/>
                      <a:ext cx="2512060" cy="7620"/>
                    </a:xfrm>
                    <a:prstGeom prst="rect">
                      <a:avLst/>
                    </a:prstGeom>
                    <a:noFill/>
                  </pic:spPr>
                </pic:pic>
              </a:graphicData>
            </a:graphic>
          </wp:anchor>
        </w:drawing>
      </w:r>
    </w:p>
    <w:p>
      <w:pPr>
        <w:spacing w:after="0" w:line="146"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Stephen R. Biggar</w:t>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50165</wp:posOffset>
            </wp:positionV>
            <wp:extent cx="251206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9">
                      <a:extLst>
                        <a:ext uri="{28A0092B-C50C-407E-A947-70E740481C1C}"/>
                      </a:extLst>
                    </a:blip>
                    <a:srcRect/>
                    <a:stretch>
                      <a:fillRect/>
                    </a:stretch>
                  </pic:blipFill>
                  <pic:spPr bwMode="auto">
                    <a:xfrm>
                      <a:off x="0" y="0"/>
                      <a:ext cx="2512060" cy="7620"/>
                    </a:xfrm>
                    <a:prstGeom prst="rect">
                      <a:avLst/>
                    </a:prstGeom>
                    <a:noFill/>
                  </pic:spPr>
                </pic:pic>
              </a:graphicData>
            </a:graphic>
          </wp:anchor>
        </w:drawing>
      </w:r>
    </w:p>
    <w:p>
      <w:pPr>
        <w:spacing w:after="0" w:line="146"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Thomas R. Malley</w:t>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50165</wp:posOffset>
            </wp:positionV>
            <wp:extent cx="251206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0">
                      <a:extLst>
                        <a:ext uri="{28A0092B-C50C-407E-A947-70E740481C1C}"/>
                      </a:extLst>
                    </a:blip>
                    <a:srcRect/>
                    <a:stretch>
                      <a:fillRect/>
                    </a:stretch>
                  </pic:blipFill>
                  <pic:spPr bwMode="auto">
                    <a:xfrm>
                      <a:off x="0" y="0"/>
                      <a:ext cx="2512060" cy="7620"/>
                    </a:xfrm>
                    <a:prstGeom prst="rect">
                      <a:avLst/>
                    </a:prstGeom>
                    <a:noFill/>
                  </pic:spPr>
                </pic:pic>
              </a:graphicData>
            </a:graphic>
          </wp:anchor>
        </w:drawing>
      </w:r>
    </w:p>
    <w:p>
      <w:pPr>
        <w:spacing w:after="0" w:line="146"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Tracey L. McCain</w:t>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50165</wp:posOffset>
            </wp:positionV>
            <wp:extent cx="251206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2512060" cy="7620"/>
                    </a:xfrm>
                    <a:prstGeom prst="rect">
                      <a:avLst/>
                    </a:prstGeom>
                    <a:noFill/>
                  </pic:spPr>
                </pic:pic>
              </a:graphicData>
            </a:graphic>
          </wp:anchor>
        </w:drawing>
      </w:r>
    </w:p>
    <w:p>
      <w:pPr>
        <w:spacing w:after="0" w:line="146"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Kimberly J. Popovits</w:t>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50165</wp:posOffset>
            </wp:positionV>
            <wp:extent cx="251206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2">
                      <a:extLst>
                        <a:ext uri="{28A0092B-C50C-407E-A947-70E740481C1C}"/>
                      </a:extLst>
                    </a:blip>
                    <a:srcRect/>
                    <a:stretch>
                      <a:fillRect/>
                    </a:stretch>
                  </pic:blipFill>
                  <pic:spPr bwMode="auto">
                    <a:xfrm>
                      <a:off x="0" y="0"/>
                      <a:ext cx="2512060" cy="7620"/>
                    </a:xfrm>
                    <a:prstGeom prst="rect">
                      <a:avLst/>
                    </a:prstGeom>
                    <a:noFill/>
                  </pic:spPr>
                </pic:pic>
              </a:graphicData>
            </a:graphic>
          </wp:anchor>
        </w:drawing>
      </w:r>
    </w:p>
    <w:p>
      <w:pPr>
        <w:spacing w:after="0" w:line="146"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Barry D. Quart</w:t>
      </w:r>
    </w:p>
    <w:p>
      <w:pPr>
        <w:spacing w:after="0" w:line="214" w:lineRule="exact"/>
        <w:rPr>
          <w:sz w:val="20"/>
          <w:szCs w:val="20"/>
          <w:color w:val="auto"/>
        </w:rPr>
      </w:pPr>
    </w:p>
    <w:p>
      <w:pPr>
        <w:ind w:left="2660" w:right="340" w:hanging="1759"/>
        <w:spacing w:after="0" w:line="508" w:lineRule="auto"/>
        <w:tabs>
          <w:tab w:leader="none" w:pos="2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 xml:space="preserve">/s/ CHRIS HEBERLIG </w:t>
      </w:r>
      <w:r>
        <w:rPr>
          <w:rFonts w:ascii="Arial" w:cs="Arial" w:eastAsia="Arial" w:hAnsi="Arial"/>
          <w:sz w:val="15"/>
          <w:szCs w:val="15"/>
          <w:i w:val="1"/>
          <w:i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-296545</wp:posOffset>
            </wp:positionV>
            <wp:extent cx="209867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3">
                      <a:extLst>
                        <a:ext uri="{28A0092B-C50C-407E-A947-70E740481C1C}"/>
                      </a:extLst>
                    </a:blip>
                    <a:srcRect/>
                    <a:stretch>
                      <a:fillRect/>
                    </a:stretch>
                  </pic:blipFill>
                  <pic:spPr bwMode="auto">
                    <a:xfrm>
                      <a:off x="0" y="0"/>
                      <a:ext cx="20986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20"/>
                <w:szCs w:val="20"/>
                <w:color w:val="auto"/>
              </w:rPr>
            </w:pPr>
            <w:r>
              <w:rPr>
                <w:rFonts w:ascii="Arial" w:cs="Arial" w:eastAsia="Arial" w:hAnsi="Arial"/>
                <w:sz w:val="16"/>
                <w:szCs w:val="16"/>
                <w:color w:val="auto"/>
              </w:rPr>
              <w:t>Chief Executive Officer and Chairman of the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20" w:type="dxa"/>
            <w:vAlign w:val="bottom"/>
          </w:tcPr>
          <w:p>
            <w:pPr>
              <w:spacing w:after="0" w:line="181" w:lineRule="exact"/>
              <w:rPr>
                <w:sz w:val="20"/>
                <w:szCs w:val="20"/>
                <w:color w:val="auto"/>
              </w:rPr>
            </w:pPr>
            <w:r>
              <w:rPr>
                <w:rFonts w:ascii="Arial" w:cs="Arial" w:eastAsia="Arial" w:hAnsi="Arial"/>
                <w:sz w:val="16"/>
                <w:szCs w:val="16"/>
                <w:color w:val="auto"/>
              </w:rPr>
              <w:t>Board of Directors</w:t>
            </w:r>
          </w:p>
        </w:tc>
        <w:tc>
          <w:tcPr>
            <w:tcW w:w="1300" w:type="dxa"/>
            <w:vAlign w:val="bottom"/>
          </w:tcPr>
          <w:p>
            <w:pPr>
              <w:ind w:left="360"/>
              <w:spacing w:after="0" w:line="181" w:lineRule="exact"/>
              <w:rPr>
                <w:sz w:val="20"/>
                <w:szCs w:val="20"/>
                <w:color w:val="auto"/>
              </w:rPr>
            </w:pPr>
            <w:r>
              <w:rPr>
                <w:rFonts w:ascii="Arial" w:cs="Arial" w:eastAsia="Arial" w:hAnsi="Arial"/>
                <w:sz w:val="16"/>
                <w:szCs w:val="16"/>
                <w:color w:val="auto"/>
                <w:w w:val="94"/>
              </w:rPr>
              <w:t>May 18, 2018</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34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1300" w:type="dxa"/>
            <w:vAlign w:val="bottom"/>
            <w:vMerge w:val="restart"/>
          </w:tcPr>
          <w:p>
            <w:pPr>
              <w:ind w:left="360"/>
              <w:spacing w:after="0"/>
              <w:rPr>
                <w:sz w:val="20"/>
                <w:szCs w:val="20"/>
                <w:color w:val="auto"/>
              </w:rPr>
            </w:pPr>
            <w:r>
              <w:rPr>
                <w:rFonts w:ascii="Arial" w:cs="Arial" w:eastAsia="Arial" w:hAnsi="Arial"/>
                <w:sz w:val="16"/>
                <w:szCs w:val="16"/>
                <w:color w:val="auto"/>
                <w:w w:val="94"/>
              </w:rPr>
              <w:t>May 18, 2018</w:t>
            </w:r>
          </w:p>
        </w:tc>
        <w:tc>
          <w:tcPr>
            <w:tcW w:w="0" w:type="dxa"/>
            <w:vAlign w:val="bottom"/>
          </w:tcPr>
          <w:p>
            <w:pPr>
              <w:spacing w:after="0"/>
              <w:rPr>
                <w:sz w:val="1"/>
                <w:szCs w:val="1"/>
                <w:color w:val="auto"/>
              </w:rPr>
            </w:pPr>
          </w:p>
        </w:tc>
      </w:tr>
      <w:tr>
        <w:trPr>
          <w:trHeight w:val="103"/>
        </w:trPr>
        <w:tc>
          <w:tcPr>
            <w:tcW w:w="3420" w:type="dxa"/>
            <w:vAlign w:val="bottom"/>
            <w:vMerge w:val="restart"/>
          </w:tcPr>
          <w:p>
            <w:pPr>
              <w:spacing w:after="0"/>
              <w:rPr>
                <w:sz w:val="20"/>
                <w:szCs w:val="20"/>
                <w:color w:val="auto"/>
              </w:rPr>
            </w:pPr>
            <w:r>
              <w:rPr>
                <w:rFonts w:ascii="Arial" w:cs="Arial" w:eastAsia="Arial" w:hAnsi="Arial"/>
                <w:sz w:val="16"/>
                <w:szCs w:val="16"/>
                <w:color w:val="auto"/>
              </w:rPr>
              <w:t>(principal financial and accounting officer)</w:t>
            </w: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4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7"/>
        </w:trPr>
        <w:tc>
          <w:tcPr>
            <w:tcW w:w="3420" w:type="dxa"/>
            <w:vAlign w:val="bottom"/>
          </w:tcPr>
          <w:p>
            <w:pPr>
              <w:spacing w:after="0"/>
              <w:rPr>
                <w:sz w:val="20"/>
                <w:szCs w:val="20"/>
                <w:color w:val="auto"/>
              </w:rPr>
            </w:pPr>
            <w:r>
              <w:rPr>
                <w:rFonts w:ascii="Arial" w:cs="Arial" w:eastAsia="Arial" w:hAnsi="Arial"/>
                <w:sz w:val="16"/>
                <w:szCs w:val="16"/>
                <w:color w:val="auto"/>
              </w:rPr>
              <w:t>Director</w:t>
            </w:r>
          </w:p>
        </w:tc>
        <w:tc>
          <w:tcPr>
            <w:tcW w:w="1300" w:type="dxa"/>
            <w:vAlign w:val="bottom"/>
          </w:tcPr>
          <w:p>
            <w:pPr>
              <w:ind w:left="360"/>
              <w:spacing w:after="0"/>
              <w:rPr>
                <w:sz w:val="20"/>
                <w:szCs w:val="20"/>
                <w:color w:val="auto"/>
              </w:rPr>
            </w:pPr>
            <w:r>
              <w:rPr>
                <w:rFonts w:ascii="Arial" w:cs="Arial" w:eastAsia="Arial" w:hAnsi="Arial"/>
                <w:sz w:val="16"/>
                <w:szCs w:val="16"/>
                <w:color w:val="auto"/>
                <w:w w:val="94"/>
              </w:rPr>
              <w:t>May 18, 2018</w:t>
            </w:r>
          </w:p>
        </w:tc>
        <w:tc>
          <w:tcPr>
            <w:tcW w:w="0" w:type="dxa"/>
            <w:vAlign w:val="bottom"/>
          </w:tcPr>
          <w:p>
            <w:pPr>
              <w:spacing w:after="0"/>
              <w:rPr>
                <w:sz w:val="1"/>
                <w:szCs w:val="1"/>
                <w:color w:val="auto"/>
              </w:rPr>
            </w:pPr>
          </w:p>
        </w:tc>
      </w:tr>
      <w:tr>
        <w:trPr>
          <w:trHeight w:val="712"/>
        </w:trPr>
        <w:tc>
          <w:tcPr>
            <w:tcW w:w="3420" w:type="dxa"/>
            <w:vAlign w:val="bottom"/>
          </w:tcPr>
          <w:p>
            <w:pPr>
              <w:spacing w:after="0"/>
              <w:rPr>
                <w:sz w:val="20"/>
                <w:szCs w:val="20"/>
                <w:color w:val="auto"/>
              </w:rPr>
            </w:pPr>
            <w:r>
              <w:rPr>
                <w:rFonts w:ascii="Arial" w:cs="Arial" w:eastAsia="Arial" w:hAnsi="Arial"/>
                <w:sz w:val="16"/>
                <w:szCs w:val="16"/>
                <w:color w:val="auto"/>
              </w:rPr>
              <w:t>Director</w:t>
            </w:r>
          </w:p>
        </w:tc>
        <w:tc>
          <w:tcPr>
            <w:tcW w:w="1300" w:type="dxa"/>
            <w:vAlign w:val="bottom"/>
          </w:tcPr>
          <w:p>
            <w:pPr>
              <w:ind w:left="360"/>
              <w:spacing w:after="0"/>
              <w:rPr>
                <w:sz w:val="20"/>
                <w:szCs w:val="20"/>
                <w:color w:val="auto"/>
              </w:rPr>
            </w:pPr>
            <w:r>
              <w:rPr>
                <w:rFonts w:ascii="Arial" w:cs="Arial" w:eastAsia="Arial" w:hAnsi="Arial"/>
                <w:sz w:val="16"/>
                <w:szCs w:val="16"/>
                <w:color w:val="auto"/>
                <w:w w:val="94"/>
              </w:rPr>
              <w:t>May 18, 2018</w:t>
            </w:r>
          </w:p>
        </w:tc>
        <w:tc>
          <w:tcPr>
            <w:tcW w:w="0" w:type="dxa"/>
            <w:vAlign w:val="bottom"/>
          </w:tcPr>
          <w:p>
            <w:pPr>
              <w:spacing w:after="0"/>
              <w:rPr>
                <w:sz w:val="1"/>
                <w:szCs w:val="1"/>
                <w:color w:val="auto"/>
              </w:rPr>
            </w:pPr>
          </w:p>
        </w:tc>
      </w:tr>
      <w:tr>
        <w:trPr>
          <w:trHeight w:val="712"/>
        </w:trPr>
        <w:tc>
          <w:tcPr>
            <w:tcW w:w="3420" w:type="dxa"/>
            <w:vAlign w:val="bottom"/>
          </w:tcPr>
          <w:p>
            <w:pPr>
              <w:spacing w:after="0"/>
              <w:rPr>
                <w:sz w:val="20"/>
                <w:szCs w:val="20"/>
                <w:color w:val="auto"/>
              </w:rPr>
            </w:pPr>
            <w:r>
              <w:rPr>
                <w:rFonts w:ascii="Arial" w:cs="Arial" w:eastAsia="Arial" w:hAnsi="Arial"/>
                <w:sz w:val="16"/>
                <w:szCs w:val="16"/>
                <w:color w:val="auto"/>
              </w:rPr>
              <w:t>Director</w:t>
            </w:r>
          </w:p>
        </w:tc>
        <w:tc>
          <w:tcPr>
            <w:tcW w:w="1300" w:type="dxa"/>
            <w:vAlign w:val="bottom"/>
          </w:tcPr>
          <w:p>
            <w:pPr>
              <w:ind w:left="360"/>
              <w:spacing w:after="0"/>
              <w:rPr>
                <w:sz w:val="20"/>
                <w:szCs w:val="20"/>
                <w:color w:val="auto"/>
              </w:rPr>
            </w:pPr>
            <w:r>
              <w:rPr>
                <w:rFonts w:ascii="Arial" w:cs="Arial" w:eastAsia="Arial" w:hAnsi="Arial"/>
                <w:sz w:val="16"/>
                <w:szCs w:val="16"/>
                <w:color w:val="auto"/>
                <w:w w:val="94"/>
              </w:rPr>
              <w:t>May 18, 2018</w:t>
            </w:r>
          </w:p>
        </w:tc>
        <w:tc>
          <w:tcPr>
            <w:tcW w:w="0" w:type="dxa"/>
            <w:vAlign w:val="bottom"/>
          </w:tcPr>
          <w:p>
            <w:pPr>
              <w:spacing w:after="0"/>
              <w:rPr>
                <w:sz w:val="1"/>
                <w:szCs w:val="1"/>
                <w:color w:val="auto"/>
              </w:rPr>
            </w:pPr>
          </w:p>
        </w:tc>
      </w:tr>
      <w:tr>
        <w:trPr>
          <w:trHeight w:val="712"/>
        </w:trPr>
        <w:tc>
          <w:tcPr>
            <w:tcW w:w="3420" w:type="dxa"/>
            <w:vAlign w:val="bottom"/>
          </w:tcPr>
          <w:p>
            <w:pPr>
              <w:spacing w:after="0"/>
              <w:rPr>
                <w:sz w:val="20"/>
                <w:szCs w:val="20"/>
                <w:color w:val="auto"/>
              </w:rPr>
            </w:pPr>
            <w:r>
              <w:rPr>
                <w:rFonts w:ascii="Arial" w:cs="Arial" w:eastAsia="Arial" w:hAnsi="Arial"/>
                <w:sz w:val="16"/>
                <w:szCs w:val="16"/>
                <w:color w:val="auto"/>
              </w:rPr>
              <w:t>Director</w:t>
            </w:r>
          </w:p>
        </w:tc>
        <w:tc>
          <w:tcPr>
            <w:tcW w:w="1300" w:type="dxa"/>
            <w:vAlign w:val="bottom"/>
          </w:tcPr>
          <w:p>
            <w:pPr>
              <w:ind w:left="360"/>
              <w:spacing w:after="0"/>
              <w:rPr>
                <w:sz w:val="20"/>
                <w:szCs w:val="20"/>
                <w:color w:val="auto"/>
              </w:rPr>
            </w:pPr>
            <w:r>
              <w:rPr>
                <w:rFonts w:ascii="Arial" w:cs="Arial" w:eastAsia="Arial" w:hAnsi="Arial"/>
                <w:sz w:val="16"/>
                <w:szCs w:val="16"/>
                <w:color w:val="auto"/>
                <w:w w:val="94"/>
              </w:rPr>
              <w:t>May 18, 2018</w:t>
            </w:r>
          </w:p>
        </w:tc>
        <w:tc>
          <w:tcPr>
            <w:tcW w:w="0" w:type="dxa"/>
            <w:vAlign w:val="bottom"/>
          </w:tcPr>
          <w:p>
            <w:pPr>
              <w:spacing w:after="0"/>
              <w:rPr>
                <w:sz w:val="1"/>
                <w:szCs w:val="1"/>
                <w:color w:val="auto"/>
              </w:rPr>
            </w:pPr>
          </w:p>
        </w:tc>
      </w:tr>
      <w:tr>
        <w:trPr>
          <w:trHeight w:val="712"/>
        </w:trPr>
        <w:tc>
          <w:tcPr>
            <w:tcW w:w="3420" w:type="dxa"/>
            <w:vAlign w:val="bottom"/>
          </w:tcPr>
          <w:p>
            <w:pPr>
              <w:spacing w:after="0"/>
              <w:rPr>
                <w:sz w:val="20"/>
                <w:szCs w:val="20"/>
                <w:color w:val="auto"/>
              </w:rPr>
            </w:pPr>
            <w:r>
              <w:rPr>
                <w:rFonts w:ascii="Arial" w:cs="Arial" w:eastAsia="Arial" w:hAnsi="Arial"/>
                <w:sz w:val="16"/>
                <w:szCs w:val="16"/>
                <w:color w:val="auto"/>
              </w:rPr>
              <w:t>Director</w:t>
            </w:r>
          </w:p>
        </w:tc>
        <w:tc>
          <w:tcPr>
            <w:tcW w:w="1300" w:type="dxa"/>
            <w:vAlign w:val="bottom"/>
          </w:tcPr>
          <w:p>
            <w:pPr>
              <w:ind w:left="360"/>
              <w:spacing w:after="0"/>
              <w:rPr>
                <w:sz w:val="20"/>
                <w:szCs w:val="20"/>
                <w:color w:val="auto"/>
              </w:rPr>
            </w:pPr>
            <w:r>
              <w:rPr>
                <w:rFonts w:ascii="Arial" w:cs="Arial" w:eastAsia="Arial" w:hAnsi="Arial"/>
                <w:sz w:val="16"/>
                <w:szCs w:val="16"/>
                <w:color w:val="auto"/>
                <w:w w:val="94"/>
              </w:rPr>
              <w:t>May 18, 2018</w:t>
            </w:r>
          </w:p>
        </w:tc>
        <w:tc>
          <w:tcPr>
            <w:tcW w:w="0" w:type="dxa"/>
            <w:vAlign w:val="bottom"/>
          </w:tcPr>
          <w:p>
            <w:pPr>
              <w:spacing w:after="0"/>
              <w:rPr>
                <w:sz w:val="1"/>
                <w:szCs w:val="1"/>
                <w:color w:val="auto"/>
              </w:rPr>
            </w:pPr>
          </w:p>
        </w:tc>
      </w:tr>
      <w:tr>
        <w:trPr>
          <w:trHeight w:val="712"/>
        </w:trPr>
        <w:tc>
          <w:tcPr>
            <w:tcW w:w="3420" w:type="dxa"/>
            <w:vAlign w:val="bottom"/>
          </w:tcPr>
          <w:p>
            <w:pPr>
              <w:spacing w:after="0"/>
              <w:rPr>
                <w:sz w:val="20"/>
                <w:szCs w:val="20"/>
                <w:color w:val="auto"/>
              </w:rPr>
            </w:pPr>
            <w:r>
              <w:rPr>
                <w:rFonts w:ascii="Arial" w:cs="Arial" w:eastAsia="Arial" w:hAnsi="Arial"/>
                <w:sz w:val="16"/>
                <w:szCs w:val="16"/>
                <w:color w:val="auto"/>
              </w:rPr>
              <w:t>Director</w:t>
            </w:r>
          </w:p>
        </w:tc>
        <w:tc>
          <w:tcPr>
            <w:tcW w:w="1300" w:type="dxa"/>
            <w:vAlign w:val="bottom"/>
          </w:tcPr>
          <w:p>
            <w:pPr>
              <w:ind w:left="360"/>
              <w:spacing w:after="0"/>
              <w:rPr>
                <w:sz w:val="20"/>
                <w:szCs w:val="20"/>
                <w:color w:val="auto"/>
              </w:rPr>
            </w:pPr>
            <w:r>
              <w:rPr>
                <w:rFonts w:ascii="Arial" w:cs="Arial" w:eastAsia="Arial" w:hAnsi="Arial"/>
                <w:sz w:val="16"/>
                <w:szCs w:val="16"/>
                <w:color w:val="auto"/>
                <w:w w:val="94"/>
              </w:rPr>
              <w:t>May 18,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116205</wp:posOffset>
            </wp:positionV>
            <wp:extent cx="7266305" cy="20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2">
            <w:col w:w="4540" w:space="720"/>
            <w:col w:w="5960"/>
          </w:cols>
          <w:pgMar w:left="240" w:top="142" w:right="439" w:bottom="1440" w:gutter="0" w:footer="0" w:header="0"/>
          <w:type w:val="continuous"/>
        </w:sectPr>
      </w:pPr>
    </w:p>
    <w:bookmarkStart w:id="270" w:name="page271"/>
    <w:bookmarkEnd w:id="2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SIGNATURES</w:t>
      </w:r>
    </w:p>
    <w:p>
      <w:pPr>
        <w:spacing w:after="0" w:line="210" w:lineRule="exact"/>
        <w:rPr>
          <w:sz w:val="20"/>
          <w:szCs w:val="20"/>
          <w:color w:val="auto"/>
        </w:rPr>
      </w:pPr>
    </w:p>
    <w:p>
      <w:pPr>
        <w:ind w:firstLine="436"/>
        <w:spacing w:after="0" w:line="241" w:lineRule="auto"/>
        <w:rPr>
          <w:sz w:val="20"/>
          <w:szCs w:val="20"/>
          <w:color w:val="auto"/>
        </w:rPr>
      </w:pPr>
      <w:r>
        <w:rPr>
          <w:rFonts w:ascii="Arial" w:cs="Arial" w:eastAsia="Arial" w:hAnsi="Arial"/>
          <w:sz w:val="16"/>
          <w:szCs w:val="16"/>
          <w:color w:val="auto"/>
        </w:rPr>
        <w:t>Pursuant to the requirements of the Securities Act of 1933, as amended, the undersigned, the duly authorized representative in the United States of the Registrant has signed this registration statement, on this 18th day of May 2018.</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KINIKSA PHARMACEUTICALS, CORP.</w:t>
      </w:r>
    </w:p>
    <w:p>
      <w:pPr>
        <w:spacing w:after="0" w:line="202" w:lineRule="exact"/>
        <w:rPr>
          <w:sz w:val="20"/>
          <w:szCs w:val="20"/>
          <w:color w:val="auto"/>
        </w:rPr>
      </w:pPr>
    </w:p>
    <w:p>
      <w:pPr>
        <w:ind w:left="5620"/>
        <w:spacing w:after="0"/>
        <w:tabs>
          <w:tab w:leader="none" w:pos="7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SANJ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118745</wp:posOffset>
            </wp:positionV>
            <wp:extent cx="256603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5">
                      <a:extLst>
                        <a:ext uri="{28A0092B-C50C-407E-A947-70E740481C1C}"/>
                      </a:extLst>
                    </a:blip>
                    <a:srcRect/>
                    <a:stretch>
                      <a:fillRect/>
                    </a:stretch>
                  </pic:blipFill>
                  <pic:spPr bwMode="auto">
                    <a:xfrm>
                      <a:off x="0" y="0"/>
                      <a:ext cx="2566035" cy="7620"/>
                    </a:xfrm>
                    <a:prstGeom prst="rect">
                      <a:avLst/>
                    </a:prstGeom>
                    <a:noFill/>
                  </pic:spPr>
                </pic:pic>
              </a:graphicData>
            </a:graphic>
          </wp:anchor>
        </w:drawing>
      </w:r>
    </w:p>
    <w:p>
      <w:pPr>
        <w:spacing w:after="0" w:line="275" w:lineRule="exact"/>
        <w:rPr>
          <w:sz w:val="20"/>
          <w:szCs w:val="20"/>
          <w:color w:val="auto"/>
        </w:rPr>
      </w:pPr>
    </w:p>
    <w:p>
      <w:pPr>
        <w:jc w:val="center"/>
        <w:ind w:left="5140"/>
        <w:spacing w:after="0"/>
        <w:rPr>
          <w:sz w:val="20"/>
          <w:szCs w:val="20"/>
          <w:color w:val="auto"/>
        </w:rPr>
      </w:pPr>
      <w:r>
        <w:rPr>
          <w:rFonts w:ascii="Arial" w:cs="Arial" w:eastAsia="Arial" w:hAnsi="Arial"/>
          <w:sz w:val="16"/>
          <w:szCs w:val="16"/>
          <w:color w:val="auto"/>
        </w:rPr>
        <w:t>Sanj K. Patel</w:t>
      </w:r>
    </w:p>
    <w:p>
      <w:pPr>
        <w:jc w:val="center"/>
        <w:ind w:left="5140"/>
        <w:spacing w:after="0"/>
        <w:rPr>
          <w:sz w:val="20"/>
          <w:szCs w:val="20"/>
          <w:color w:val="auto"/>
        </w:rPr>
      </w:pPr>
      <w:r>
        <w:rPr>
          <w:rFonts w:ascii="Arial" w:cs="Arial" w:eastAsia="Arial" w:hAnsi="Arial"/>
          <w:sz w:val="16"/>
          <w:szCs w:val="16"/>
          <w:i w:val="1"/>
          <w:iCs w:val="1"/>
          <w:color w:val="auto"/>
        </w:rPr>
        <w:t>Chief Executive Officer</w:t>
      </w:r>
    </w:p>
    <w:p>
      <w:pPr>
        <w:spacing w:after="0" w:line="190"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266305" cy="20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6">
                      <a:extLst>
                        <a:ext uri="{28A0092B-C50C-407E-A947-70E740481C1C}"/>
                      </a:extLst>
                    </a:blip>
                    <a:srcRect/>
                    <a:stretch>
                      <a:fillRect/>
                    </a:stretch>
                  </pic:blipFill>
                  <pic:spPr bwMode="auto">
                    <a:xfrm>
                      <a:off x="0" y="0"/>
                      <a:ext cx="7266305" cy="20320"/>
                    </a:xfrm>
                    <a:prstGeom prst="rect">
                      <a:avLst/>
                    </a:prstGeom>
                    <a:noFill/>
                  </pic:spPr>
                </pic:pic>
              </a:graphicData>
            </a:graphic>
          </wp:anchor>
        </w:drawing>
      </w:r>
    </w:p>
    <w:p>
      <w:pPr>
        <w:sectPr>
          <w:pgSz w:w="11900" w:h="16838" w:orient="portrait"/>
          <w:cols w:equalWidth="0" w:num="1">
            <w:col w:w="10920"/>
          </w:cols>
          <w:pgMar w:left="240" w:top="142" w:right="739" w:bottom="1440" w:gutter="0" w:footer="0" w:header="0"/>
        </w:sectPr>
      </w:pPr>
    </w:p>
    <w:bookmarkStart w:id="271" w:name="page272"/>
    <w:bookmarkEnd w:id="2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2" w:name="page273"/>
    <w:bookmarkEnd w:id="272"/>
    <w:p>
      <w:pPr>
        <w:jc w:val="right"/>
        <w:spacing w:after="0"/>
        <w:rPr>
          <w:sz w:val="20"/>
          <w:szCs w:val="20"/>
          <w:color w:val="auto"/>
        </w:rPr>
      </w:pPr>
      <w:r>
        <w:rPr>
          <w:rFonts w:ascii="Arial" w:cs="Arial" w:eastAsia="Arial" w:hAnsi="Arial"/>
          <w:sz w:val="16"/>
          <w:szCs w:val="16"/>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6" w:lineRule="exact"/>
        <w:rPr>
          <w:sz w:val="20"/>
          <w:szCs w:val="20"/>
          <w:color w:val="auto"/>
        </w:rPr>
      </w:pPr>
    </w:p>
    <w:p>
      <w:pPr>
        <w:jc w:val="both"/>
        <w:ind w:right="20"/>
        <w:spacing w:after="0" w:line="320" w:lineRule="auto"/>
        <w:rPr>
          <w:sz w:val="20"/>
          <w:szCs w:val="20"/>
          <w:color w:val="auto"/>
        </w:rPr>
      </w:pPr>
      <w:r>
        <w:rPr>
          <w:rFonts w:ascii="Arial" w:cs="Arial" w:eastAsia="Arial" w:hAnsi="Arial"/>
          <w:sz w:val="14"/>
          <w:szCs w:val="14"/>
          <w:color w:val="auto"/>
        </w:rPr>
        <w:t>We hereby consent to the use in this Amendment No. 2 to the Registration Statement on Form S-1 of Kiniksa Pharmaceuticals, Ltd. of our report dated February 27, 2018, except for the effects of the reverse share split discussed in Note 14 to the consolidated financial statements, as to which the date is May 14, 2018, relating to the financial statements of Kiniksa Pharmaceuticals, Ltd., which appears in this Registration Statement. We also consent to the reference to us under the heading “Experts” in such Registration Statement.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187325</wp:posOffset>
            </wp:positionV>
            <wp:extent cx="728154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7">
                      <a:extLst>
                        <a:ext uri="{28A0092B-C50C-407E-A947-70E740481C1C}"/>
                      </a:extLst>
                    </a:blip>
                    <a:srcRect/>
                    <a:stretch>
                      <a:fillRect/>
                    </a:stretch>
                  </pic:blipFill>
                  <pic:spPr bwMode="auto">
                    <a:xfrm>
                      <a:off x="0" y="0"/>
                      <a:ext cx="7281545" cy="27940"/>
                    </a:xfrm>
                    <a:prstGeom prst="rect">
                      <a:avLst/>
                    </a:prstGeom>
                    <a:noFill/>
                  </pic:spPr>
                </pic:pic>
              </a:graphicData>
            </a:graphic>
          </wp:anchor>
        </w:drawing>
      </w:r>
    </w:p>
    <w:sectPr>
      <w:pgSz w:w="11900" w:h="16838" w:orient="portrait"/>
      <w:cols w:equalWidth="0" w:num="1">
        <w:col w:w="11440"/>
      </w:cols>
      <w:pgMar w:left="240" w:top="3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1)"/>
      <w:numFmt w:val="decimal"/>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1)"/>
      <w:numFmt w:val="decimal"/>
      <w:start w:val="1"/>
    </w:lvl>
  </w:abstractNum>
  <w:abstractNum w:abstractNumId="10">
    <w:nsid w:val="4962813B"/>
    <w:multiLevelType w:val="hybridMultilevel"/>
    <w:lvl w:ilvl="0">
      <w:lvlJc w:val="left"/>
      <w:lvlText w:val="(%1)"/>
      <w:numFmt w:val="decimal"/>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
      <w:numFmt w:val="bullet"/>
      <w:start w:val="1"/>
    </w:lvl>
    <w:lvl w:ilvl="1">
      <w:lvlJc w:val="left"/>
      <w:lvlText w:val="•"/>
      <w:numFmt w:val="bullet"/>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1)"/>
      <w:numFmt w:val="decimal"/>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1)"/>
      <w:numFmt w:val="decimal"/>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
      <w:numFmt w:val="bullet"/>
      <w:start w:val="1"/>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1)"/>
      <w:numFmt w:val="decimal"/>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
      <w:numFmt w:val="bullet"/>
      <w:start w:val="1"/>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
      <w:numFmt w:val="bullet"/>
      <w:start w:val="1"/>
    </w:lvl>
  </w:abstractNum>
  <w:abstractNum w:abstractNumId="71">
    <w:nsid w:val="53584BCB"/>
    <w:multiLevelType w:val="hybridMultilevel"/>
    <w:lvl w:ilvl="0">
      <w:lvlJc w:val="left"/>
      <w:lvlText w:val="•"/>
      <w:numFmt w:val="bullet"/>
      <w:start w:val="1"/>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1."/>
      <w:numFmt w:val="decimal"/>
      <w:start w:val="716"/>
    </w:lvl>
  </w:abstractNum>
  <w:abstractNum w:abstractNumId="74">
    <w:nsid w:val="23D86AAC"/>
    <w:multiLevelType w:val="hybridMultilevel"/>
    <w:lvl w:ilvl="0">
      <w:lvlJc w:val="left"/>
      <w:lvlText w:val="•"/>
      <w:numFmt w:val="bullet"/>
      <w:start w:val="1"/>
    </w:lvl>
  </w:abstractNum>
  <w:abstractNum w:abstractNumId="75">
    <w:nsid w:val="45E6D486"/>
    <w:multiLevelType w:val="hybridMultilevel"/>
    <w:lvl w:ilvl="0">
      <w:lvlJc w:val="left"/>
      <w:lvlText w:val="•"/>
      <w:numFmt w:val="bullet"/>
      <w:start w:val="1"/>
    </w:lvl>
  </w:abstractNum>
  <w:abstractNum w:abstractNumId="76">
    <w:nsid w:val="5C10FE21"/>
    <w:multiLevelType w:val="hybridMultilevel"/>
    <w:lvl w:ilvl="0">
      <w:lvlJc w:val="left"/>
      <w:lvlText w:val="•"/>
      <w:numFmt w:val="bullet"/>
      <w:start w:val="1"/>
    </w:lvl>
  </w:abstractNum>
  <w:abstractNum w:abstractNumId="77">
    <w:nsid w:val="E7FFA2B"/>
    <w:multiLevelType w:val="hybridMultilevel"/>
    <w:lvl w:ilvl="0">
      <w:lvlJc w:val="left"/>
      <w:lvlText w:val="•"/>
      <w:numFmt w:val="bullet"/>
      <w:start w:val="1"/>
    </w:lvl>
  </w:abstractNum>
  <w:abstractNum w:abstractNumId="78">
    <w:nsid w:val="3C5991AA"/>
    <w:multiLevelType w:val="hybridMultilevel"/>
    <w:lvl w:ilvl="0">
      <w:lvlJc w:val="left"/>
      <w:lvlText w:val="(%1)"/>
      <w:numFmt w:val="lowerLetter"/>
      <w:start w:val="2"/>
    </w:lvl>
  </w:abstractNum>
  <w:abstractNum w:abstractNumId="79">
    <w:nsid w:val="4BD8591A"/>
    <w:multiLevelType w:val="hybridMultilevel"/>
    <w:lvl w:ilvl="0">
      <w:lvlJc w:val="left"/>
      <w:lvlText w:val="•"/>
      <w:numFmt w:val="bullet"/>
      <w:start w:val="1"/>
    </w:lvl>
  </w:abstractNum>
  <w:abstractNum w:abstractNumId="80">
    <w:nsid w:val="78DF6A55"/>
    <w:multiLevelType w:val="hybridMultilevel"/>
    <w:lvl w:ilvl="0">
      <w:lvlJc w:val="left"/>
      <w:lvlText w:val="•"/>
      <w:numFmt w:val="bullet"/>
      <w:start w:val="1"/>
    </w:lvl>
  </w:abstractNum>
  <w:abstractNum w:abstractNumId="81">
    <w:nsid w:val="39B7AAA2"/>
    <w:multiLevelType w:val="hybridMultilevel"/>
    <w:lvl w:ilvl="0">
      <w:lvlJc w:val="left"/>
      <w:lvlText w:val="•"/>
      <w:numFmt w:val="bullet"/>
      <w:start w:val="1"/>
    </w:lvl>
  </w:abstractNum>
  <w:abstractNum w:abstractNumId="82">
    <w:nsid w:val="2B0D8DBE"/>
    <w:multiLevelType w:val="hybridMultilevel"/>
    <w:lvl w:ilvl="0">
      <w:lvlJc w:val="left"/>
      <w:lvlText w:val="•"/>
      <w:numFmt w:val="bullet"/>
      <w:start w:val="1"/>
    </w:lvl>
  </w:abstractNum>
  <w:abstractNum w:abstractNumId="83">
    <w:nsid w:val="6C80EC70"/>
    <w:multiLevelType w:val="hybridMultilevel"/>
    <w:lvl w:ilvl="0">
      <w:lvlJc w:val="left"/>
      <w:lvlText w:val="•"/>
      <w:numFmt w:val="bullet"/>
      <w:start w:val="1"/>
    </w:lvl>
  </w:abstractNum>
  <w:abstractNum w:abstractNumId="84">
    <w:nsid w:val="379E21B5"/>
    <w:multiLevelType w:val="hybridMultilevel"/>
    <w:lvl w:ilvl="0">
      <w:lvlJc w:val="left"/>
      <w:lvlText w:val="•"/>
      <w:numFmt w:val="bullet"/>
      <w:start w:val="1"/>
    </w:lvl>
  </w:abstractNum>
  <w:abstractNum w:abstractNumId="85">
    <w:nsid w:val="69E373"/>
    <w:multiLevelType w:val="hybridMultilevel"/>
    <w:lvl w:ilvl="0">
      <w:lvlJc w:val="left"/>
      <w:lvlText w:val="•"/>
      <w:numFmt w:val="bullet"/>
      <w:start w:val="1"/>
    </w:lvl>
  </w:abstractNum>
  <w:abstractNum w:abstractNumId="86">
    <w:nsid w:val="2C27173B"/>
    <w:multiLevelType w:val="hybridMultilevel"/>
    <w:lvl w:ilvl="0">
      <w:lvlJc w:val="left"/>
      <w:lvlText w:val="(%1)"/>
      <w:numFmt w:val="decimal"/>
      <w:start w:val="1"/>
    </w:lvl>
  </w:abstractNum>
  <w:abstractNum w:abstractNumId="87">
    <w:nsid w:val="4C9B0904"/>
    <w:multiLevelType w:val="hybridMultilevel"/>
    <w:lvl w:ilvl="0">
      <w:lvlJc w:val="left"/>
      <w:lvlText w:val="(%1)"/>
      <w:numFmt w:val="decimal"/>
      <w:start w:val="1"/>
    </w:lvl>
  </w:abstractNum>
  <w:abstractNum w:abstractNumId="88">
    <w:nsid w:val="6AA7B75C"/>
    <w:multiLevelType w:val="hybridMultilevel"/>
    <w:lvl w:ilvl="0">
      <w:lvlJc w:val="left"/>
      <w:lvlText w:val="•"/>
      <w:numFmt w:val="bullet"/>
      <w:start w:val="1"/>
    </w:lvl>
  </w:abstractNum>
  <w:abstractNum w:abstractNumId="89">
    <w:nsid w:val="1DF029D3"/>
    <w:multiLevelType w:val="hybridMultilevel"/>
    <w:lvl w:ilvl="0">
      <w:lvlJc w:val="left"/>
      <w:lvlText w:val="(%1)"/>
      <w:numFmt w:val="decimal"/>
      <w:start w:val="1"/>
    </w:lvl>
  </w:abstractNum>
  <w:abstractNum w:abstractNumId="90">
    <w:nsid w:val="5675FF36"/>
    <w:multiLevelType w:val="hybridMultilevel"/>
    <w:lvl w:ilvl="0">
      <w:lvlJc w:val="left"/>
      <w:lvlText w:val="•"/>
      <w:numFmt w:val="bullet"/>
      <w:start w:val="1"/>
    </w:lvl>
    <w:lvl w:ilvl="1">
      <w:lvlJc w:val="left"/>
      <w:lvlText w:val="•"/>
      <w:numFmt w:val="bullet"/>
      <w:start w:val="1"/>
    </w:lvl>
  </w:abstractNum>
  <w:abstractNum w:abstractNumId="91">
    <w:nsid w:val="3DD15094"/>
    <w:multiLevelType w:val="hybridMultilevel"/>
    <w:lvl w:ilvl="0">
      <w:lvlJc w:val="left"/>
      <w:lvlText w:val="•"/>
      <w:numFmt w:val="bullet"/>
      <w:start w:val="1"/>
    </w:lvl>
  </w:abstractNum>
  <w:abstractNum w:abstractNumId="92">
    <w:nsid w:val="3DB012B3"/>
    <w:multiLevelType w:val="hybridMultilevel"/>
    <w:lvl w:ilvl="0">
      <w:lvlJc w:val="left"/>
      <w:lvlText w:val="•"/>
      <w:numFmt w:val="bullet"/>
      <w:start w:val="1"/>
    </w:lvl>
  </w:abstractNum>
  <w:abstractNum w:abstractNumId="93">
    <w:nsid w:val="2708C9AF"/>
    <w:multiLevelType w:val="hybridMultilevel"/>
    <w:lvl w:ilvl="0">
      <w:lvlJc w:val="left"/>
      <w:lvlText w:val="(%1)"/>
      <w:numFmt w:val="decimal"/>
      <w:start w:val="1"/>
    </w:lvl>
  </w:abstractNum>
  <w:abstractNum w:abstractNumId="94">
    <w:nsid w:val="5B25ACE2"/>
    <w:multiLevelType w:val="hybridMultilevel"/>
    <w:lvl w:ilvl="0">
      <w:lvlJc w:val="left"/>
      <w:lvlText w:val="•"/>
      <w:numFmt w:val="bullet"/>
      <w:start w:val="1"/>
    </w:lvl>
  </w:abstractNum>
  <w:abstractNum w:abstractNumId="95">
    <w:nsid w:val="175DFCF0"/>
    <w:multiLevelType w:val="hybridMultilevel"/>
    <w:lvl w:ilvl="0">
      <w:lvlJc w:val="left"/>
      <w:lvlText w:val="*"/>
      <w:numFmt w:val="bullet"/>
      <w:start w:val="1"/>
    </w:lvl>
  </w:abstractNum>
  <w:abstractNum w:abstractNumId="96">
    <w:nsid w:val="4F97E3E4"/>
    <w:multiLevelType w:val="hybridMultilevel"/>
    <w:lvl w:ilvl="0">
      <w:lvlJc w:val="left"/>
      <w:lvlText w:val="(%1)"/>
      <w:numFmt w:val="decimal"/>
      <w:start w:val="1"/>
    </w:lvl>
  </w:abstractNum>
  <w:abstractNum w:abstractNumId="97">
    <w:nsid w:val="53B0A9E"/>
    <w:multiLevelType w:val="hybridMultilevel"/>
    <w:lvl w:ilvl="0">
      <w:lvlJc w:val="left"/>
      <w:lvlText w:val="(%1)"/>
      <w:numFmt w:val="decimal"/>
      <w:start w:val="5"/>
    </w:lvl>
  </w:abstractNum>
  <w:abstractNum w:abstractNumId="98">
    <w:nsid w:val="34FD6B4F"/>
    <w:multiLevelType w:val="hybridMultilevel"/>
    <w:lvl w:ilvl="0">
      <w:lvlJc w:val="left"/>
      <w:lvlText w:val="•"/>
      <w:numFmt w:val="bullet"/>
      <w:start w:val="1"/>
    </w:lvl>
  </w:abstractNum>
  <w:abstractNum w:abstractNumId="99">
    <w:nsid w:val="5915FF32"/>
    <w:multiLevelType w:val="hybridMultilevel"/>
    <w:lvl w:ilvl="0">
      <w:lvlJc w:val="left"/>
      <w:lvlText w:val="•"/>
      <w:numFmt w:val="bullet"/>
      <w:start w:val="1"/>
    </w:lvl>
  </w:abstractNum>
  <w:abstractNum w:abstractNumId="100">
    <w:nsid w:val="56438D15"/>
    <w:multiLevelType w:val="hybridMultilevel"/>
    <w:lvl w:ilvl="0">
      <w:lvlJc w:val="left"/>
      <w:lvlText w:val="•"/>
      <w:numFmt w:val="bullet"/>
      <w:start w:val="1"/>
    </w:lvl>
  </w:abstractNum>
  <w:abstractNum w:abstractNumId="101">
    <w:nsid w:val="519E3149"/>
    <w:multiLevelType w:val="hybridMultilevel"/>
    <w:lvl w:ilvl="0">
      <w:lvlJc w:val="left"/>
      <w:lvlText w:val="•"/>
      <w:numFmt w:val="bullet"/>
      <w:start w:val="1"/>
    </w:lvl>
  </w:abstractNum>
  <w:abstractNum w:abstractNumId="102">
    <w:nsid w:val="2C6E4AFD"/>
    <w:multiLevelType w:val="hybridMultilevel"/>
    <w:lvl w:ilvl="0">
      <w:lvlJc w:val="left"/>
      <w:lvlText w:val="•"/>
      <w:numFmt w:val="bullet"/>
      <w:start w:val="1"/>
    </w:lvl>
  </w:abstractNum>
  <w:abstractNum w:abstractNumId="103">
    <w:nsid w:val="17A1B582"/>
    <w:multiLevelType w:val="hybridMultilevel"/>
    <w:lvl w:ilvl="0">
      <w:lvlJc w:val="left"/>
      <w:lvlText w:val="•"/>
      <w:numFmt w:val="bullet"/>
      <w:start w:val="1"/>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
      <w:numFmt w:val="bullet"/>
      <w:start w:val="1"/>
    </w:lvl>
  </w:abstractNum>
  <w:abstractNum w:abstractNumId="106">
    <w:nsid w:val="5D888A08"/>
    <w:multiLevelType w:val="hybridMultilevel"/>
    <w:lvl w:ilvl="0">
      <w:lvlJc w:val="left"/>
      <w:lvlText w:val="•"/>
      <w:numFmt w:val="bullet"/>
      <w:start w:val="1"/>
    </w:lvl>
  </w:abstractNum>
  <w:abstractNum w:abstractNumId="107">
    <w:nsid w:val="2A082C70"/>
    <w:multiLevelType w:val="hybridMultilevel"/>
    <w:lvl w:ilvl="0">
      <w:lvlJc w:val="left"/>
      <w:lvlText w:val="•"/>
      <w:numFmt w:val="bullet"/>
      <w:start w:val="1"/>
    </w:lvl>
  </w:abstractNum>
  <w:abstractNum w:abstractNumId="108">
    <w:nsid w:val="5EC6AFD4"/>
    <w:multiLevelType w:val="hybridMultilevel"/>
    <w:lvl w:ilvl="0">
      <w:lvlJc w:val="left"/>
      <w:lvlText w:val="•"/>
      <w:numFmt w:val="bullet"/>
      <w:start w:val="1"/>
    </w:lvl>
  </w:abstractNum>
  <w:abstractNum w:abstractNumId="109">
    <w:nsid w:val="19E21BB2"/>
    <w:multiLevelType w:val="hybridMultilevel"/>
    <w:lvl w:ilvl="0">
      <w:lvlJc w:val="left"/>
      <w:lvlText w:val="•"/>
      <w:numFmt w:val="bullet"/>
      <w:start w:val="1"/>
    </w:lvl>
  </w:abstractNum>
  <w:abstractNum w:abstractNumId="110">
    <w:nsid w:val="75E0858A"/>
    <w:multiLevelType w:val="hybridMultilevel"/>
    <w:lvl w:ilvl="0">
      <w:lvlJc w:val="left"/>
      <w:lvlText w:val="•"/>
      <w:numFmt w:val="bullet"/>
      <w:start w:val="1"/>
    </w:lvl>
  </w:abstractNum>
  <w:abstractNum w:abstractNumId="111">
    <w:nsid w:val="57A61A29"/>
    <w:multiLevelType w:val="hybridMultilevel"/>
    <w:lvl w:ilvl="0">
      <w:lvlJc w:val="left"/>
      <w:lvlText w:val="•"/>
      <w:numFmt w:val="bullet"/>
      <w:start w:val="1"/>
    </w:lvl>
  </w:abstractNum>
  <w:abstractNum w:abstractNumId="112">
    <w:nsid w:val="5399C654"/>
    <w:multiLevelType w:val="hybridMultilevel"/>
    <w:lvl w:ilvl="0">
      <w:lvlJc w:val="left"/>
      <w:lvlText w:val="•"/>
      <w:numFmt w:val="bullet"/>
      <w:start w:val="1"/>
    </w:lvl>
  </w:abstractNum>
  <w:abstractNum w:abstractNumId="113">
    <w:nsid w:val="20EE1348"/>
    <w:multiLevelType w:val="hybridMultilevel"/>
    <w:lvl w:ilvl="0">
      <w:lvlJc w:val="left"/>
      <w:lvlText w:val="•"/>
      <w:numFmt w:val="bullet"/>
      <w:start w:val="1"/>
    </w:lvl>
  </w:abstractNum>
  <w:abstractNum w:abstractNumId="114">
    <w:nsid w:val="4427069A"/>
    <w:multiLevelType w:val="hybridMultilevel"/>
    <w:lvl w:ilvl="0">
      <w:lvlJc w:val="left"/>
      <w:lvlText w:val="•"/>
      <w:numFmt w:val="bullet"/>
      <w:start w:val="1"/>
    </w:lvl>
    <w:lvl w:ilvl="1">
      <w:lvlJc w:val="left"/>
      <w:lvlText w:val="•"/>
      <w:numFmt w:val="bullet"/>
      <w:start w:val="1"/>
    </w:lvl>
  </w:abstractNum>
  <w:abstractNum w:abstractNumId="115">
    <w:nsid w:val="B37E80A"/>
    <w:multiLevelType w:val="hybridMultilevel"/>
    <w:lvl w:ilvl="0">
      <w:lvlJc w:val="left"/>
      <w:lvlText w:val="•"/>
      <w:numFmt w:val="bullet"/>
      <w:start w:val="1"/>
    </w:lvl>
    <w:lvl w:ilvl="1">
      <w:lvlJc w:val="left"/>
      <w:lvlText w:val="•"/>
      <w:numFmt w:val="bullet"/>
      <w:start w:val="1"/>
    </w:lvl>
  </w:abstractNum>
  <w:abstractNum w:abstractNumId="116">
    <w:nsid w:val="2157F6BC"/>
    <w:multiLevelType w:val="hybridMultilevel"/>
    <w:lvl w:ilvl="0">
      <w:lvlJc w:val="left"/>
      <w:lvlText w:val="•"/>
      <w:numFmt w:val="bullet"/>
      <w:start w:val="1"/>
    </w:lvl>
  </w:abstractNum>
  <w:abstractNum w:abstractNumId="117">
    <w:nsid w:val="704E1DD5"/>
    <w:multiLevelType w:val="hybridMultilevel"/>
    <w:lvl w:ilvl="0">
      <w:lvlJc w:val="left"/>
      <w:lvlText w:val="•"/>
      <w:numFmt w:val="bullet"/>
      <w:start w:val="1"/>
    </w:lvl>
    <w:lvl w:ilvl="1">
      <w:lvlJc w:val="left"/>
      <w:lvlText w:val="•"/>
      <w:numFmt w:val="bullet"/>
      <w:start w:val="1"/>
    </w:lvl>
  </w:abstractNum>
  <w:abstractNum w:abstractNumId="118">
    <w:nsid w:val="57D2F10E"/>
    <w:multiLevelType w:val="hybridMultilevel"/>
    <w:lvl w:ilvl="0">
      <w:lvlJc w:val="left"/>
      <w:lvlText w:val="•"/>
      <w:numFmt w:val="bullet"/>
      <w:start w:val="1"/>
    </w:lvl>
  </w:abstractNum>
  <w:abstractNum w:abstractNumId="119">
    <w:nsid w:val="BFFAE18"/>
    <w:multiLevelType w:val="hybridMultilevel"/>
    <w:lvl w:ilvl="0">
      <w:lvlJc w:val="left"/>
      <w:lvlText w:val="•"/>
      <w:numFmt w:val="bullet"/>
      <w:start w:val="1"/>
    </w:lvl>
  </w:abstractNum>
  <w:abstractNum w:abstractNumId="120">
    <w:nsid w:val="E3E47A8"/>
    <w:multiLevelType w:val="hybridMultilevel"/>
    <w:lvl w:ilvl="0">
      <w:lvlJc w:val="left"/>
      <w:lvlText w:val="•"/>
      <w:numFmt w:val="bullet"/>
      <w:start w:val="1"/>
    </w:lvl>
  </w:abstractNum>
  <w:abstractNum w:abstractNumId="121">
    <w:nsid w:val="2E48F044"/>
    <w:multiLevelType w:val="hybridMultilevel"/>
    <w:lvl w:ilvl="0">
      <w:lvlJc w:val="left"/>
      <w:lvlText w:val="•"/>
      <w:numFmt w:val="bullet"/>
      <w:start w:val="1"/>
    </w:lvl>
  </w:abstractNum>
  <w:abstractNum w:abstractNumId="122">
    <w:nsid w:val="49D0FEAC"/>
    <w:multiLevelType w:val="hybridMultilevel"/>
    <w:lvl w:ilvl="0">
      <w:lvlJc w:val="left"/>
      <w:lvlText w:val="•"/>
      <w:numFmt w:val="bullet"/>
      <w:start w:val="1"/>
    </w:lvl>
  </w:abstractNum>
  <w:abstractNum w:abstractNumId="123">
    <w:nsid w:val="4BEE5A5B"/>
    <w:multiLevelType w:val="hybridMultilevel"/>
    <w:lvl w:ilvl="0">
      <w:lvlJc w:val="left"/>
      <w:lvlText w:val="•"/>
      <w:numFmt w:val="bullet"/>
      <w:start w:val="1"/>
    </w:lvl>
  </w:abstractNum>
  <w:abstractNum w:abstractNumId="124">
    <w:nsid w:val="5551B9F3"/>
    <w:multiLevelType w:val="hybridMultilevel"/>
    <w:lvl w:ilvl="0">
      <w:lvlJc w:val="left"/>
      <w:lvlText w:val="•"/>
      <w:numFmt w:val="bullet"/>
      <w:start w:val="1"/>
    </w:lvl>
    <w:lvl w:ilvl="1">
      <w:lvlJc w:val="left"/>
      <w:lvlText w:val="(%2)"/>
      <w:numFmt w:val="decimal"/>
      <w:start w:val="1"/>
    </w:lvl>
  </w:abstractNum>
  <w:abstractNum w:abstractNumId="125">
    <w:nsid w:val="24F6AB8E"/>
    <w:multiLevelType w:val="hybridMultilevel"/>
    <w:lvl w:ilvl="0">
      <w:lvlJc w:val="left"/>
      <w:lvlText w:val="•"/>
      <w:numFmt w:val="bullet"/>
      <w:start w:val="1"/>
    </w:lvl>
  </w:abstractNum>
  <w:abstractNum w:abstractNumId="126">
    <w:nsid w:val="634C574C"/>
    <w:multiLevelType w:val="hybridMultilevel"/>
    <w:lvl w:ilvl="0">
      <w:lvlJc w:val="left"/>
      <w:lvlText w:val="•"/>
      <w:numFmt w:val="bullet"/>
      <w:start w:val="1"/>
    </w:lvl>
  </w:abstractNum>
  <w:abstractNum w:abstractNumId="127">
    <w:nsid w:val="24E99DD7"/>
    <w:multiLevelType w:val="hybridMultilevel"/>
    <w:lvl w:ilvl="0">
      <w:lvlJc w:val="left"/>
      <w:lvlText w:val="•"/>
      <w:numFmt w:val="bullet"/>
      <w:start w:val="1"/>
    </w:lvl>
  </w:abstractNum>
  <w:abstractNum w:abstractNumId="128">
    <w:nsid w:val="2A31B62D"/>
    <w:multiLevelType w:val="hybridMultilevel"/>
    <w:lvl w:ilvl="0">
      <w:lvlJc w:val="left"/>
      <w:lvlText w:val="•"/>
      <w:numFmt w:val="bullet"/>
      <w:start w:val="1"/>
    </w:lvl>
  </w:abstractNum>
  <w:abstractNum w:abstractNumId="129">
    <w:nsid w:val="1849C29B"/>
    <w:multiLevelType w:val="hybridMultilevel"/>
    <w:lvl w:ilvl="0">
      <w:lvlJc w:val="left"/>
      <w:lvlText w:val="•"/>
      <w:numFmt w:val="bullet"/>
      <w:start w:val="1"/>
    </w:lvl>
  </w:abstractNum>
  <w:abstractNum w:abstractNumId="130">
    <w:nsid w:val="7DFF9D09"/>
    <w:multiLevelType w:val="hybridMultilevel"/>
    <w:lvl w:ilvl="0">
      <w:lvlJc w:val="left"/>
      <w:lvlText w:val="•"/>
      <w:numFmt w:val="bullet"/>
      <w:start w:val="1"/>
    </w:lvl>
  </w:abstractNum>
  <w:abstractNum w:abstractNumId="131">
    <w:nsid w:val="754342"/>
    <w:multiLevelType w:val="hybridMultilevel"/>
    <w:lvl w:ilvl="0">
      <w:lvlJc w:val="left"/>
      <w:lvlText w:val="•"/>
      <w:numFmt w:val="bullet"/>
      <w:start w:val="1"/>
    </w:lvl>
  </w:abstractNum>
  <w:abstractNum w:abstractNumId="132">
    <w:nsid w:val="69E7F3E5"/>
    <w:multiLevelType w:val="hybridMultilevel"/>
    <w:lvl w:ilvl="0">
      <w:lvlJc w:val="left"/>
      <w:lvlText w:val="•"/>
      <w:numFmt w:val="bullet"/>
      <w:start w:val="1"/>
    </w:lvl>
  </w:abstractNum>
  <w:abstractNum w:abstractNumId="133">
    <w:nsid w:val="2A6DE806"/>
    <w:multiLevelType w:val="hybridMultilevel"/>
    <w:lvl w:ilvl="0">
      <w:lvlJc w:val="left"/>
      <w:lvlText w:val="%1."/>
      <w:numFmt w:val="decimal"/>
      <w:start w:val="2"/>
    </w:lvl>
  </w:abstractNum>
  <w:abstractNum w:abstractNumId="134">
    <w:nsid w:val="1816F8C4"/>
    <w:multiLevelType w:val="hybridMultilevel"/>
    <w:lvl w:ilvl="0">
      <w:lvlJc w:val="left"/>
      <w:lvlText w:val="%1."/>
      <w:numFmt w:val="decimal"/>
      <w:start w:val="2"/>
    </w:lvl>
  </w:abstractNum>
  <w:abstractNum w:abstractNumId="135">
    <w:nsid w:val="37DF2233"/>
    <w:multiLevelType w:val="hybridMultilevel"/>
    <w:lvl w:ilvl="0">
      <w:lvlJc w:val="left"/>
      <w:lvlText w:val="%1."/>
      <w:numFmt w:val="decimal"/>
      <w:start w:val="2"/>
    </w:lvl>
  </w:abstractNum>
  <w:abstractNum w:abstractNumId="136">
    <w:nsid w:val="7AB49DAF"/>
    <w:multiLevelType w:val="hybridMultilevel"/>
    <w:lvl w:ilvl="0">
      <w:lvlJc w:val="left"/>
      <w:lvlText w:val="•"/>
      <w:numFmt w:val="bullet"/>
      <w:start w:val="1"/>
    </w:lvl>
  </w:abstractNum>
  <w:abstractNum w:abstractNumId="137">
    <w:nsid w:val="759F82CD"/>
    <w:multiLevelType w:val="hybridMultilevel"/>
    <w:lvl w:ilvl="0">
      <w:lvlJc w:val="left"/>
      <w:lvlText w:val="%1."/>
      <w:numFmt w:val="decimal"/>
      <w:start w:val="2"/>
    </w:lvl>
  </w:abstractNum>
  <w:abstractNum w:abstractNumId="138">
    <w:nsid w:val="61E74EA3"/>
    <w:multiLevelType w:val="hybridMultilevel"/>
    <w:lvl w:ilvl="0">
      <w:lvlJc w:val="left"/>
      <w:lvlText w:val="%1."/>
      <w:numFmt w:val="decimal"/>
      <w:start w:val="6"/>
    </w:lvl>
  </w:abstractNum>
  <w:abstractNum w:abstractNumId="139">
    <w:nsid w:val="597B4D84"/>
    <w:multiLevelType w:val="hybridMultilevel"/>
    <w:lvl w:ilvl="0">
      <w:lvlJc w:val="left"/>
      <w:lvlText w:val="%1."/>
      <w:numFmt w:val="decimal"/>
      <w:start w:val="7"/>
    </w:lvl>
  </w:abstractNum>
  <w:abstractNum w:abstractNumId="140">
    <w:nsid w:val="F819E7F"/>
    <w:multiLevelType w:val="hybridMultilevel"/>
    <w:lvl w:ilvl="0">
      <w:lvlJc w:val="left"/>
      <w:lvlText w:val="%1."/>
      <w:numFmt w:val="decimal"/>
      <w:start w:val="8"/>
    </w:lvl>
  </w:abstractNum>
  <w:abstractNum w:abstractNumId="141">
    <w:nsid w:val="57C7D42D"/>
    <w:multiLevelType w:val="hybridMultilevel"/>
    <w:lvl w:ilvl="0">
      <w:lvlJc w:val="left"/>
      <w:lvlText w:val="%1."/>
      <w:numFmt w:val="decimal"/>
      <w:start w:val="8"/>
    </w:lvl>
  </w:abstractNum>
  <w:abstractNum w:abstractNumId="142">
    <w:nsid w:val="312167AD"/>
    <w:multiLevelType w:val="hybridMultilevel"/>
    <w:lvl w:ilvl="0">
      <w:lvlJc w:val="left"/>
      <w:lvlText w:val="%1."/>
      <w:numFmt w:val="decimal"/>
      <w:start w:val="8"/>
    </w:lvl>
  </w:abstractNum>
  <w:abstractNum w:abstractNumId="143">
    <w:nsid w:val="631B64D4"/>
    <w:multiLevelType w:val="hybridMultilevel"/>
    <w:lvl w:ilvl="0">
      <w:lvlJc w:val="left"/>
      <w:lvlText w:val="%1."/>
      <w:numFmt w:val="decimal"/>
      <w:start w:val="9"/>
    </w:lvl>
  </w:abstractNum>
  <w:abstractNum w:abstractNumId="144">
    <w:nsid w:val="78B5E776"/>
    <w:multiLevelType w:val="hybridMultilevel"/>
    <w:lvl w:ilvl="0">
      <w:lvlJc w:val="left"/>
      <w:lvlText w:val="%1."/>
      <w:numFmt w:val="decimal"/>
      <w:start w:val="11"/>
    </w:lvl>
  </w:abstractNum>
  <w:abstractNum w:abstractNumId="145">
    <w:nsid w:val="75486E47"/>
    <w:multiLevelType w:val="hybridMultilevel"/>
    <w:lvl w:ilvl="0">
      <w:lvlJc w:val="left"/>
      <w:lvlText w:val="%1."/>
      <w:numFmt w:val="decimal"/>
      <w:start w:val="12"/>
    </w:lvl>
  </w:abstractNum>
  <w:abstractNum w:abstractNumId="146">
    <w:nsid w:val="6E534CDE"/>
    <w:multiLevelType w:val="hybridMultilevel"/>
    <w:lvl w:ilvl="0">
      <w:lvlJc w:val="left"/>
      <w:lvlText w:val="%1."/>
      <w:numFmt w:val="decimal"/>
      <w:start w:val="12"/>
    </w:lvl>
  </w:abstractNum>
  <w:abstractNum w:abstractNumId="147">
    <w:nsid w:val="1A0DDE32"/>
    <w:multiLevelType w:val="hybridMultilevel"/>
    <w:lvl w:ilvl="0">
      <w:lvlJc w:val="left"/>
      <w:lvlText w:val="*"/>
      <w:numFmt w:val="bullet"/>
      <w:start w:val="1"/>
    </w:lvl>
  </w:abstractNum>
  <w:abstractNum w:abstractNumId="148">
    <w:nsid w:val="65968C1C"/>
    <w:multiLevelType w:val="hybridMultilevel"/>
    <w:lvl w:ilvl="0">
      <w:lvlJc w:val="left"/>
      <w:lvlText w:val="(%1)"/>
      <w:numFmt w:val="lowerLetter"/>
      <w:start w:val="1"/>
    </w:lvl>
    <w:lvl w:ilvl="1">
      <w:lvlJc w:val="left"/>
      <w:lvlText w:val="†"/>
      <w:numFmt w:val="bullet"/>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43" Type="http://schemas.openxmlformats.org/officeDocument/2006/relationships/image" Target="media/image315.png"/><Relationship Id="rId351" Type="http://schemas.openxmlformats.org/officeDocument/2006/relationships/image" Target="media/image316.png"/><Relationship Id="rId352" Type="http://schemas.openxmlformats.org/officeDocument/2006/relationships/image" Target="media/image317.png"/><Relationship Id="rId353" Type="http://schemas.openxmlformats.org/officeDocument/2006/relationships/image" Target="media/image318.png"/><Relationship Id="rId354" Type="http://schemas.openxmlformats.org/officeDocument/2006/relationships/image" Target="media/image319.png"/><Relationship Id="rId355" Type="http://schemas.openxmlformats.org/officeDocument/2006/relationships/image" Target="media/image320.png"/><Relationship Id="rId356" Type="http://schemas.openxmlformats.org/officeDocument/2006/relationships/image" Target="media/image321.png"/><Relationship Id="rId357" Type="http://schemas.openxmlformats.org/officeDocument/2006/relationships/image" Target="media/image322.png"/><Relationship Id="rId358" Type="http://schemas.openxmlformats.org/officeDocument/2006/relationships/image" Target="media/image323.png"/><Relationship Id="rId359" Type="http://schemas.openxmlformats.org/officeDocument/2006/relationships/image" Target="media/image324.png"/><Relationship Id="rId360" Type="http://schemas.openxmlformats.org/officeDocument/2006/relationships/image" Target="media/image325.png"/><Relationship Id="rId361" Type="http://schemas.openxmlformats.org/officeDocument/2006/relationships/image" Target="media/image326.png"/><Relationship Id="rId362" Type="http://schemas.openxmlformats.org/officeDocument/2006/relationships/image" Target="media/image327.png"/><Relationship Id="rId363" Type="http://schemas.openxmlformats.org/officeDocument/2006/relationships/image" Target="media/image328.png"/><Relationship Id="rId364" Type="http://schemas.openxmlformats.org/officeDocument/2006/relationships/image" Target="media/image329.png"/><Relationship Id="rId365" Type="http://schemas.openxmlformats.org/officeDocument/2006/relationships/image" Target="media/image330.png"/><Relationship Id="rId366" Type="http://schemas.openxmlformats.org/officeDocument/2006/relationships/image" Target="media/image331.png"/><Relationship Id="rId367" Type="http://schemas.openxmlformats.org/officeDocument/2006/relationships/image" Target="media/image332.png"/><Relationship Id="rId322" Type="http://schemas.openxmlformats.org/officeDocument/2006/relationships/hyperlink" Target="http://www.sec.gov/Archives/edgar/data/1730430/000104746918003731/a2235626zex-1_1.htm" TargetMode="External"/><Relationship Id="rId323" Type="http://schemas.openxmlformats.org/officeDocument/2006/relationships/hyperlink" Target="http://www.sec.gov/Archives/edgar/data/1730430/000104746918003293/a2235339zex-3_1.htm" TargetMode="External"/><Relationship Id="rId324" Type="http://schemas.openxmlformats.org/officeDocument/2006/relationships/hyperlink" Target="http://www.sec.gov/Archives/edgar/data/1730430/000104746918003293/a2235339zex-3_2.htm" TargetMode="External"/><Relationship Id="rId325" Type="http://schemas.openxmlformats.org/officeDocument/2006/relationships/hyperlink" Target="http://www.sec.gov/Archives/edgar/data/1730430/000104746918003731/a2235626zex-3_3.htm" TargetMode="External"/><Relationship Id="rId326" Type="http://schemas.openxmlformats.org/officeDocument/2006/relationships/hyperlink" Target="http://www.sec.gov/Archives/edgar/data/1730430/000104746918003731/a2235626zex-4_1.htm" TargetMode="External"/><Relationship Id="rId327" Type="http://schemas.openxmlformats.org/officeDocument/2006/relationships/hyperlink" Target="http://www.sec.gov/Archives/edgar/data/1730430/000104746918003293/a2235339zex-4_2.htm" TargetMode="External"/><Relationship Id="rId328" Type="http://schemas.openxmlformats.org/officeDocument/2006/relationships/hyperlink" Target="http://www.sec.gov/Archives/edgar/data/1730430/000104746918003731/a2235626zex-5_1.htm" TargetMode="External"/><Relationship Id="rId329" Type="http://schemas.openxmlformats.org/officeDocument/2006/relationships/hyperlink" Target="http://www.sec.gov/Archives/edgar/data/1730430/000104746918003293/a2235339zex-10_1.htm" TargetMode="External"/><Relationship Id="rId330" Type="http://schemas.openxmlformats.org/officeDocument/2006/relationships/hyperlink" Target="http://www.sec.gov/Archives/edgar/data/1730430/000104746918003731/a2235626zex-10_2.htm" TargetMode="External"/><Relationship Id="rId331" Type="http://schemas.openxmlformats.org/officeDocument/2006/relationships/hyperlink" Target="http://www.sec.gov/Archives/edgar/data/1730430/000104746918003731/a2235626zex-10_3.htm" TargetMode="External"/><Relationship Id="rId332" Type="http://schemas.openxmlformats.org/officeDocument/2006/relationships/hyperlink" Target="http://www.sec.gov/Archives/edgar/data/1730430/000104746918003731/a2235626zex-10_4.htm" TargetMode="External"/><Relationship Id="rId333" Type="http://schemas.openxmlformats.org/officeDocument/2006/relationships/hyperlink" Target="http://www.sec.gov/Archives/edgar/data/1730430/000104746918003731/a2235626zex-10_5.htm" TargetMode="External"/><Relationship Id="rId334" Type="http://schemas.openxmlformats.org/officeDocument/2006/relationships/hyperlink" Target="http://www.sec.gov/Archives/edgar/data/1730430/000104746918003731/a2235626zex-10_6.htm" TargetMode="External"/><Relationship Id="rId335" Type="http://schemas.openxmlformats.org/officeDocument/2006/relationships/hyperlink" Target="http://www.sec.gov/Archives/edgar/data/1730430/000104746918003293/a2235339zex-10_7.htm" TargetMode="External"/><Relationship Id="rId336" Type="http://schemas.openxmlformats.org/officeDocument/2006/relationships/hyperlink" Target="http://www.sec.gov/Archives/edgar/data/1730430/000104746918003293/a2235339zex-10_8.htm" TargetMode="External"/><Relationship Id="rId337" Type="http://schemas.openxmlformats.org/officeDocument/2006/relationships/hyperlink" Target="http://www.sec.gov/Archives/edgar/data/1730430/000104746918003293/a2235339zex-10_9.htm" TargetMode="External"/><Relationship Id="rId338" Type="http://schemas.openxmlformats.org/officeDocument/2006/relationships/hyperlink" Target="http://www.sec.gov/Archives/edgar/data/1730430/000104746918003293/a2235339zex-10_10.htm" TargetMode="External"/><Relationship Id="rId339" Type="http://schemas.openxmlformats.org/officeDocument/2006/relationships/hyperlink" Target="http://www.sec.gov/Archives/edgar/data/1730430/000104746918003293/a2235339zex-10_11.htm" TargetMode="External"/><Relationship Id="rId340" Type="http://schemas.openxmlformats.org/officeDocument/2006/relationships/hyperlink" Target="http://www.sec.gov/Archives/edgar/data/1730430/000104746918003293/a2235339zex-10_12.htm" TargetMode="External"/><Relationship Id="rId341" Type="http://schemas.openxmlformats.org/officeDocument/2006/relationships/hyperlink" Target="http://www.sec.gov/Archives/edgar/data/1730430/000104746918003293/a2235339zex-10_13.htm" TargetMode="External"/><Relationship Id="rId342" Type="http://schemas.openxmlformats.org/officeDocument/2006/relationships/hyperlink" Target="http://www.sec.gov/Archives/edgar/data/1730430/000104746918003731/a2235626zex-10_14.htm" TargetMode="External"/><Relationship Id="rId344" Type="http://schemas.openxmlformats.org/officeDocument/2006/relationships/hyperlink" Target="http://www.sec.gov/Archives/edgar/data/1730430/000104746918003731/a2235626zex-10_15.htm" TargetMode="External"/><Relationship Id="rId345" Type="http://schemas.openxmlformats.org/officeDocument/2006/relationships/hyperlink" Target="http://www.sec.gov/Archives/edgar/data/1730430/000104746918003731/a2235626zex-10_16.htm" TargetMode="External"/><Relationship Id="rId346" Type="http://schemas.openxmlformats.org/officeDocument/2006/relationships/hyperlink" Target="http://www.sec.gov/Archives/edgar/data/1730430/000104746918003731/a2235626zex-10_17.htm" TargetMode="External"/><Relationship Id="rId347" Type="http://schemas.openxmlformats.org/officeDocument/2006/relationships/hyperlink" Target="http://www.sec.gov/Archives/edgar/data/1730430/000104746918003731/a2235626zex-10_18.htm" TargetMode="External"/><Relationship Id="rId348" Type="http://schemas.openxmlformats.org/officeDocument/2006/relationships/hyperlink" Target="http://www.sec.gov/Archives/edgar/data/1730430/000104746918003731/a2235626zex-10_19.htm" TargetMode="External"/><Relationship Id="rId349" Type="http://schemas.openxmlformats.org/officeDocument/2006/relationships/hyperlink" Target="http://www.sec.gov/Archives/edgar/data/1730430/000104746918003293/a2235339zex-21_1.htm" TargetMode="External"/><Relationship Id="rId350" Type="http://schemas.openxmlformats.org/officeDocument/2006/relationships/hyperlink" Target="http://www.sec.gov/Archives/edgar/data/1730430/000104746918003293/a2235339z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2019-12-08T17:18:56Z</dcterms:created>
  <dcterms:modified xsi:type="dcterms:W3CDTF">2019-12-08T17:18:56Z</dcterms:modified>
</cp:coreProperties>
</file>