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309245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342900</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34"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138430</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154305</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CURRENT REPORT</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April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151130</wp:posOffset>
            </wp:positionV>
            <wp:extent cx="17792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Kiniksa Pharmaceuticals, Ltd.</w:t>
      </w:r>
    </w:p>
    <w:p>
      <w:pPr>
        <w:spacing w:after="0" w:line="31"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138430</wp:posOffset>
            </wp:positionV>
            <wp:extent cx="1779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1140" w:type="dxa"/>
        <w:tblCellMar>
          <w:top w:w="0" w:type="dxa"/>
          <w:left w:w="0" w:type="dxa"/>
          <w:bottom w:w="0" w:type="dxa"/>
          <w:right w:w="0" w:type="dxa"/>
        </w:tblCellMar>
      </w:tblPr>
      <w:tr>
        <w:trPr>
          <w:trHeight w:val="217"/>
        </w:trPr>
        <w:tc>
          <w:tcPr>
            <w:tcW w:w="3080" w:type="dxa"/>
            <w:vAlign w:val="bottom"/>
          </w:tcPr>
          <w:p>
            <w:pPr>
              <w:ind w:left="360"/>
              <w:spacing w:after="0"/>
              <w:rPr>
                <w:sz w:val="20"/>
                <w:szCs w:val="20"/>
                <w:color w:val="auto"/>
              </w:rPr>
            </w:pPr>
            <w:r>
              <w:rPr>
                <w:rFonts w:ascii="Arial" w:cs="Arial" w:eastAsia="Arial" w:hAnsi="Arial"/>
                <w:sz w:val="18"/>
                <w:szCs w:val="18"/>
                <w:b w:val="1"/>
                <w:bCs w:val="1"/>
                <w:color w:val="auto"/>
              </w:rPr>
              <w:t>Bermuda</w:t>
            </w:r>
          </w:p>
        </w:tc>
        <w:tc>
          <w:tcPr>
            <w:tcW w:w="3200" w:type="dxa"/>
            <w:vAlign w:val="bottom"/>
          </w:tcPr>
          <w:p>
            <w:pPr>
              <w:jc w:val="center"/>
              <w:ind w:right="291"/>
              <w:spacing w:after="0"/>
              <w:rPr>
                <w:sz w:val="20"/>
                <w:szCs w:val="20"/>
                <w:color w:val="auto"/>
              </w:rPr>
            </w:pPr>
            <w:r>
              <w:rPr>
                <w:rFonts w:ascii="Arial" w:cs="Arial" w:eastAsia="Arial" w:hAnsi="Arial"/>
                <w:sz w:val="18"/>
                <w:szCs w:val="18"/>
                <w:b w:val="1"/>
                <w:bCs w:val="1"/>
                <w:color w:val="auto"/>
                <w:w w:val="89"/>
              </w:rPr>
              <w:t>001-730430</w:t>
            </w:r>
          </w:p>
        </w:tc>
        <w:tc>
          <w:tcPr>
            <w:tcW w:w="2640" w:type="dxa"/>
            <w:vAlign w:val="bottom"/>
          </w:tcPr>
          <w:p>
            <w:pPr>
              <w:jc w:val="center"/>
              <w:ind w:left="1211"/>
              <w:spacing w:after="0"/>
              <w:rPr>
                <w:sz w:val="20"/>
                <w:szCs w:val="20"/>
                <w:color w:val="auto"/>
              </w:rPr>
            </w:pPr>
            <w:r>
              <w:rPr>
                <w:rFonts w:ascii="Arial" w:cs="Arial" w:eastAsia="Arial" w:hAnsi="Arial"/>
                <w:sz w:val="18"/>
                <w:szCs w:val="18"/>
                <w:b w:val="1"/>
                <w:bCs w:val="1"/>
                <w:color w:val="auto"/>
                <w:w w:val="89"/>
              </w:rPr>
              <w:t>98-1327726</w:t>
            </w:r>
          </w:p>
        </w:tc>
      </w:tr>
      <w:tr>
        <w:trPr>
          <w:trHeight w:val="213"/>
        </w:trPr>
        <w:tc>
          <w:tcPr>
            <w:tcW w:w="3080" w:type="dxa"/>
            <w:vAlign w:val="bottom"/>
          </w:tcPr>
          <w:p>
            <w:pPr>
              <w:jc w:val="center"/>
              <w:ind w:right="851"/>
              <w:spacing w:after="0"/>
              <w:rPr>
                <w:sz w:val="20"/>
                <w:szCs w:val="20"/>
                <w:color w:val="auto"/>
              </w:rPr>
            </w:pPr>
            <w:r>
              <w:rPr>
                <w:rFonts w:ascii="Arial" w:cs="Arial" w:eastAsia="Arial" w:hAnsi="Arial"/>
                <w:sz w:val="18"/>
                <w:szCs w:val="18"/>
                <w:color w:val="auto"/>
                <w:w w:val="91"/>
              </w:rPr>
              <w:t>(State or other jurisdiction of</w:t>
            </w:r>
          </w:p>
        </w:tc>
        <w:tc>
          <w:tcPr>
            <w:tcW w:w="3200" w:type="dxa"/>
            <w:vAlign w:val="bottom"/>
          </w:tcPr>
          <w:p>
            <w:pPr>
              <w:jc w:val="center"/>
              <w:ind w:right="291"/>
              <w:spacing w:after="0"/>
              <w:rPr>
                <w:sz w:val="20"/>
                <w:szCs w:val="20"/>
                <w:color w:val="auto"/>
              </w:rPr>
            </w:pPr>
            <w:r>
              <w:rPr>
                <w:rFonts w:ascii="Arial" w:cs="Arial" w:eastAsia="Arial" w:hAnsi="Arial"/>
                <w:sz w:val="18"/>
                <w:szCs w:val="18"/>
                <w:color w:val="auto"/>
                <w:w w:val="89"/>
              </w:rPr>
              <w:t>(Commission</w:t>
            </w:r>
          </w:p>
        </w:tc>
        <w:tc>
          <w:tcPr>
            <w:tcW w:w="2640" w:type="dxa"/>
            <w:vAlign w:val="bottom"/>
          </w:tcPr>
          <w:p>
            <w:pPr>
              <w:jc w:val="center"/>
              <w:ind w:left="1211"/>
              <w:spacing w:after="0"/>
              <w:rPr>
                <w:sz w:val="20"/>
                <w:szCs w:val="20"/>
                <w:color w:val="auto"/>
              </w:rPr>
            </w:pPr>
            <w:r>
              <w:rPr>
                <w:rFonts w:ascii="Arial" w:cs="Arial" w:eastAsia="Arial" w:hAnsi="Arial"/>
                <w:sz w:val="18"/>
                <w:szCs w:val="18"/>
                <w:color w:val="auto"/>
                <w:w w:val="92"/>
              </w:rPr>
              <w:t>(I.R.S. Employer</w:t>
            </w:r>
          </w:p>
        </w:tc>
      </w:tr>
      <w:tr>
        <w:trPr>
          <w:trHeight w:val="226"/>
        </w:trPr>
        <w:tc>
          <w:tcPr>
            <w:tcW w:w="3080" w:type="dxa"/>
            <w:vAlign w:val="bottom"/>
          </w:tcPr>
          <w:p>
            <w:pPr>
              <w:jc w:val="center"/>
              <w:ind w:right="851"/>
              <w:spacing w:after="0"/>
              <w:rPr>
                <w:sz w:val="20"/>
                <w:szCs w:val="20"/>
                <w:color w:val="auto"/>
              </w:rPr>
            </w:pPr>
            <w:r>
              <w:rPr>
                <w:rFonts w:ascii="Arial" w:cs="Arial" w:eastAsia="Arial" w:hAnsi="Arial"/>
                <w:sz w:val="18"/>
                <w:szCs w:val="18"/>
                <w:color w:val="auto"/>
                <w:w w:val="91"/>
              </w:rPr>
              <w:t>incorporation or organization)</w:t>
            </w:r>
          </w:p>
        </w:tc>
        <w:tc>
          <w:tcPr>
            <w:tcW w:w="3200" w:type="dxa"/>
            <w:vAlign w:val="bottom"/>
          </w:tcPr>
          <w:p>
            <w:pPr>
              <w:jc w:val="center"/>
              <w:ind w:right="291"/>
              <w:spacing w:after="0"/>
              <w:rPr>
                <w:sz w:val="20"/>
                <w:szCs w:val="20"/>
                <w:color w:val="auto"/>
              </w:rPr>
            </w:pPr>
            <w:r>
              <w:rPr>
                <w:rFonts w:ascii="Arial" w:cs="Arial" w:eastAsia="Arial" w:hAnsi="Arial"/>
                <w:sz w:val="18"/>
                <w:szCs w:val="18"/>
                <w:color w:val="auto"/>
                <w:w w:val="94"/>
              </w:rPr>
              <w:t>File Number)</w:t>
            </w:r>
          </w:p>
        </w:tc>
        <w:tc>
          <w:tcPr>
            <w:tcW w:w="2640" w:type="dxa"/>
            <w:vAlign w:val="bottom"/>
          </w:tcPr>
          <w:p>
            <w:pPr>
              <w:jc w:val="center"/>
              <w:ind w:left="1231"/>
              <w:spacing w:after="0"/>
              <w:rPr>
                <w:sz w:val="20"/>
                <w:szCs w:val="20"/>
                <w:color w:val="auto"/>
              </w:rPr>
            </w:pPr>
            <w:r>
              <w:rPr>
                <w:rFonts w:ascii="Arial" w:cs="Arial" w:eastAsia="Arial" w:hAnsi="Arial"/>
                <w:sz w:val="18"/>
                <w:szCs w:val="18"/>
                <w:color w:val="auto"/>
                <w:w w:val="94"/>
              </w:rPr>
              <w:t>Identification No.)</w:t>
            </w:r>
          </w:p>
        </w:tc>
      </w:tr>
    </w:tbl>
    <w:p>
      <w:pPr>
        <w:spacing w:after="0" w:line="19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Kiniksa Pharmaceuticals, Ltd.</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Clarendon House 2 Church</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Street</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Hamilton HM11, Bermuda (808) 451-</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3453</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(Address, zip code and telephone number, including area code of principal executive offices)</w:t>
      </w:r>
    </w:p>
    <w:p>
      <w:pPr>
        <w:spacing w:after="0" w:line="20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Kiniksa Pharmaceuticals Corp.</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100 Hayden Avenue</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Lexington, MA, 02421</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(781) 431-9100</w:t>
      </w:r>
    </w:p>
    <w:p>
      <w:pPr>
        <w:spacing w:after="0" w:line="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(Address, zip code and telephone number, including area code of agent for service)</w:t>
      </w:r>
    </w:p>
    <w:p>
      <w:pPr>
        <w:spacing w:after="0" w:line="203"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N/A</w:t>
      </w:r>
    </w:p>
    <w:p>
      <w:pPr>
        <w:spacing w:after="0" w:line="2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140335</wp:posOffset>
            </wp:positionV>
            <wp:extent cx="1779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ind w:right="80"/>
        <w:spacing w:after="0" w:line="27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960" w:hanging="63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9" w:lineRule="exact"/>
        <w:rPr>
          <w:rFonts w:ascii="MS PGothic" w:cs="MS PGothic" w:eastAsia="MS PGothic" w:hAnsi="MS PGothic"/>
          <w:sz w:val="18"/>
          <w:szCs w:val="18"/>
          <w:color w:val="auto"/>
        </w:rPr>
      </w:pPr>
    </w:p>
    <w:p>
      <w:pPr>
        <w:ind w:left="960" w:hanging="63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9" w:lineRule="exact"/>
        <w:rPr>
          <w:rFonts w:ascii="MS PGothic" w:cs="MS PGothic" w:eastAsia="MS PGothic" w:hAnsi="MS PGothic"/>
          <w:sz w:val="18"/>
          <w:szCs w:val="18"/>
          <w:color w:val="auto"/>
        </w:rPr>
      </w:pPr>
    </w:p>
    <w:p>
      <w:pPr>
        <w:ind w:left="960" w:hanging="633"/>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9" w:lineRule="exact"/>
        <w:rPr>
          <w:rFonts w:ascii="MS PGothic" w:cs="MS PGothic" w:eastAsia="MS PGothic" w:hAnsi="MS PGothic"/>
          <w:sz w:val="18"/>
          <w:szCs w:val="18"/>
          <w:color w:val="auto"/>
        </w:rPr>
      </w:pPr>
    </w:p>
    <w:p>
      <w:pPr>
        <w:ind w:left="360" w:right="2320" w:hanging="33"/>
        <w:spacing w:after="0" w:line="492" w:lineRule="auto"/>
        <w:tabs>
          <w:tab w:leader="none" w:pos="9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Trading</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6"/>
              </w:rPr>
              <w:t>Name of each exchange on which</w:t>
            </w:r>
          </w:p>
        </w:tc>
      </w:tr>
      <w:tr>
        <w:trPr>
          <w:trHeight w:val="244"/>
        </w:trPr>
        <w:tc>
          <w:tcPr>
            <w:tcW w:w="4740" w:type="dxa"/>
            <w:vAlign w:val="bottom"/>
            <w:gridSpan w:val="2"/>
          </w:tcPr>
          <w:p>
            <w:pPr>
              <w:ind w:left="1640"/>
              <w:spacing w:after="0"/>
              <w:rPr>
                <w:sz w:val="20"/>
                <w:szCs w:val="20"/>
                <w:color w:val="auto"/>
              </w:rPr>
            </w:pPr>
            <w:r>
              <w:rPr>
                <w:rFonts w:ascii="Arial" w:cs="Arial" w:eastAsia="Arial" w:hAnsi="Arial"/>
                <w:sz w:val="18"/>
                <w:szCs w:val="18"/>
                <w:b w:val="1"/>
                <w:bCs w:val="1"/>
                <w:color w:val="auto"/>
              </w:rPr>
              <w:t>Title of each class</w:t>
            </w:r>
          </w:p>
        </w:tc>
        <w:tc>
          <w:tcPr>
            <w:tcW w:w="3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Symbol(s)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1"/>
        </w:trPr>
        <w:tc>
          <w:tcPr>
            <w:tcW w:w="450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94"/>
              </w:rPr>
              <w:t>Class A Common Shares $0.000273235 par value</w:t>
            </w:r>
          </w:p>
        </w:tc>
        <w:tc>
          <w:tcPr>
            <w:tcW w:w="24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KNSA</w:t>
            </w:r>
          </w:p>
        </w:tc>
        <w:tc>
          <w:tcPr>
            <w:tcW w:w="220" w:type="dxa"/>
            <w:vAlign w:val="bottom"/>
          </w:tcPr>
          <w:p>
            <w:pPr>
              <w:spacing w:after="0"/>
              <w:rPr>
                <w:sz w:val="19"/>
                <w:szCs w:val="19"/>
                <w:color w:val="auto"/>
              </w:rPr>
            </w:pPr>
          </w:p>
        </w:tc>
        <w:tc>
          <w:tcPr>
            <w:tcW w:w="3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The Nasdaq Global Select Market</w:t>
            </w:r>
          </w:p>
        </w:tc>
      </w:tr>
    </w:tbl>
    <w:p>
      <w:pPr>
        <w:spacing w:after="0" w:line="186" w:lineRule="exact"/>
        <w:rPr>
          <w:sz w:val="24"/>
          <w:szCs w:val="24"/>
          <w:color w:val="auto"/>
        </w:rPr>
      </w:pPr>
    </w:p>
    <w:p>
      <w:pPr>
        <w:ind w:left="100" w:right="540"/>
        <w:spacing w:after="0" w:line="27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ind w:left="1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3" w:lineRule="exact"/>
        <w:rPr>
          <w:sz w:val="24"/>
          <w:szCs w:val="24"/>
          <w:color w:val="auto"/>
        </w:rPr>
      </w:pPr>
    </w:p>
    <w:p>
      <w:pPr>
        <w:ind w:left="100" w:right="2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124460</wp:posOffset>
            </wp:positionV>
            <wp:extent cx="713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590550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4"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On April 22, 2020, Kiniksa Pharmaceuticals, Ltd. (the “Company”) issued a press release announcing data from its Phase 2a clinical trial with Vixarelimab (KPL-716) in prurigo nodularis. A copy of the press release and a slide-deck containing data from the trial are furnished with this Current Report on Form 8-K as Exhibits 99.1 and 99.2, respectively.</w:t>
      </w:r>
    </w:p>
    <w:p>
      <w:pPr>
        <w:spacing w:after="0" w:line="186"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information contained in this Item 7.01 of this Current Report on Form 8-K and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and except as expressly provided by specific reference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80" w:type="dxa"/>
            <w:vAlign w:val="bottom"/>
          </w:tcPr>
          <w:p>
            <w:pPr>
              <w:spacing w:after="0"/>
              <w:rPr>
                <w:sz w:val="19"/>
                <w:szCs w:val="19"/>
                <w:color w:val="auto"/>
              </w:rPr>
            </w:pPr>
          </w:p>
        </w:tc>
        <w:tc>
          <w:tcPr>
            <w:tcW w:w="10560" w:type="dxa"/>
            <w:vAlign w:val="bottom"/>
            <w:gridSpan w:val="3"/>
          </w:tcPr>
          <w:p>
            <w:pPr>
              <w:ind w:left="100"/>
              <w:spacing w:after="0"/>
              <w:rPr>
                <w:sz w:val="20"/>
                <w:szCs w:val="20"/>
                <w:color w:val="auto"/>
              </w:rPr>
            </w:pPr>
            <w:r>
              <w:rPr>
                <w:rFonts w:ascii="Arial" w:cs="Arial" w:eastAsia="Arial" w:hAnsi="Arial"/>
                <w:sz w:val="18"/>
                <w:szCs w:val="18"/>
                <w:color w:val="auto"/>
              </w:rPr>
              <w:t>(d) Exhibits</w:t>
            </w:r>
          </w:p>
        </w:tc>
        <w:tc>
          <w:tcPr>
            <w:tcW w:w="0" w:type="dxa"/>
            <w:vAlign w:val="bottom"/>
          </w:tcPr>
          <w:p>
            <w:pPr>
              <w:spacing w:after="0"/>
              <w:rPr>
                <w:sz w:val="1"/>
                <w:szCs w:val="1"/>
                <w:color w:val="auto"/>
              </w:rPr>
            </w:pPr>
          </w:p>
        </w:tc>
      </w:tr>
      <w:tr>
        <w:trPr>
          <w:trHeight w:val="414"/>
        </w:trPr>
        <w:tc>
          <w:tcPr>
            <w:tcW w:w="6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00" w:type="dxa"/>
            <w:vAlign w:val="bottom"/>
            <w:vMerge w:val="restart"/>
          </w:tcPr>
          <w:p>
            <w:pPr>
              <w:ind w:left="46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2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6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40" w:type="dxa"/>
            <w:vAlign w:val="bottom"/>
          </w:tcPr>
          <w:p>
            <w:pPr>
              <w:spacing w:after="0"/>
              <w:rPr>
                <w:sz w:val="24"/>
                <w:szCs w:val="24"/>
                <w:color w:val="auto"/>
              </w:rPr>
            </w:pPr>
          </w:p>
        </w:tc>
        <w:tc>
          <w:tcPr>
            <w:tcW w:w="10320" w:type="dxa"/>
            <w:vAlign w:val="bottom"/>
            <w:gridSpan w:val="2"/>
          </w:tcPr>
          <w:p>
            <w:pPr>
              <w:ind w:left="2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Vixarelimab (KPL-716) Phase 2a Data Press Release issued by Kiniksa Pharmaceuticals, Ltd. dated April 22, 2020</w:t>
              </w:r>
            </w:hyperlink>
          </w:p>
        </w:tc>
        <w:tc>
          <w:tcPr>
            <w:tcW w:w="0" w:type="dxa"/>
            <w:vAlign w:val="bottom"/>
          </w:tcPr>
          <w:p>
            <w:pPr>
              <w:spacing w:after="0"/>
              <w:rPr>
                <w:sz w:val="1"/>
                <w:szCs w:val="1"/>
                <w:color w:val="auto"/>
              </w:rPr>
            </w:pPr>
          </w:p>
        </w:tc>
      </w:tr>
      <w:tr>
        <w:trPr>
          <w:trHeight w:val="226"/>
        </w:trPr>
        <w:tc>
          <w:tcPr>
            <w:tcW w:w="68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99.2</w:t>
              </w:r>
            </w:hyperlink>
          </w:p>
        </w:tc>
        <w:tc>
          <w:tcPr>
            <w:tcW w:w="240" w:type="dxa"/>
            <w:vAlign w:val="bottom"/>
          </w:tcPr>
          <w:p>
            <w:pPr>
              <w:spacing w:after="0"/>
              <w:rPr>
                <w:sz w:val="19"/>
                <w:szCs w:val="19"/>
                <w:color w:val="auto"/>
              </w:rPr>
            </w:pPr>
          </w:p>
        </w:tc>
        <w:tc>
          <w:tcPr>
            <w:tcW w:w="10320" w:type="dxa"/>
            <w:vAlign w:val="bottom"/>
            <w:gridSpan w:val="2"/>
          </w:tcPr>
          <w:p>
            <w:pPr>
              <w:ind w:left="22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Kiniksa Pharmaceuticals, Ltd. Vixarelimab (KPL-716) Phase 2a Data Slide-Deck</w:t>
              </w:r>
            </w:hyperlink>
          </w:p>
        </w:tc>
        <w:tc>
          <w:tcPr>
            <w:tcW w:w="0" w:type="dxa"/>
            <w:vAlign w:val="bottom"/>
          </w:tcPr>
          <w:p>
            <w:pPr>
              <w:spacing w:after="0"/>
              <w:rPr>
                <w:sz w:val="1"/>
                <w:szCs w:val="1"/>
                <w:color w:val="auto"/>
              </w:rPr>
            </w:pPr>
          </w:p>
        </w:tc>
      </w:tr>
      <w:tr>
        <w:trPr>
          <w:trHeight w:val="669"/>
        </w:trPr>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2" w:name="page3"/>
    <w:bookmarkEnd w:id="2"/>
    <w:p>
      <w:pPr>
        <w:jc w:val="center"/>
        <w:ind w:right="60"/>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left="100" w:right="640" w:firstLine="360"/>
        <w:spacing w:after="0" w:line="27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560" w:type="dxa"/>
            <w:vAlign w:val="bottom"/>
          </w:tcPr>
          <w:p>
            <w:pPr>
              <w:spacing w:after="0"/>
              <w:rPr>
                <w:sz w:val="19"/>
                <w:szCs w:val="19"/>
                <w:color w:val="auto"/>
              </w:rPr>
            </w:pP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KINIKSA PHARMACEUTICALS, LTD.</w:t>
            </w:r>
          </w:p>
        </w:tc>
      </w:tr>
      <w:tr>
        <w:trPr>
          <w:trHeight w:val="428"/>
        </w:trPr>
        <w:tc>
          <w:tcPr>
            <w:tcW w:w="3560" w:type="dxa"/>
            <w:vAlign w:val="bottom"/>
          </w:tcPr>
          <w:p>
            <w:pPr>
              <w:spacing w:after="0"/>
              <w:rPr>
                <w:sz w:val="20"/>
                <w:szCs w:val="20"/>
                <w:color w:val="auto"/>
              </w:rPr>
            </w:pPr>
            <w:r>
              <w:rPr>
                <w:rFonts w:ascii="Arial" w:cs="Arial" w:eastAsia="Arial" w:hAnsi="Arial"/>
                <w:sz w:val="18"/>
                <w:szCs w:val="18"/>
                <w:color w:val="auto"/>
              </w:rPr>
              <w:t>Date: April 22, 2020</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By:  /s/ Thomas Beetham</w:t>
            </w:r>
          </w:p>
        </w:tc>
      </w:tr>
      <w:tr>
        <w:trPr>
          <w:trHeight w:val="193"/>
        </w:trPr>
        <w:tc>
          <w:tcPr>
            <w:tcW w:w="35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60" w:type="dxa"/>
            <w:vAlign w:val="bottom"/>
            <w:tcBorders>
              <w:top w:val="single" w:sz="8" w:color="auto"/>
            </w:tcBorders>
          </w:tcPr>
          <w:p>
            <w:pPr>
              <w:spacing w:after="0" w:line="193" w:lineRule="exact"/>
              <w:rPr>
                <w:sz w:val="20"/>
                <w:szCs w:val="20"/>
                <w:color w:val="auto"/>
              </w:rPr>
            </w:pPr>
            <w:r>
              <w:rPr>
                <w:rFonts w:ascii="Arial" w:cs="Arial" w:eastAsia="Arial" w:hAnsi="Arial"/>
                <w:sz w:val="18"/>
                <w:szCs w:val="18"/>
                <w:color w:val="auto"/>
              </w:rPr>
              <w:t>Thomas Beetham</w:t>
            </w:r>
          </w:p>
        </w:tc>
      </w:tr>
      <w:tr>
        <w:trPr>
          <w:trHeight w:val="226"/>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Executive Vice President, Chief Legal Officer</w:t>
            </w:r>
          </w:p>
        </w:tc>
      </w:tr>
      <w:tr>
        <w:trPr>
          <w:trHeight w:val="669"/>
        </w:trPr>
        <w:tc>
          <w:tcPr>
            <w:tcW w:w="35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2664460</wp:posOffset>
            </wp:positionH>
            <wp:positionV relativeFrom="paragraph">
              <wp:posOffset>151130</wp:posOffset>
            </wp:positionV>
            <wp:extent cx="1779270" cy="1118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9270" cy="1118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Kiniksa Announces Phase 2 Clinical Trial of Vixarelimab (KPL-716) in Prurigo Nodularis Meets Primary Efficacy Endpoint</w:t>
      </w:r>
    </w:p>
    <w:p>
      <w:pPr>
        <w:spacing w:after="0" w:line="224" w:lineRule="exact"/>
        <w:rPr>
          <w:sz w:val="20"/>
          <w:szCs w:val="20"/>
          <w:color w:val="auto"/>
        </w:rPr>
      </w:pPr>
    </w:p>
    <w:p>
      <w:pPr>
        <w:ind w:left="320" w:hanging="313"/>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Statistically significant primary efficacy endpoint of reduction in weekly-average Worst-Itch Numeric Rating Scale (WI-NRS) at Week 8</w:t>
      </w:r>
    </w:p>
    <w:p>
      <w:pPr>
        <w:spacing w:after="0" w:line="19" w:lineRule="exact"/>
        <w:rPr>
          <w:rFonts w:ascii="Arial" w:cs="Arial" w:eastAsia="Arial" w:hAnsi="Arial"/>
          <w:sz w:val="18"/>
          <w:szCs w:val="18"/>
          <w:color w:val="auto"/>
        </w:rPr>
      </w:pPr>
    </w:p>
    <w:p>
      <w:pPr>
        <w:ind w:left="320" w:hanging="313"/>
        <w:spacing w:after="0"/>
        <w:tabs>
          <w:tab w:leader="none" w:pos="320"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Statistically significant secondary efficacy endpoint of improvement in prurigo nodularis-investigator’s global assessment (PN-IGA) 0/1 at Week 8</w:t>
      </w:r>
    </w:p>
    <w:p>
      <w:pPr>
        <w:spacing w:after="0" w:line="21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color w:val="auto"/>
        </w:rPr>
        <w:t xml:space="preserve">HAMILTON, BERMUDA – April 22, 2020 </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Kiniksa Pharmaceuticals, Ltd.</w:t>
      </w:r>
      <w:r>
        <w:rPr>
          <w:rFonts w:ascii="Arial" w:cs="Arial" w:eastAsia="Arial" w:hAnsi="Arial"/>
          <w:sz w:val="17"/>
          <w:szCs w:val="17"/>
          <w:b w:val="1"/>
          <w:bCs w:val="1"/>
          <w:color w:val="auto"/>
        </w:rPr>
        <w:t xml:space="preserve"> </w:t>
      </w:r>
      <w:r>
        <w:rPr>
          <w:rFonts w:ascii="Arial" w:cs="Arial" w:eastAsia="Arial" w:hAnsi="Arial"/>
          <w:sz w:val="17"/>
          <w:szCs w:val="17"/>
          <w:color w:val="auto"/>
        </w:rPr>
        <w:t>(Nasdaq: KNSA) (“Kiniksa”), a biopharmaceutical company focused on</w:t>
      </w:r>
      <w:r>
        <w:rPr>
          <w:rFonts w:ascii="Arial" w:cs="Arial" w:eastAsia="Arial" w:hAnsi="Arial"/>
          <w:sz w:val="17"/>
          <w:szCs w:val="17"/>
          <w:b w:val="1"/>
          <w:bCs w:val="1"/>
          <w:color w:val="auto"/>
        </w:rPr>
        <w:t xml:space="preserve"> </w:t>
      </w:r>
      <w:r>
        <w:rPr>
          <w:rFonts w:ascii="Arial" w:cs="Arial" w:eastAsia="Arial" w:hAnsi="Arial"/>
          <w:sz w:val="17"/>
          <w:szCs w:val="17"/>
          <w:color w:val="auto"/>
        </w:rPr>
        <w:t>discovering, acquiring, developing and commercializing therapeutic medicines for patients with significant unmet medical need, today announced data from the Phase 2a clinical trial in prurigo nodularis for vixarelimab (KPL-716), a fully-human monoclonal antibody that targets oncostatin M receptor beta (OSMRβ). The trial met its primary efficacy endpoint: the reduction in weekly-average WI-NRS from baseline at Week 8 was statistically significantly greater in patients who received vixarelimab versus those who received placebo. Additionally, a statistically significant percentage of vixarelimab recipients achieved a PN-IGA score of 0/1 at Week 8 compared to placebo recipients, and the majority of vixarelimab recipients showed a clinically meaningful greater-than-or-equal-to 4-point weekly-average WI-NRS reduction at Week 8.</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Phase 2a trial enrolled and treated 49 patients with moderate-to-severe prurigo nodularis (mean PN-IGA of 3.4) experiencing moderate-to-severe pruritus (mean WI-NRS score of 8.3). Patients were randomized 1:1 to receive a loading dose of vixarelimab 720 mg (n=23) or placebo (n=26) subcutaneous (SC) followed by vixarelimab 360 mg or placebo SC weekly. The primary efficacy endpoint was percent change versus baseline in weekly-average WI-NRS at Week 8 (using the last observation carried forward analysis).</w:t>
      </w:r>
    </w:p>
    <w:p>
      <w:pPr>
        <w:spacing w:after="0" w:line="188" w:lineRule="exact"/>
        <w:rPr>
          <w:sz w:val="20"/>
          <w:szCs w:val="20"/>
          <w:color w:val="auto"/>
        </w:rPr>
      </w:pPr>
    </w:p>
    <w:p>
      <w:pPr>
        <w:ind w:left="640" w:right="460" w:hanging="313"/>
        <w:spacing w:after="0" w:line="25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Least squares-mean change from baseline in weekly-average WI-NRS at Week 8 was -50.6% in vixarelimab recipients compared to -29.4% in placebo recipients (mean difference 21.1%; p=0.035).</w:t>
      </w:r>
    </w:p>
    <w:p>
      <w:pPr>
        <w:ind w:left="640" w:right="740" w:hanging="313"/>
        <w:spacing w:after="0" w:line="247"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Median change from baseline in weekly-average WI-NRS at Week 8 was -69.8% in vixarelimab recipients compared to -36.1% in placebo recipients.</w:t>
      </w:r>
    </w:p>
    <w:p>
      <w:pPr>
        <w:ind w:left="640" w:hanging="313"/>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30.4% of vixarelimab recipients achieved a PN-IGA score of 0/1 at Week 8 compared to 7.7% of placebo recipients (p=0.032).</w:t>
      </w:r>
    </w:p>
    <w:p>
      <w:pPr>
        <w:spacing w:after="0" w:line="6" w:lineRule="exact"/>
        <w:rPr>
          <w:rFonts w:ascii="Arial" w:cs="Arial" w:eastAsia="Arial" w:hAnsi="Arial"/>
          <w:sz w:val="18"/>
          <w:szCs w:val="18"/>
          <w:color w:val="auto"/>
        </w:rPr>
      </w:pPr>
    </w:p>
    <w:p>
      <w:pPr>
        <w:ind w:left="640" w:right="40" w:hanging="313"/>
        <w:spacing w:after="0" w:line="255" w:lineRule="auto"/>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52.2% of vixarelimab recipients demonstrated a ≥ 4-point reduction in weekly-average WI-NRS at Week 8 compared to 30.8% of placebo recipients (p=0.109).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4" w:name="page5"/>
    <w:bookmarkEnd w:id="4"/>
    <w:p>
      <w:pPr>
        <w:ind w:right="100"/>
        <w:spacing w:after="0" w:line="270" w:lineRule="auto"/>
        <w:rPr>
          <w:sz w:val="20"/>
          <w:szCs w:val="20"/>
          <w:color w:val="auto"/>
        </w:rPr>
      </w:pPr>
      <w:r>
        <w:rPr>
          <w:rFonts w:ascii="Arial" w:cs="Arial" w:eastAsia="Arial" w:hAnsi="Arial"/>
          <w:sz w:val="18"/>
          <w:szCs w:val="18"/>
          <w:color w:val="auto"/>
        </w:rPr>
        <w:t>In this Phase 2a trial, vixarelimab was well-tolerated by all subjects and no dose-limiting adverse experiences were observed. There were no serious adverse events or atopic dermatitis flares.</w:t>
      </w:r>
    </w:p>
    <w:p>
      <w:pPr>
        <w:spacing w:after="0" w:line="1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data from the Phase 2a study showed that vixarelimab had a clinically meaningful effect in these patients with prurigo nodularis,” said John F. Paolini, MD, PhD, Chief Medical Officer of Kiniksa. “The potential impact and differentiation of the OSMRβ mechanism was demonstrated: in addition to the nearly 70% reduction in the median weekly-average WI-NRS at Week 8, a disease severity benefit was seen, with approximately a third of vixarelimab-treated patients attaining a clear or almost clear lesion score by Week 8. Vixarelimab has demonstrated encouraging results in both pruritus and nodule response and has the potential to positively impact the lives of patients with prurigo nodularis.”</w:t>
      </w:r>
    </w:p>
    <w:p>
      <w:pPr>
        <w:spacing w:after="0" w:line="177" w:lineRule="exact"/>
        <w:rPr>
          <w:sz w:val="20"/>
          <w:szCs w:val="20"/>
          <w:color w:val="auto"/>
        </w:rPr>
      </w:pPr>
    </w:p>
    <w:p>
      <w:pPr>
        <w:ind w:right="40"/>
        <w:spacing w:after="0" w:line="270" w:lineRule="auto"/>
        <w:rPr>
          <w:sz w:val="20"/>
          <w:szCs w:val="20"/>
          <w:color w:val="auto"/>
        </w:rPr>
      </w:pPr>
      <w:r>
        <w:rPr>
          <w:rFonts w:ascii="Arial" w:cs="Arial" w:eastAsia="Arial" w:hAnsi="Arial"/>
          <w:sz w:val="18"/>
          <w:szCs w:val="18"/>
          <w:color w:val="auto"/>
        </w:rPr>
        <w:t>The data presentation from the Phase 2a trial of vixarelimab in prurigo nodularis, including images of nodule response, is available through the Investors and Media section of Kiniksa’s website (</w:t>
      </w:r>
      <w:r>
        <w:rPr>
          <w:rFonts w:ascii="Arial" w:cs="Arial" w:eastAsia="Arial" w:hAnsi="Arial"/>
          <w:sz w:val="18"/>
          <w:szCs w:val="18"/>
          <w:u w:val="single" w:color="auto"/>
          <w:color w:val="auto"/>
        </w:rPr>
        <w:t>www.investors.kiniksa.com</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Kiniksa</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 xml:space="preserve">Kiniksa is a biopharmaceutical company focused on discovering, acquiring, developing, and commercializing therapeutic medicines for patients suffering from debilitating diseases with significant unmet medical need. Kiniksa’s clinical-stage product candidates, rilonacept, mavrilimumab, vixarelimab and KPL-404, are based on strong biologic rationale or validated mechanisms, target underserved conditions, and offer the potential for differentiation. These pipeline assets are designed to modulate immunological signaling pathways that are implicated across a spectrum of diseases. For more information, please visit </w:t>
      </w:r>
      <w:r>
        <w:rPr>
          <w:rFonts w:ascii="Arial" w:cs="Arial" w:eastAsia="Arial" w:hAnsi="Arial"/>
          <w:sz w:val="18"/>
          <w:szCs w:val="18"/>
          <w:u w:val="single" w:color="auto"/>
          <w:color w:val="auto"/>
        </w:rPr>
        <w:t>www.kiniksa.com</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Vixarelimab (KPL-716)</w:t>
      </w:r>
    </w:p>
    <w:p>
      <w:pPr>
        <w:spacing w:after="0" w:line="23"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Vixarelimab is an investigational fully-human monoclonal antibody that targets OSMRβ, which mediates signaling of interleukin-31 (IL-31) and oncostatin M (OSM), two key cytokines implicated in pruritus, inflammation and fibrosis. Kiniksa believes vixarelimab to be the only monoclonal antibody in development that targets both pathways simultaneously.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Vixarelimab Phase 2a Trial in Prurigo Nodularis</w:t>
      </w:r>
    </w:p>
    <w:p>
      <w:pPr>
        <w:spacing w:after="0" w:line="23"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color w:val="auto"/>
        </w:rPr>
        <w:t>The Phase 2a trial was a randomized, double-blind, placebo-controlled study designed to investigate the efficacy, safety, tolerability, and pharmacokinetics of vixarelimab in reducing pruritus in subjects with prurigo nodularis. The trial enrolled patients with moderate-to-severe prurigo nodularis experiencing moderate-to-severe pruritus (WI-NRS ≥ 7 at the screening visit and a mean weekly WI-NRS of ≥ 5 for each of the two consecutive weeks immediately prior to randomization). Patients were required to stop antihistamines and topical treatments, including corticosteroids, for at least two weeks prior to dosing. Prurigo nodularis treatments, other than study drug, were not allowed except for rescue. For more information, refer to ClinicalTrials.gov Identifier: NCT03816891.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information contained in this press release contains forward-looking statements within the meaning of the Private Securities Litigation Reform Act of 1995. In some cases, you can identify forward looking statements by terms such as “may,” “will,” “should,” “expect,” “plan,” “anticipate,” “could,” “intend,” “target,” “project,” “contemplate,” “believe,” “estimate,” “predict,” “potential” or “continue” or the negative of these terms or other similar expressions, although not all forward-looking statements contain these identifying words. All statements contained in this press release that do not relate to matters of historical fact should be considered forward-looking statements, including without limitation, statements regarding the potential impact and differentiation of the OSMRβ mechanism; the potential for vixarelimab (KPL-716) to positively impact the lives of patients with prurigo nodularis; and the potential for all of our clinical stage product candidates to offer differentiation.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5" w:name="page6"/>
    <w:bookmarkEnd w:id="5"/>
    <w:p>
      <w:pPr>
        <w:spacing w:after="0" w:line="267" w:lineRule="auto"/>
        <w:rPr>
          <w:sz w:val="20"/>
          <w:szCs w:val="20"/>
          <w:color w:val="auto"/>
        </w:rPr>
      </w:pPr>
      <w:r>
        <w:rPr>
          <w:rFonts w:ascii="Arial" w:cs="Arial" w:eastAsia="Arial" w:hAnsi="Arial"/>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without limitation, the following: the potential for changes between final or a broader set of data and any “top-line,” interim and preliminary data we announce; impact of additional data from us or other companies; the potential inability to replicate in later clinical trials positive results from our Phase 2a clinical trial with vixarelimab in patients with prurigo nodularis; the potential for undesirable side effects to be caused by vixarelimab; our reliance on third parties to conduct clinical trials for vixarelimab; the impact of the COVID-19 pandemic and measures taken in response to the pandemic; changes in our operating plan and funding requirements; existing or new competition; and our ability to attract and retain qualified personnel.</w:t>
      </w:r>
    </w:p>
    <w:p>
      <w:pPr>
        <w:spacing w:after="0" w:line="182"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These and other important factors discussed under the caption “Risk Factors” in our Annual Report on Form 10-K filed with the Securities and Exchange Commission (“SEC”) on March 5, 2020 and our other reports subsequently filed with or furnished to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Every Second Counts!™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Kiniksa Investor and Media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Ragosa</w:t>
      </w:r>
    </w:p>
    <w:p>
      <w:pPr>
        <w:spacing w:after="0" w:line="6" w:lineRule="exact"/>
        <w:rPr>
          <w:sz w:val="20"/>
          <w:szCs w:val="20"/>
          <w:color w:val="auto"/>
        </w:rPr>
      </w:pPr>
    </w:p>
    <w:p>
      <w:pPr>
        <w:ind w:right="9580" w:firstLine="7"/>
        <w:spacing w:after="0" w:line="316" w:lineRule="auto"/>
        <w:tabs>
          <w:tab w:leader="none" w:pos="43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430-8779 </w:t>
      </w:r>
      <w:r>
        <w:rPr>
          <w:rFonts w:ascii="Arial" w:cs="Arial" w:eastAsia="Arial" w:hAnsi="Arial"/>
          <w:sz w:val="16"/>
          <w:szCs w:val="16"/>
          <w:u w:val="single" w:color="auto"/>
          <w:color w:val="auto"/>
        </w:rPr>
        <w:t>mragosa@kiniksa.com</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6" w:name="page7"/>
    <w:bookmarkEnd w:id="6"/>
    <w:p>
      <w:pPr>
        <w:ind w:left="9020"/>
        <w:spacing w:after="0"/>
        <w:rPr>
          <w:sz w:val="20"/>
          <w:szCs w:val="20"/>
          <w:color w:val="auto"/>
        </w:rPr>
      </w:pPr>
      <w:r>
        <w:rPr>
          <w:rFonts w:ascii="Arial" w:cs="Arial" w:eastAsia="Arial" w:hAnsi="Arial"/>
          <w:sz w:val="19"/>
          <w:szCs w:val="19"/>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183515</wp:posOffset>
            </wp:positionV>
            <wp:extent cx="7196455" cy="4202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0" w:num="1">
            <w:col w:w="10120"/>
          </w:cols>
          <w:pgMar w:left="1440" w:top="352"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4638675</wp:posOffset>
            </wp:positionV>
            <wp:extent cx="71342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444500</wp:posOffset>
            </wp:positionV>
            <wp:extent cx="7196455" cy="4202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6455" cy="42024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2020-04-22T07:08:52Z</dcterms:created>
  <dcterms:modified xsi:type="dcterms:W3CDTF">2020-04-22T07:08:52Z</dcterms:modified>
</cp:coreProperties>
</file>