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23, 2018</w:t>
      </w:r>
    </w:p>
    <w:p>
      <w:pPr>
        <w:spacing w:after="0" w:line="69"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73660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83185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Kiniksa Pharmaceuticals, Ltd.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44"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20" w:type="dxa"/>
            <w:vAlign w:val="bottom"/>
          </w:tcPr>
          <w:p>
            <w:pPr>
              <w:jc w:val="center"/>
              <w:ind w:right="1028"/>
              <w:spacing w:after="0"/>
              <w:rPr>
                <w:sz w:val="20"/>
                <w:szCs w:val="20"/>
                <w:color w:val="auto"/>
              </w:rPr>
            </w:pPr>
            <w:r>
              <w:rPr>
                <w:rFonts w:ascii="Arial" w:cs="Arial" w:eastAsia="Arial" w:hAnsi="Arial"/>
                <w:sz w:val="14"/>
                <w:szCs w:val="14"/>
                <w:b w:val="1"/>
                <w:bCs w:val="1"/>
                <w:color w:val="auto"/>
                <w:w w:val="92"/>
              </w:rPr>
              <w:t>Bermuda</w:t>
            </w:r>
          </w:p>
        </w:tc>
        <w:tc>
          <w:tcPr>
            <w:tcW w:w="40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2834</w:t>
            </w:r>
          </w:p>
        </w:tc>
        <w:tc>
          <w:tcPr>
            <w:tcW w:w="2320" w:type="dxa"/>
            <w:vAlign w:val="bottom"/>
          </w:tcPr>
          <w:p>
            <w:pPr>
              <w:jc w:val="center"/>
              <w:ind w:left="1148"/>
              <w:spacing w:after="0"/>
              <w:rPr>
                <w:sz w:val="20"/>
                <w:szCs w:val="20"/>
                <w:color w:val="auto"/>
              </w:rPr>
            </w:pPr>
            <w:r>
              <w:rPr>
                <w:rFonts w:ascii="Arial" w:cs="Arial" w:eastAsia="Arial" w:hAnsi="Arial"/>
                <w:sz w:val="14"/>
                <w:szCs w:val="14"/>
                <w:b w:val="1"/>
                <w:bCs w:val="1"/>
                <w:color w:val="auto"/>
                <w:w w:val="93"/>
              </w:rPr>
              <w:t>98-1327726</w:t>
            </w:r>
          </w:p>
        </w:tc>
      </w:tr>
      <w:tr>
        <w:trPr>
          <w:trHeight w:val="149"/>
        </w:trPr>
        <w:tc>
          <w:tcPr>
            <w:tcW w:w="2820" w:type="dxa"/>
            <w:vAlign w:val="bottom"/>
          </w:tcPr>
          <w:p>
            <w:pPr>
              <w:jc w:val="center"/>
              <w:ind w:right="1028"/>
              <w:spacing w:after="0" w:line="149" w:lineRule="exact"/>
              <w:rPr>
                <w:sz w:val="20"/>
                <w:szCs w:val="20"/>
                <w:color w:val="auto"/>
              </w:rPr>
            </w:pPr>
            <w:r>
              <w:rPr>
                <w:rFonts w:ascii="Arial" w:cs="Arial" w:eastAsia="Arial" w:hAnsi="Arial"/>
                <w:sz w:val="14"/>
                <w:szCs w:val="14"/>
                <w:color w:val="auto"/>
                <w:w w:val="95"/>
              </w:rPr>
              <w:t>(State or other jurisdiction of</w:t>
            </w:r>
          </w:p>
        </w:tc>
        <w:tc>
          <w:tcPr>
            <w:tcW w:w="402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95"/>
              </w:rPr>
              <w:t>(Primary Standard Industrial</w:t>
            </w:r>
          </w:p>
        </w:tc>
        <w:tc>
          <w:tcPr>
            <w:tcW w:w="2320" w:type="dxa"/>
            <w:vAlign w:val="bottom"/>
          </w:tcPr>
          <w:p>
            <w:pPr>
              <w:jc w:val="center"/>
              <w:ind w:left="11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1028"/>
              <w:spacing w:after="0"/>
              <w:rPr>
                <w:sz w:val="20"/>
                <w:szCs w:val="20"/>
                <w:color w:val="auto"/>
              </w:rPr>
            </w:pPr>
            <w:r>
              <w:rPr>
                <w:rFonts w:ascii="Arial" w:cs="Arial" w:eastAsia="Arial" w:hAnsi="Arial"/>
                <w:sz w:val="14"/>
                <w:szCs w:val="14"/>
                <w:color w:val="auto"/>
                <w:w w:val="94"/>
              </w:rPr>
              <w:t>incorporation or organization)</w:t>
            </w:r>
          </w:p>
        </w:tc>
        <w:tc>
          <w:tcPr>
            <w:tcW w:w="4020" w:type="dxa"/>
            <w:vAlign w:val="bottom"/>
          </w:tcPr>
          <w:p>
            <w:pPr>
              <w:jc w:val="center"/>
              <w:ind w:right="88"/>
              <w:spacing w:after="0"/>
              <w:rPr>
                <w:sz w:val="20"/>
                <w:szCs w:val="20"/>
                <w:color w:val="auto"/>
              </w:rPr>
            </w:pPr>
            <w:r>
              <w:rPr>
                <w:rFonts w:ascii="Arial" w:cs="Arial" w:eastAsia="Arial" w:hAnsi="Arial"/>
                <w:sz w:val="14"/>
                <w:szCs w:val="14"/>
                <w:color w:val="auto"/>
                <w:w w:val="95"/>
              </w:rPr>
              <w:t>Classification Code Number)</w:t>
            </w:r>
          </w:p>
        </w:tc>
        <w:tc>
          <w:tcPr>
            <w:tcW w:w="2320" w:type="dxa"/>
            <w:vAlign w:val="bottom"/>
          </w:tcPr>
          <w:p>
            <w:pPr>
              <w:jc w:val="center"/>
              <w:ind w:left="1168"/>
              <w:spacing w:after="0"/>
              <w:rPr>
                <w:sz w:val="20"/>
                <w:szCs w:val="20"/>
                <w:color w:val="auto"/>
              </w:rPr>
            </w:pPr>
            <w:r>
              <w:rPr>
                <w:rFonts w:ascii="Arial" w:cs="Arial" w:eastAsia="Arial" w:hAnsi="Arial"/>
                <w:sz w:val="14"/>
                <w:szCs w:val="14"/>
                <w:color w:val="auto"/>
                <w:w w:val="99"/>
              </w:rPr>
              <w:t>Identification No.)</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Clarendon House</w:t>
      </w:r>
    </w:p>
    <w:p>
      <w:pPr>
        <w:jc w:val="center"/>
        <w:spacing w:after="0" w:line="226" w:lineRule="auto"/>
        <w:rPr>
          <w:sz w:val="20"/>
          <w:szCs w:val="20"/>
          <w:color w:val="auto"/>
        </w:rPr>
      </w:pPr>
      <w:r>
        <w:rPr>
          <w:rFonts w:ascii="Arial" w:cs="Arial" w:eastAsia="Arial" w:hAnsi="Arial"/>
          <w:sz w:val="14"/>
          <w:szCs w:val="14"/>
          <w:b w:val="1"/>
          <w:bCs w:val="1"/>
          <w:color w:val="auto"/>
        </w:rPr>
        <w:t>2 Church Street</w:t>
      </w:r>
    </w:p>
    <w:p>
      <w:pPr>
        <w:jc w:val="center"/>
        <w:spacing w:after="0" w:line="222" w:lineRule="auto"/>
        <w:rPr>
          <w:sz w:val="20"/>
          <w:szCs w:val="20"/>
          <w:color w:val="auto"/>
        </w:rPr>
      </w:pPr>
      <w:r>
        <w:rPr>
          <w:rFonts w:ascii="Arial" w:cs="Arial" w:eastAsia="Arial" w:hAnsi="Arial"/>
          <w:sz w:val="14"/>
          <w:szCs w:val="14"/>
          <w:b w:val="1"/>
          <w:bCs w:val="1"/>
          <w:color w:val="auto"/>
        </w:rPr>
        <w:t>Hamilton HM11, Bermuda</w:t>
      </w:r>
    </w:p>
    <w:p>
      <w:pPr>
        <w:jc w:val="center"/>
        <w:spacing w:after="0" w:line="221" w:lineRule="auto"/>
        <w:rPr>
          <w:sz w:val="20"/>
          <w:szCs w:val="20"/>
          <w:color w:val="auto"/>
        </w:rPr>
      </w:pPr>
      <w:r>
        <w:rPr>
          <w:rFonts w:ascii="Arial" w:cs="Arial" w:eastAsia="Arial" w:hAnsi="Arial"/>
          <w:sz w:val="14"/>
          <w:szCs w:val="14"/>
          <w:b w:val="1"/>
          <w:bCs w:val="1"/>
          <w:color w:val="auto"/>
        </w:rPr>
        <w:t>+1 (441) 295-5950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73660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Kiniksa Pharmaceuticals Corp.</w:t>
      </w:r>
    </w:p>
    <w:p>
      <w:pPr>
        <w:jc w:val="center"/>
        <w:spacing w:after="0" w:line="226" w:lineRule="auto"/>
        <w:rPr>
          <w:sz w:val="20"/>
          <w:szCs w:val="20"/>
          <w:color w:val="auto"/>
        </w:rPr>
      </w:pPr>
      <w:r>
        <w:rPr>
          <w:rFonts w:ascii="Arial" w:cs="Arial" w:eastAsia="Arial" w:hAnsi="Arial"/>
          <w:sz w:val="14"/>
          <w:szCs w:val="14"/>
          <w:b w:val="1"/>
          <w:bCs w:val="1"/>
          <w:color w:val="auto"/>
        </w:rPr>
        <w:t>100 Hayden Avenue</w:t>
      </w:r>
    </w:p>
    <w:p>
      <w:pPr>
        <w:jc w:val="center"/>
        <w:spacing w:after="0" w:line="222" w:lineRule="auto"/>
        <w:rPr>
          <w:sz w:val="20"/>
          <w:szCs w:val="20"/>
          <w:color w:val="auto"/>
        </w:rPr>
      </w:pPr>
      <w:r>
        <w:rPr>
          <w:rFonts w:ascii="Arial" w:cs="Arial" w:eastAsia="Arial" w:hAnsi="Arial"/>
          <w:sz w:val="14"/>
          <w:szCs w:val="14"/>
          <w:b w:val="1"/>
          <w:bCs w:val="1"/>
          <w:color w:val="auto"/>
        </w:rPr>
        <w:t>Lexington, MA 02421</w:t>
      </w:r>
    </w:p>
    <w:p>
      <w:pPr>
        <w:jc w:val="center"/>
        <w:spacing w:after="0" w:line="221" w:lineRule="auto"/>
        <w:rPr>
          <w:sz w:val="20"/>
          <w:szCs w:val="20"/>
          <w:color w:val="auto"/>
        </w:rPr>
      </w:pPr>
      <w:r>
        <w:rPr>
          <w:rFonts w:ascii="Arial" w:cs="Arial" w:eastAsia="Arial" w:hAnsi="Arial"/>
          <w:sz w:val="14"/>
          <w:szCs w:val="14"/>
          <w:b w:val="1"/>
          <w:bCs w:val="1"/>
          <w:color w:val="auto"/>
        </w:rPr>
        <w:t>(781) 431-9100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73660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35" w:lineRule="exact"/>
        <w:rPr>
          <w:sz w:val="24"/>
          <w:szCs w:val="24"/>
          <w:color w:val="auto"/>
        </w:rPr>
      </w:pPr>
    </w:p>
    <w:tbl>
      <w:tblPr>
        <w:tblLayout w:type="fixed"/>
        <w:tblInd w:w="96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386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Copies to:</w:t>
            </w:r>
          </w:p>
        </w:tc>
        <w:tc>
          <w:tcPr>
            <w:tcW w:w="2700" w:type="dxa"/>
            <w:vAlign w:val="bottom"/>
          </w:tcPr>
          <w:p>
            <w:pPr>
              <w:spacing w:after="0"/>
              <w:rPr>
                <w:sz w:val="16"/>
                <w:szCs w:val="16"/>
                <w:color w:val="auto"/>
              </w:rPr>
            </w:pPr>
          </w:p>
        </w:tc>
      </w:tr>
      <w:tr>
        <w:trPr>
          <w:trHeight w:val="192"/>
        </w:trPr>
        <w:tc>
          <w:tcPr>
            <w:tcW w:w="2860" w:type="dxa"/>
            <w:vAlign w:val="bottom"/>
          </w:tcPr>
          <w:p>
            <w:pPr>
              <w:jc w:val="center"/>
              <w:ind w:right="888"/>
              <w:spacing w:after="0"/>
              <w:rPr>
                <w:sz w:val="20"/>
                <w:szCs w:val="20"/>
                <w:color w:val="auto"/>
              </w:rPr>
            </w:pPr>
            <w:r>
              <w:rPr>
                <w:rFonts w:ascii="Arial" w:cs="Arial" w:eastAsia="Arial" w:hAnsi="Arial"/>
                <w:sz w:val="14"/>
                <w:szCs w:val="14"/>
                <w:b w:val="1"/>
                <w:bCs w:val="1"/>
                <w:color w:val="auto"/>
                <w:w w:val="92"/>
              </w:rPr>
              <w:t>Johan V. Brigham</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4"/>
              </w:rPr>
              <w:t>Alan Dickson</w:t>
            </w:r>
          </w:p>
        </w:tc>
        <w:tc>
          <w:tcPr>
            <w:tcW w:w="2700" w:type="dxa"/>
            <w:vAlign w:val="bottom"/>
          </w:tcPr>
          <w:p>
            <w:pPr>
              <w:jc w:val="center"/>
              <w:ind w:left="908"/>
              <w:spacing w:after="0"/>
              <w:rPr>
                <w:sz w:val="20"/>
                <w:szCs w:val="20"/>
                <w:color w:val="auto"/>
              </w:rPr>
            </w:pPr>
            <w:r>
              <w:rPr>
                <w:rFonts w:ascii="Arial" w:cs="Arial" w:eastAsia="Arial" w:hAnsi="Arial"/>
                <w:sz w:val="14"/>
                <w:szCs w:val="14"/>
                <w:b w:val="1"/>
                <w:bCs w:val="1"/>
                <w:color w:val="auto"/>
                <w:w w:val="98"/>
              </w:rPr>
              <w:t>Patrick O’Brien</w:t>
            </w:r>
          </w:p>
        </w:tc>
      </w:tr>
      <w:tr>
        <w:trPr>
          <w:trHeight w:val="149"/>
        </w:trPr>
        <w:tc>
          <w:tcPr>
            <w:tcW w:w="28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5"/>
              </w:rPr>
              <w:t>Nathan Ajiashvili</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Chiara T. Nannini</w:t>
            </w:r>
          </w:p>
        </w:tc>
        <w:tc>
          <w:tcPr>
            <w:tcW w:w="270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3"/>
              </w:rPr>
              <w:t>Michael S. Pilo</w:t>
            </w:r>
          </w:p>
        </w:tc>
      </w:tr>
      <w:tr>
        <w:trPr>
          <w:trHeight w:val="153"/>
        </w:trPr>
        <w:tc>
          <w:tcPr>
            <w:tcW w:w="2860" w:type="dxa"/>
            <w:vAlign w:val="bottom"/>
          </w:tcPr>
          <w:p>
            <w:pPr>
              <w:jc w:val="center"/>
              <w:ind w:right="888"/>
              <w:spacing w:after="0" w:line="153" w:lineRule="exact"/>
              <w:rPr>
                <w:sz w:val="20"/>
                <w:szCs w:val="20"/>
                <w:color w:val="auto"/>
              </w:rPr>
            </w:pPr>
            <w:r>
              <w:rPr>
                <w:rFonts w:ascii="Arial" w:cs="Arial" w:eastAsia="Arial" w:hAnsi="Arial"/>
                <w:sz w:val="14"/>
                <w:szCs w:val="14"/>
                <w:b w:val="1"/>
                <w:bCs w:val="1"/>
                <w:color w:val="auto"/>
                <w:w w:val="92"/>
              </w:rPr>
              <w:t>Stephen W. Ranere</w:t>
            </w:r>
          </w:p>
        </w:tc>
        <w:tc>
          <w:tcPr>
            <w:tcW w:w="3860" w:type="dxa"/>
            <w:vAlign w:val="bottom"/>
          </w:tcPr>
          <w:p>
            <w:pPr>
              <w:jc w:val="center"/>
              <w:spacing w:after="0" w:line="153" w:lineRule="exact"/>
              <w:rPr>
                <w:sz w:val="20"/>
                <w:szCs w:val="20"/>
                <w:color w:val="auto"/>
              </w:rPr>
            </w:pPr>
            <w:r>
              <w:rPr>
                <w:rFonts w:ascii="Arial" w:cs="Arial" w:eastAsia="Arial" w:hAnsi="Arial"/>
                <w:sz w:val="14"/>
                <w:szCs w:val="14"/>
                <w:color w:val="auto"/>
                <w:w w:val="96"/>
              </w:rPr>
              <w:t>Conyers Dill &amp; Pearman Limited</w:t>
            </w:r>
          </w:p>
        </w:tc>
        <w:tc>
          <w:tcPr>
            <w:tcW w:w="2700" w:type="dxa"/>
            <w:vAlign w:val="bottom"/>
          </w:tcPr>
          <w:p>
            <w:pPr>
              <w:jc w:val="center"/>
              <w:ind w:left="908"/>
              <w:spacing w:after="0" w:line="153" w:lineRule="exact"/>
              <w:rPr>
                <w:sz w:val="20"/>
                <w:szCs w:val="20"/>
                <w:color w:val="auto"/>
              </w:rPr>
            </w:pPr>
            <w:r>
              <w:rPr>
                <w:rFonts w:ascii="Arial" w:cs="Arial" w:eastAsia="Arial" w:hAnsi="Arial"/>
                <w:sz w:val="14"/>
                <w:szCs w:val="14"/>
                <w:color w:val="auto"/>
                <w:w w:val="95"/>
              </w:rPr>
              <w:t>Ropes &amp; Gray LLP</w:t>
            </w:r>
          </w:p>
        </w:tc>
      </w:tr>
      <w:tr>
        <w:trPr>
          <w:trHeight w:val="149"/>
        </w:trPr>
        <w:tc>
          <w:tcPr>
            <w:tcW w:w="2860" w:type="dxa"/>
            <w:vAlign w:val="bottom"/>
          </w:tcPr>
          <w:p>
            <w:pPr>
              <w:jc w:val="center"/>
              <w:ind w:right="888"/>
              <w:spacing w:after="0" w:line="149" w:lineRule="exact"/>
              <w:rPr>
                <w:sz w:val="20"/>
                <w:szCs w:val="20"/>
                <w:color w:val="auto"/>
              </w:rPr>
            </w:pPr>
            <w:r>
              <w:rPr>
                <w:rFonts w:ascii="Arial" w:cs="Arial" w:eastAsia="Arial" w:hAnsi="Arial"/>
                <w:sz w:val="14"/>
                <w:szCs w:val="14"/>
                <w:color w:val="auto"/>
                <w:w w:val="96"/>
              </w:rPr>
              <w:t>Latham &amp; Watkins LLP</w:t>
            </w:r>
          </w:p>
        </w:tc>
        <w:tc>
          <w:tcPr>
            <w:tcW w:w="3860" w:type="dxa"/>
            <w:vAlign w:val="bottom"/>
          </w:tcPr>
          <w:p>
            <w:pPr>
              <w:jc w:val="center"/>
              <w:spacing w:after="0" w:line="149" w:lineRule="exact"/>
              <w:rPr>
                <w:sz w:val="20"/>
                <w:szCs w:val="20"/>
                <w:color w:val="auto"/>
              </w:rPr>
            </w:pPr>
            <w:r>
              <w:rPr>
                <w:rFonts w:ascii="Arial" w:cs="Arial" w:eastAsia="Arial" w:hAnsi="Arial"/>
                <w:sz w:val="14"/>
                <w:szCs w:val="14"/>
                <w:color w:val="auto"/>
                <w:w w:val="92"/>
              </w:rPr>
              <w:t>Clarendon House,</w:t>
            </w:r>
          </w:p>
        </w:tc>
        <w:tc>
          <w:tcPr>
            <w:tcW w:w="2700" w:type="dxa"/>
            <w:vAlign w:val="bottom"/>
          </w:tcPr>
          <w:p>
            <w:pPr>
              <w:jc w:val="center"/>
              <w:ind w:left="908"/>
              <w:spacing w:after="0" w:line="149" w:lineRule="exact"/>
              <w:rPr>
                <w:sz w:val="20"/>
                <w:szCs w:val="20"/>
                <w:color w:val="auto"/>
              </w:rPr>
            </w:pPr>
            <w:r>
              <w:rPr>
                <w:rFonts w:ascii="Arial" w:cs="Arial" w:eastAsia="Arial" w:hAnsi="Arial"/>
                <w:sz w:val="14"/>
                <w:szCs w:val="14"/>
                <w:color w:val="auto"/>
                <w:w w:val="94"/>
              </w:rPr>
              <w:t>Prudential Tower</w:t>
            </w:r>
          </w:p>
        </w:tc>
      </w:tr>
      <w:tr>
        <w:trPr>
          <w:trHeight w:val="149"/>
        </w:trPr>
        <w:tc>
          <w:tcPr>
            <w:tcW w:w="2860" w:type="dxa"/>
            <w:vAlign w:val="bottom"/>
          </w:tcPr>
          <w:p>
            <w:pPr>
              <w:jc w:val="center"/>
              <w:ind w:right="888"/>
              <w:spacing w:after="0" w:line="149" w:lineRule="exact"/>
              <w:rPr>
                <w:sz w:val="20"/>
                <w:szCs w:val="20"/>
                <w:color w:val="auto"/>
              </w:rPr>
            </w:pPr>
            <w:r>
              <w:rPr>
                <w:rFonts w:ascii="Arial" w:cs="Arial" w:eastAsia="Arial" w:hAnsi="Arial"/>
                <w:sz w:val="14"/>
                <w:szCs w:val="14"/>
                <w:color w:val="auto"/>
                <w:w w:val="93"/>
              </w:rPr>
              <w:t>200 Clarendon Street, 27th Floor</w:t>
            </w:r>
          </w:p>
        </w:tc>
        <w:tc>
          <w:tcPr>
            <w:tcW w:w="3860" w:type="dxa"/>
            <w:vAlign w:val="bottom"/>
          </w:tcPr>
          <w:p>
            <w:pPr>
              <w:jc w:val="center"/>
              <w:spacing w:after="0" w:line="149" w:lineRule="exact"/>
              <w:rPr>
                <w:sz w:val="20"/>
                <w:szCs w:val="20"/>
                <w:color w:val="auto"/>
              </w:rPr>
            </w:pPr>
            <w:r>
              <w:rPr>
                <w:rFonts w:ascii="Arial" w:cs="Arial" w:eastAsia="Arial" w:hAnsi="Arial"/>
                <w:sz w:val="14"/>
                <w:szCs w:val="14"/>
                <w:color w:val="auto"/>
                <w:w w:val="93"/>
              </w:rPr>
              <w:t>2 Church Street</w:t>
            </w:r>
          </w:p>
        </w:tc>
        <w:tc>
          <w:tcPr>
            <w:tcW w:w="270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93"/>
              </w:rPr>
              <w:t>800 Boylston Street</w:t>
            </w:r>
          </w:p>
        </w:tc>
      </w:tr>
      <w:tr>
        <w:trPr>
          <w:trHeight w:val="149"/>
        </w:trPr>
        <w:tc>
          <w:tcPr>
            <w:tcW w:w="2860" w:type="dxa"/>
            <w:vAlign w:val="bottom"/>
          </w:tcPr>
          <w:p>
            <w:pPr>
              <w:jc w:val="center"/>
              <w:ind w:right="888"/>
              <w:spacing w:after="0" w:line="149" w:lineRule="exact"/>
              <w:rPr>
                <w:sz w:val="20"/>
                <w:szCs w:val="20"/>
                <w:color w:val="auto"/>
              </w:rPr>
            </w:pPr>
            <w:r>
              <w:rPr>
                <w:rFonts w:ascii="Arial" w:cs="Arial" w:eastAsia="Arial" w:hAnsi="Arial"/>
                <w:sz w:val="14"/>
                <w:szCs w:val="14"/>
                <w:color w:val="auto"/>
                <w:w w:val="90"/>
              </w:rPr>
              <w:t>Boston, Massachusetts 02116</w:t>
            </w:r>
          </w:p>
        </w:tc>
        <w:tc>
          <w:tcPr>
            <w:tcW w:w="3860" w:type="dxa"/>
            <w:vAlign w:val="bottom"/>
          </w:tcPr>
          <w:p>
            <w:pPr>
              <w:jc w:val="center"/>
              <w:spacing w:after="0" w:line="149" w:lineRule="exact"/>
              <w:rPr>
                <w:sz w:val="20"/>
                <w:szCs w:val="20"/>
                <w:color w:val="auto"/>
              </w:rPr>
            </w:pPr>
            <w:r>
              <w:rPr>
                <w:rFonts w:ascii="Arial" w:cs="Arial" w:eastAsia="Arial" w:hAnsi="Arial"/>
                <w:sz w:val="14"/>
                <w:szCs w:val="14"/>
                <w:color w:val="auto"/>
                <w:w w:val="96"/>
              </w:rPr>
              <w:t>PO Box HM 666</w:t>
            </w:r>
          </w:p>
        </w:tc>
        <w:tc>
          <w:tcPr>
            <w:tcW w:w="2700" w:type="dxa"/>
            <w:vAlign w:val="bottom"/>
          </w:tcPr>
          <w:p>
            <w:pPr>
              <w:jc w:val="center"/>
              <w:ind w:left="908"/>
              <w:spacing w:after="0" w:line="149" w:lineRule="exact"/>
              <w:rPr>
                <w:sz w:val="20"/>
                <w:szCs w:val="20"/>
                <w:color w:val="auto"/>
              </w:rPr>
            </w:pPr>
            <w:r>
              <w:rPr>
                <w:rFonts w:ascii="Arial" w:cs="Arial" w:eastAsia="Arial" w:hAnsi="Arial"/>
                <w:sz w:val="14"/>
                <w:szCs w:val="14"/>
                <w:color w:val="auto"/>
                <w:w w:val="91"/>
              </w:rPr>
              <w:t>Boston, Massachusetts 02199</w:t>
            </w:r>
          </w:p>
        </w:tc>
      </w:tr>
      <w:tr>
        <w:trPr>
          <w:trHeight w:val="149"/>
        </w:trPr>
        <w:tc>
          <w:tcPr>
            <w:tcW w:w="2860" w:type="dxa"/>
            <w:vAlign w:val="bottom"/>
          </w:tcPr>
          <w:p>
            <w:pPr>
              <w:jc w:val="center"/>
              <w:ind w:right="888"/>
              <w:spacing w:after="0" w:line="149" w:lineRule="exact"/>
              <w:rPr>
                <w:sz w:val="20"/>
                <w:szCs w:val="20"/>
                <w:color w:val="auto"/>
              </w:rPr>
            </w:pPr>
            <w:r>
              <w:rPr>
                <w:rFonts w:ascii="Arial" w:cs="Arial" w:eastAsia="Arial" w:hAnsi="Arial"/>
                <w:sz w:val="14"/>
                <w:szCs w:val="14"/>
                <w:color w:val="auto"/>
                <w:w w:val="93"/>
              </w:rPr>
              <w:t>(617) 948-6000</w:t>
            </w:r>
          </w:p>
        </w:tc>
        <w:tc>
          <w:tcPr>
            <w:tcW w:w="3860" w:type="dxa"/>
            <w:vAlign w:val="bottom"/>
          </w:tcPr>
          <w:p>
            <w:pPr>
              <w:jc w:val="center"/>
              <w:spacing w:after="0" w:line="149" w:lineRule="exact"/>
              <w:rPr>
                <w:sz w:val="20"/>
                <w:szCs w:val="20"/>
                <w:color w:val="auto"/>
              </w:rPr>
            </w:pPr>
            <w:r>
              <w:rPr>
                <w:rFonts w:ascii="Arial" w:cs="Arial" w:eastAsia="Arial" w:hAnsi="Arial"/>
                <w:sz w:val="14"/>
                <w:szCs w:val="14"/>
                <w:color w:val="auto"/>
                <w:w w:val="97"/>
              </w:rPr>
              <w:t>Hamilton, HM CX, Bermuda</w:t>
            </w:r>
          </w:p>
        </w:tc>
        <w:tc>
          <w:tcPr>
            <w:tcW w:w="270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93"/>
              </w:rPr>
              <w:t>(617) 951-7000</w:t>
            </w:r>
          </w:p>
        </w:tc>
      </w:tr>
      <w:tr>
        <w:trPr>
          <w:trHeight w:val="182"/>
        </w:trPr>
        <w:tc>
          <w:tcPr>
            <w:tcW w:w="2860" w:type="dxa"/>
            <w:vAlign w:val="bottom"/>
          </w:tcPr>
          <w:p>
            <w:pPr>
              <w:spacing w:after="0"/>
              <w:rPr>
                <w:sz w:val="15"/>
                <w:szCs w:val="15"/>
                <w:color w:val="auto"/>
              </w:rPr>
            </w:pPr>
          </w:p>
        </w:tc>
        <w:tc>
          <w:tcPr>
            <w:tcW w:w="3860" w:type="dxa"/>
            <w:vAlign w:val="bottom"/>
          </w:tcPr>
          <w:p>
            <w:pPr>
              <w:jc w:val="center"/>
              <w:spacing w:after="0"/>
              <w:rPr>
                <w:sz w:val="20"/>
                <w:szCs w:val="20"/>
                <w:color w:val="auto"/>
              </w:rPr>
            </w:pPr>
            <w:r>
              <w:rPr>
                <w:rFonts w:ascii="Arial" w:cs="Arial" w:eastAsia="Arial" w:hAnsi="Arial"/>
                <w:sz w:val="14"/>
                <w:szCs w:val="14"/>
                <w:color w:val="auto"/>
                <w:w w:val="93"/>
              </w:rPr>
              <w:t>+1 (441) 295-1422</w:t>
            </w:r>
          </w:p>
        </w:tc>
        <w:tc>
          <w:tcPr>
            <w:tcW w:w="2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67945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57" w:lineRule="exact"/>
        <w:rPr>
          <w:sz w:val="24"/>
          <w:szCs w:val="24"/>
          <w:color w:val="auto"/>
        </w:rPr>
      </w:pPr>
    </w:p>
    <w:p>
      <w:pPr>
        <w:ind w:left="7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box. o</w:t>
      </w:r>
    </w:p>
    <w:p>
      <w:pPr>
        <w:spacing w:after="0" w:line="57" w:lineRule="exact"/>
        <w:rPr>
          <w:sz w:val="24"/>
          <w:szCs w:val="24"/>
          <w:color w:val="auto"/>
        </w:rPr>
      </w:pPr>
    </w:p>
    <w:p>
      <w:pPr>
        <w:ind w:right="340" w:firstLine="772"/>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x 333-224488</w:t>
      </w:r>
    </w:p>
    <w:p>
      <w:pPr>
        <w:spacing w:after="0" w:line="39" w:lineRule="exact"/>
        <w:rPr>
          <w:sz w:val="24"/>
          <w:szCs w:val="24"/>
          <w:color w:val="auto"/>
        </w:rPr>
      </w:pPr>
    </w:p>
    <w:p>
      <w:pPr>
        <w:ind w:right="180" w:firstLine="772"/>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39" w:lineRule="exact"/>
        <w:rPr>
          <w:sz w:val="24"/>
          <w:szCs w:val="24"/>
          <w:color w:val="auto"/>
        </w:rPr>
      </w:pPr>
    </w:p>
    <w:p>
      <w:pPr>
        <w:ind w:right="160" w:firstLine="772"/>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9" w:lineRule="exact"/>
        <w:rPr>
          <w:sz w:val="24"/>
          <w:szCs w:val="24"/>
          <w:color w:val="auto"/>
        </w:rPr>
      </w:pPr>
    </w:p>
    <w:p>
      <w:pPr>
        <w:ind w:right="80" w:firstLine="77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760"/>
              <w:spacing w:after="0"/>
              <w:rPr>
                <w:sz w:val="20"/>
                <w:szCs w:val="20"/>
                <w:color w:val="auto"/>
              </w:rPr>
            </w:pPr>
            <w:r>
              <w:rPr>
                <w:rFonts w:ascii="Arial" w:cs="Arial" w:eastAsia="Arial" w:hAnsi="Arial"/>
                <w:sz w:val="14"/>
                <w:szCs w:val="14"/>
                <w:color w:val="auto"/>
              </w:rPr>
              <w:t>o</w:t>
            </w:r>
          </w:p>
        </w:tc>
        <w:tc>
          <w:tcPr>
            <w:tcW w:w="408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700"/>
              <w:spacing w:after="0"/>
              <w:rPr>
                <w:sz w:val="20"/>
                <w:szCs w:val="20"/>
                <w:color w:val="auto"/>
              </w:rPr>
            </w:pPr>
            <w:r>
              <w:rPr>
                <w:rFonts w:ascii="Arial" w:cs="Arial" w:eastAsia="Arial" w:hAnsi="Arial"/>
                <w:sz w:val="14"/>
                <w:szCs w:val="14"/>
                <w:color w:val="auto"/>
                <w:w w:val="76"/>
              </w:rPr>
              <w:t>o</w:t>
            </w: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2600" w:type="dxa"/>
            <w:vAlign w:val="bottom"/>
          </w:tcPr>
          <w:p>
            <w:pPr>
              <w:ind w:left="760"/>
              <w:spacing w:after="0" w:line="149" w:lineRule="exact"/>
              <w:rPr>
                <w:sz w:val="20"/>
                <w:szCs w:val="20"/>
                <w:color w:val="auto"/>
              </w:rPr>
            </w:pPr>
            <w:r>
              <w:rPr>
                <w:rFonts w:ascii="Arial" w:cs="Arial" w:eastAsia="Arial" w:hAnsi="Arial"/>
                <w:sz w:val="14"/>
                <w:szCs w:val="14"/>
                <w:color w:val="auto"/>
              </w:rPr>
              <w:t>x</w:t>
            </w:r>
          </w:p>
        </w:tc>
        <w:tc>
          <w:tcPr>
            <w:tcW w:w="4080" w:type="dxa"/>
            <w:vAlign w:val="bottom"/>
          </w:tcPr>
          <w:p>
            <w:pPr>
              <w:ind w:left="1780"/>
              <w:spacing w:after="0" w:line="149" w:lineRule="exact"/>
              <w:rPr>
                <w:sz w:val="20"/>
                <w:szCs w:val="20"/>
                <w:color w:val="auto"/>
              </w:rPr>
            </w:pPr>
            <w:r>
              <w:rPr>
                <w:rFonts w:ascii="Arial" w:cs="Arial" w:eastAsia="Arial" w:hAnsi="Arial"/>
                <w:sz w:val="14"/>
                <w:szCs w:val="14"/>
                <w:color w:val="auto"/>
              </w:rPr>
              <w:t>Smaller reporting company</w:t>
            </w:r>
          </w:p>
        </w:tc>
        <w:tc>
          <w:tcPr>
            <w:tcW w:w="780" w:type="dxa"/>
            <w:vAlign w:val="bottom"/>
          </w:tcPr>
          <w:p>
            <w:pPr>
              <w:ind w:left="700"/>
              <w:spacing w:after="0" w:line="149" w:lineRule="exact"/>
              <w:rPr>
                <w:sz w:val="20"/>
                <w:szCs w:val="20"/>
                <w:color w:val="auto"/>
              </w:rPr>
            </w:pPr>
            <w:r>
              <w:rPr>
                <w:rFonts w:ascii="Arial" w:cs="Arial" w:eastAsia="Arial" w:hAnsi="Arial"/>
                <w:sz w:val="14"/>
                <w:szCs w:val="14"/>
                <w:color w:val="auto"/>
                <w:w w:val="76"/>
              </w:rPr>
              <w:t>o</w:t>
            </w: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2600" w:type="dxa"/>
            <w:vAlign w:val="bottom"/>
          </w:tcPr>
          <w:p>
            <w:pPr>
              <w:spacing w:after="0"/>
              <w:rPr>
                <w:sz w:val="15"/>
                <w:szCs w:val="15"/>
                <w:color w:val="auto"/>
              </w:rPr>
            </w:pPr>
          </w:p>
        </w:tc>
        <w:tc>
          <w:tcPr>
            <w:tcW w:w="4080" w:type="dxa"/>
            <w:vAlign w:val="bottom"/>
          </w:tcPr>
          <w:p>
            <w:pPr>
              <w:ind w:left="178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700"/>
              <w:spacing w:after="0"/>
              <w:rPr>
                <w:sz w:val="20"/>
                <w:szCs w:val="20"/>
                <w:color w:val="auto"/>
              </w:rPr>
            </w:pPr>
            <w:r>
              <w:rPr>
                <w:rFonts w:ascii="Arial" w:cs="Arial" w:eastAsia="Arial" w:hAnsi="Arial"/>
                <w:sz w:val="14"/>
                <w:szCs w:val="14"/>
                <w:color w:val="auto"/>
                <w:w w:val="85"/>
              </w:rPr>
              <w:t>x</w:t>
            </w:r>
          </w:p>
        </w:tc>
      </w:tr>
    </w:tbl>
    <w:p>
      <w:pPr>
        <w:spacing w:after="0" w:line="47" w:lineRule="exact"/>
        <w:rPr>
          <w:sz w:val="24"/>
          <w:szCs w:val="24"/>
          <w:color w:val="auto"/>
        </w:rPr>
      </w:pPr>
    </w:p>
    <w:p>
      <w:pPr>
        <w:ind w:right="20" w:firstLine="772"/>
        <w:spacing w:after="0" w:line="253" w:lineRule="auto"/>
        <w:rPr>
          <w:sz w:val="20"/>
          <w:szCs w:val="20"/>
          <w:color w:val="auto"/>
        </w:rPr>
      </w:pPr>
      <w:r>
        <w:rPr>
          <w:rFonts w:ascii="Arial" w:cs="Arial" w:eastAsia="Arial" w:hAnsi="Arial"/>
          <w:sz w:val="14"/>
          <w:szCs w:val="14"/>
          <w:color w:val="auto"/>
        </w:rPr>
        <w:t>If an emerging growth company, indicate by checkmark if the registrant has elected not to use the extended transition period for complying with any new or revised financial accounting standards provided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53340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0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r>
      <w:tr>
        <w:trPr>
          <w:trHeight w:val="88"/>
        </w:trPr>
        <w:tc>
          <w:tcPr>
            <w:tcW w:w="20" w:type="dxa"/>
            <w:vAlign w:val="bottom"/>
          </w:tcPr>
          <w:p>
            <w:pPr>
              <w:spacing w:after="0"/>
              <w:rPr>
                <w:sz w:val="7"/>
                <w:szCs w:val="7"/>
                <w:color w:val="auto"/>
              </w:rPr>
            </w:pPr>
          </w:p>
        </w:tc>
        <w:tc>
          <w:tcPr>
            <w:tcW w:w="440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40" w:type="dxa"/>
            <w:vAlign w:val="bottom"/>
          </w:tcPr>
          <w:p>
            <w:pPr>
              <w:jc w:val="center"/>
              <w:ind w:right="344"/>
              <w:spacing w:after="0" w:line="89" w:lineRule="exact"/>
              <w:rPr>
                <w:sz w:val="20"/>
                <w:szCs w:val="20"/>
                <w:color w:val="auto"/>
              </w:rPr>
            </w:pPr>
            <w:r>
              <w:rPr>
                <w:rFonts w:ascii="Arial" w:cs="Arial" w:eastAsia="Arial" w:hAnsi="Arial"/>
                <w:sz w:val="10"/>
                <w:szCs w:val="10"/>
                <w:b w:val="1"/>
                <w:bCs w:val="1"/>
                <w:color w:val="auto"/>
                <w:w w:val="95"/>
              </w:rPr>
              <w:t>Proposed</w:t>
            </w: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0" w:type="dxa"/>
            <w:vAlign w:val="bottom"/>
          </w:tcPr>
          <w:p>
            <w:pPr>
              <w:jc w:val="center"/>
              <w:ind w:left="266"/>
              <w:spacing w:after="0" w:line="122" w:lineRule="exact"/>
              <w:rPr>
                <w:sz w:val="20"/>
                <w:szCs w:val="20"/>
                <w:color w:val="auto"/>
              </w:rPr>
            </w:pPr>
            <w:r>
              <w:rPr>
                <w:rFonts w:ascii="Arial" w:cs="Arial" w:eastAsia="Arial" w:hAnsi="Arial"/>
                <w:sz w:val="11"/>
                <w:szCs w:val="11"/>
                <w:b w:val="1"/>
                <w:bCs w:val="1"/>
                <w:color w:val="auto"/>
                <w:w w:val="86"/>
              </w:rPr>
              <w:t>Proposed</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jc w:val="center"/>
              <w:ind w:right="344"/>
              <w:spacing w:after="0" w:line="122" w:lineRule="exact"/>
              <w:rPr>
                <w:sz w:val="20"/>
                <w:szCs w:val="20"/>
                <w:color w:val="auto"/>
              </w:rPr>
            </w:pPr>
            <w:r>
              <w:rPr>
                <w:rFonts w:ascii="Arial" w:cs="Arial" w:eastAsia="Arial" w:hAnsi="Arial"/>
                <w:sz w:val="11"/>
                <w:szCs w:val="11"/>
                <w:b w:val="1"/>
                <w:bCs w:val="1"/>
                <w:color w:val="auto"/>
                <w:w w:val="94"/>
              </w:rPr>
              <w:t>Maximum</w:t>
            </w:r>
          </w:p>
        </w:tc>
        <w:tc>
          <w:tcPr>
            <w:tcW w:w="38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0" w:type="dxa"/>
            <w:vAlign w:val="bottom"/>
          </w:tcPr>
          <w:p>
            <w:pPr>
              <w:jc w:val="center"/>
              <w:ind w:left="266"/>
              <w:spacing w:after="0" w:line="122" w:lineRule="exact"/>
              <w:rPr>
                <w:sz w:val="20"/>
                <w:szCs w:val="20"/>
                <w:color w:val="auto"/>
              </w:rPr>
            </w:pPr>
            <w:r>
              <w:rPr>
                <w:rFonts w:ascii="Arial" w:cs="Arial" w:eastAsia="Arial" w:hAnsi="Arial"/>
                <w:sz w:val="11"/>
                <w:szCs w:val="11"/>
                <w:b w:val="1"/>
                <w:bCs w:val="1"/>
                <w:color w:val="auto"/>
                <w:w w:val="94"/>
              </w:rPr>
              <w:t>Maximum</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jc w:val="center"/>
              <w:ind w:right="344"/>
              <w:spacing w:after="0" w:line="122" w:lineRule="exact"/>
              <w:rPr>
                <w:sz w:val="20"/>
                <w:szCs w:val="20"/>
                <w:color w:val="auto"/>
              </w:rPr>
            </w:pPr>
            <w:r>
              <w:rPr>
                <w:rFonts w:ascii="Arial" w:cs="Arial" w:eastAsia="Arial" w:hAnsi="Arial"/>
                <w:sz w:val="11"/>
                <w:szCs w:val="11"/>
                <w:b w:val="1"/>
                <w:bCs w:val="1"/>
                <w:color w:val="auto"/>
                <w:w w:val="88"/>
              </w:rPr>
              <w:t>Aggregate</w:t>
            </w:r>
          </w:p>
        </w:tc>
        <w:tc>
          <w:tcPr>
            <w:tcW w:w="380" w:type="dxa"/>
            <w:vAlign w:val="bottom"/>
          </w:tcPr>
          <w:p>
            <w:pPr>
              <w:spacing w:after="0"/>
              <w:rPr>
                <w:sz w:val="10"/>
                <w:szCs w:val="10"/>
                <w:color w:val="auto"/>
              </w:rPr>
            </w:pPr>
          </w:p>
        </w:tc>
        <w:tc>
          <w:tcPr>
            <w:tcW w:w="1220" w:type="dxa"/>
            <w:vAlign w:val="bottom"/>
          </w:tcPr>
          <w:p>
            <w:pPr>
              <w:jc w:val="center"/>
              <w:ind w:right="301"/>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22"/>
        </w:trPr>
        <w:tc>
          <w:tcPr>
            <w:tcW w:w="20" w:type="dxa"/>
            <w:vAlign w:val="bottom"/>
          </w:tcPr>
          <w:p>
            <w:pPr>
              <w:spacing w:after="0"/>
              <w:rPr>
                <w:sz w:val="10"/>
                <w:szCs w:val="10"/>
                <w:color w:val="auto"/>
              </w:rPr>
            </w:pPr>
          </w:p>
        </w:tc>
        <w:tc>
          <w:tcPr>
            <w:tcW w:w="4400" w:type="dxa"/>
            <w:vAlign w:val="bottom"/>
          </w:tcPr>
          <w:p>
            <w:pPr>
              <w:jc w:val="center"/>
              <w:ind w:left="200"/>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2280" w:type="dxa"/>
            <w:vAlign w:val="bottom"/>
          </w:tcPr>
          <w:p>
            <w:pPr>
              <w:ind w:left="940"/>
              <w:spacing w:after="0" w:line="122" w:lineRule="exact"/>
              <w:rPr>
                <w:sz w:val="20"/>
                <w:szCs w:val="20"/>
                <w:color w:val="auto"/>
              </w:rPr>
            </w:pPr>
            <w:r>
              <w:rPr>
                <w:rFonts w:ascii="Arial" w:cs="Arial" w:eastAsia="Arial" w:hAnsi="Arial"/>
                <w:sz w:val="11"/>
                <w:szCs w:val="11"/>
                <w:b w:val="1"/>
                <w:bCs w:val="1"/>
                <w:color w:val="auto"/>
              </w:rPr>
              <w:t>Amount to be</w:t>
            </w:r>
          </w:p>
        </w:tc>
        <w:tc>
          <w:tcPr>
            <w:tcW w:w="1000" w:type="dxa"/>
            <w:vAlign w:val="bottom"/>
          </w:tcPr>
          <w:p>
            <w:pPr>
              <w:jc w:val="center"/>
              <w:ind w:left="246"/>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40" w:type="dxa"/>
            <w:vAlign w:val="bottom"/>
          </w:tcPr>
          <w:p>
            <w:pPr>
              <w:jc w:val="center"/>
              <w:ind w:right="344"/>
              <w:spacing w:after="0" w:line="122" w:lineRule="exact"/>
              <w:rPr>
                <w:sz w:val="20"/>
                <w:szCs w:val="20"/>
                <w:color w:val="auto"/>
              </w:rPr>
            </w:pPr>
            <w:r>
              <w:rPr>
                <w:rFonts w:ascii="Arial" w:cs="Arial" w:eastAsia="Arial" w:hAnsi="Arial"/>
                <w:sz w:val="11"/>
                <w:szCs w:val="11"/>
                <w:b w:val="1"/>
                <w:bCs w:val="1"/>
                <w:color w:val="auto"/>
                <w:w w:val="93"/>
              </w:rPr>
              <w:t>Offering</w:t>
            </w:r>
          </w:p>
        </w:tc>
        <w:tc>
          <w:tcPr>
            <w:tcW w:w="380" w:type="dxa"/>
            <w:vAlign w:val="bottom"/>
          </w:tcPr>
          <w:p>
            <w:pPr>
              <w:spacing w:after="0"/>
              <w:rPr>
                <w:sz w:val="10"/>
                <w:szCs w:val="10"/>
                <w:color w:val="auto"/>
              </w:rPr>
            </w:pPr>
          </w:p>
        </w:tc>
        <w:tc>
          <w:tcPr>
            <w:tcW w:w="1220" w:type="dxa"/>
            <w:vAlign w:val="bottom"/>
          </w:tcPr>
          <w:p>
            <w:pPr>
              <w:jc w:val="center"/>
              <w:ind w:right="281"/>
              <w:spacing w:after="0" w:line="122" w:lineRule="exact"/>
              <w:rPr>
                <w:sz w:val="20"/>
                <w:szCs w:val="20"/>
                <w:color w:val="auto"/>
              </w:rPr>
            </w:pPr>
            <w:r>
              <w:rPr>
                <w:rFonts w:ascii="Arial" w:cs="Arial" w:eastAsia="Arial" w:hAnsi="Arial"/>
                <w:sz w:val="11"/>
                <w:szCs w:val="11"/>
                <w:b w:val="1"/>
                <w:bCs w:val="1"/>
                <w:color w:val="auto"/>
                <w:w w:val="87"/>
              </w:rPr>
              <w:t>Registration</w:t>
            </w:r>
          </w:p>
        </w:tc>
      </w:tr>
      <w:tr>
        <w:trPr>
          <w:trHeight w:val="135"/>
        </w:trPr>
        <w:tc>
          <w:tcPr>
            <w:tcW w:w="20" w:type="dxa"/>
            <w:vAlign w:val="bottom"/>
          </w:tcPr>
          <w:p>
            <w:pPr>
              <w:spacing w:after="0"/>
              <w:rPr>
                <w:sz w:val="11"/>
                <w:szCs w:val="11"/>
                <w:color w:val="auto"/>
              </w:rPr>
            </w:pPr>
          </w:p>
        </w:tc>
        <w:tc>
          <w:tcPr>
            <w:tcW w:w="4400" w:type="dxa"/>
            <w:vAlign w:val="bottom"/>
            <w:tcBorders>
              <w:bottom w:val="single" w:sz="8" w:color="auto"/>
            </w:tcBorders>
          </w:tcPr>
          <w:p>
            <w:pPr>
              <w:jc w:val="center"/>
              <w:ind w:left="200"/>
              <w:spacing w:after="0"/>
              <w:rPr>
                <w:sz w:val="20"/>
                <w:szCs w:val="20"/>
                <w:color w:val="auto"/>
              </w:rPr>
            </w:pPr>
            <w:r>
              <w:rPr>
                <w:rFonts w:ascii="Arial" w:cs="Arial" w:eastAsia="Arial" w:hAnsi="Arial"/>
                <w:sz w:val="11"/>
                <w:szCs w:val="11"/>
                <w:b w:val="1"/>
                <w:bCs w:val="1"/>
                <w:color w:val="auto"/>
                <w:w w:val="85"/>
              </w:rPr>
              <w:t>Securities to be Registered</w:t>
            </w: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1"/>
                <w:szCs w:val="11"/>
                <w:b w:val="1"/>
                <w:bCs w:val="1"/>
                <w:color w:val="auto"/>
              </w:rPr>
              <w:t>Registered(1)</w:t>
            </w:r>
          </w:p>
        </w:tc>
        <w:tc>
          <w:tcPr>
            <w:tcW w:w="1000" w:type="dxa"/>
            <w:vAlign w:val="bottom"/>
            <w:tcBorders>
              <w:bottom w:val="single" w:sz="8" w:color="auto"/>
            </w:tcBorders>
          </w:tcPr>
          <w:p>
            <w:pPr>
              <w:jc w:val="center"/>
              <w:ind w:left="246"/>
              <w:spacing w:after="0"/>
              <w:rPr>
                <w:sz w:val="20"/>
                <w:szCs w:val="20"/>
                <w:color w:val="auto"/>
              </w:rPr>
            </w:pPr>
            <w:r>
              <w:rPr>
                <w:rFonts w:ascii="Arial" w:cs="Arial" w:eastAsia="Arial" w:hAnsi="Arial"/>
                <w:sz w:val="11"/>
                <w:szCs w:val="11"/>
                <w:b w:val="1"/>
                <w:bCs w:val="1"/>
                <w:color w:val="auto"/>
                <w:w w:val="89"/>
              </w:rPr>
              <w:t>Per Share(2)</w:t>
            </w: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44"/>
              <w:spacing w:after="0"/>
              <w:rPr>
                <w:sz w:val="20"/>
                <w:szCs w:val="20"/>
                <w:color w:val="auto"/>
              </w:rPr>
            </w:pPr>
            <w:r>
              <w:rPr>
                <w:rFonts w:ascii="Arial" w:cs="Arial" w:eastAsia="Arial" w:hAnsi="Arial"/>
                <w:sz w:val="11"/>
                <w:szCs w:val="11"/>
                <w:b w:val="1"/>
                <w:bCs w:val="1"/>
                <w:color w:val="auto"/>
                <w:w w:val="89"/>
              </w:rPr>
              <w:t>Price(2)(3)</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301"/>
              <w:spacing w:after="0"/>
              <w:rPr>
                <w:sz w:val="20"/>
                <w:szCs w:val="20"/>
                <w:color w:val="auto"/>
              </w:rPr>
            </w:pPr>
            <w:r>
              <w:rPr>
                <w:rFonts w:ascii="Arial" w:cs="Arial" w:eastAsia="Arial" w:hAnsi="Arial"/>
                <w:sz w:val="11"/>
                <w:szCs w:val="11"/>
                <w:b w:val="1"/>
                <w:bCs w:val="1"/>
                <w:color w:val="auto"/>
                <w:w w:val="91"/>
              </w:rPr>
              <w:t>Fee(4)(5)</w:t>
            </w:r>
          </w:p>
        </w:tc>
      </w:tr>
      <w:tr>
        <w:trPr>
          <w:trHeight w:val="142"/>
        </w:trPr>
        <w:tc>
          <w:tcPr>
            <w:tcW w:w="20" w:type="dxa"/>
            <w:vAlign w:val="bottom"/>
            <w:tcBorders>
              <w:bottom w:val="single" w:sz="8" w:color="auto"/>
            </w:tcBorders>
          </w:tcPr>
          <w:p>
            <w:pPr>
              <w:spacing w:after="0"/>
              <w:rPr>
                <w:sz w:val="12"/>
                <w:szCs w:val="12"/>
                <w:color w:val="auto"/>
              </w:rPr>
            </w:pPr>
          </w:p>
        </w:tc>
        <w:tc>
          <w:tcPr>
            <w:tcW w:w="4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Class A Common Shares, $0.000273235 par value per share</w:t>
            </w:r>
          </w:p>
        </w:tc>
        <w:tc>
          <w:tcPr>
            <w:tcW w:w="22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color w:val="auto"/>
              </w:rPr>
              <w:t>1,699,443</w:t>
            </w:r>
          </w:p>
        </w:tc>
        <w:tc>
          <w:tcPr>
            <w:tcW w:w="10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91"/>
              </w:rPr>
              <w:t>18.00</w:t>
            </w:r>
          </w:p>
        </w:tc>
        <w:tc>
          <w:tcPr>
            <w:tcW w:w="4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4"/>
              <w:spacing w:after="0" w:line="142" w:lineRule="exact"/>
              <w:rPr>
                <w:sz w:val="20"/>
                <w:szCs w:val="20"/>
                <w:color w:val="auto"/>
              </w:rPr>
            </w:pPr>
            <w:r>
              <w:rPr>
                <w:rFonts w:ascii="Arial" w:cs="Arial" w:eastAsia="Arial" w:hAnsi="Arial"/>
                <w:sz w:val="14"/>
                <w:szCs w:val="14"/>
                <w:color w:val="auto"/>
              </w:rPr>
              <w:t>30,589,974</w:t>
            </w:r>
          </w:p>
        </w:tc>
        <w:tc>
          <w:tcPr>
            <w:tcW w:w="3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color w:val="auto"/>
              </w:rPr>
              <w:t>3,809</w:t>
            </w:r>
          </w:p>
        </w:tc>
      </w:tr>
    </w:tbl>
    <w:p>
      <w:pPr>
        <w:spacing w:after="0" w:line="8"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254,916 shares that the underwriters have the option to purchase.</w:t>
      </w:r>
    </w:p>
    <w:p>
      <w:pPr>
        <w:ind w:left="320" w:hanging="312"/>
        <w:spacing w:after="0" w:line="221" w:lineRule="auto"/>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 (the “Securities Act”).</w:t>
      </w:r>
    </w:p>
    <w:p>
      <w:pPr>
        <w:ind w:left="300" w:right="300" w:hanging="292"/>
        <w:spacing w:after="0" w:line="238" w:lineRule="auto"/>
        <w:tabs>
          <w:tab w:leader="none" w:pos="31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 accordance with Rule 462(b) promulgated under the Securities Act, an additional amount of securities having a proposed maximum offering price of no more than 20% of the maximum aggregate offering price of the securities eligible to be sold under the related Registration Statement on Form S-1, as amended (File No. 333-224488), is hereby registered.</w:t>
      </w:r>
    </w:p>
    <w:p>
      <w:pPr>
        <w:jc w:val="both"/>
        <w:ind w:left="300" w:hanging="292"/>
        <w:spacing w:after="0" w:line="221" w:lineRule="auto"/>
        <w:tabs>
          <w:tab w:leader="none" w:pos="31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based on an estimate of the proposed maximum aggregate offering price. Kiniksa Pharmaceuticals, Ltd. (the “Registrant”) previously registered an aggregate of $152,950,000 of Class A common shares on a Registration Statement on Form S-1, as amended (File No. 333-224488), which was declared effective on May 23, 2018, and for which a filing fee of $19,043 was previously paid.</w:t>
      </w:r>
    </w:p>
    <w:p>
      <w:pPr>
        <w:ind w:left="300" w:right="60" w:hanging="292"/>
        <w:spacing w:after="0" w:line="232" w:lineRule="auto"/>
        <w:tabs>
          <w:tab w:leader="none" w:pos="308"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certifies to the Securities and Exchange Commission that it has instructed its bank to pay the Commission the filing fee set forth above for the additional securities being registered hereby by wire transfer as soon as practicable (but in any event no later than the close of business on May 25, 2018), that it will not revoke such instructions, and that it has sufficient funds in such account to cover the amount of such filing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-960755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111125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pacing w:after="0" w:line="229" w:lineRule="exact"/>
        <w:rPr>
          <w:sz w:val="24"/>
          <w:szCs w:val="24"/>
          <w:color w:val="auto"/>
        </w:rPr>
      </w:pPr>
    </w:p>
    <w:p>
      <w:pPr>
        <w:ind w:right="480" w:firstLine="648"/>
        <w:spacing w:after="0" w:line="342" w:lineRule="auto"/>
        <w:rPr>
          <w:sz w:val="20"/>
          <w:szCs w:val="20"/>
          <w:color w:val="auto"/>
        </w:rPr>
      </w:pPr>
      <w:r>
        <w:rPr>
          <w:rFonts w:ascii="Arial" w:cs="Arial" w:eastAsia="Arial" w:hAnsi="Arial"/>
          <w:sz w:val="16"/>
          <w:szCs w:val="16"/>
          <w:color w:val="auto"/>
        </w:rPr>
        <w:t>This registration statement is being filed with the Securities and Exchange Commission (the “Commission”) pursuant to Rule 462(b) under the Securities Act. This registration statement relates to the public offering of Class A common shares, par value $0.000273235 per share, of the Registrant</w:t>
      </w:r>
    </w:p>
    <w:p>
      <w:pPr>
        <w:sectPr>
          <w:pgSz w:w="11900" w:h="16881" w:orient="portrait"/>
          <w:cols w:equalWidth="0" w:num="1">
            <w:col w:w="11420"/>
          </w:cols>
          <w:pgMar w:left="240" w:top="306" w:right="239" w:bottom="0" w:gutter="0" w:footer="0" w:header="0"/>
        </w:sectPr>
      </w:pPr>
    </w:p>
    <w:bookmarkStart w:id="1" w:name="page2"/>
    <w:bookmarkEnd w:id="1"/>
    <w:p>
      <w:pPr>
        <w:jc w:val="both"/>
        <w:ind w:right="100"/>
        <w:spacing w:after="0" w:line="259" w:lineRule="auto"/>
        <w:rPr>
          <w:sz w:val="20"/>
          <w:szCs w:val="20"/>
          <w:color w:val="auto"/>
        </w:rPr>
      </w:pPr>
      <w:r>
        <w:rPr>
          <w:rFonts w:ascii="Arial" w:cs="Arial" w:eastAsia="Arial" w:hAnsi="Arial"/>
          <w:sz w:val="18"/>
          <w:szCs w:val="18"/>
          <w:color w:val="auto"/>
        </w:rPr>
        <w:t>contemplated by the Registration Statement on Form S-1 (File No. 333-224488), initially filed with the Commission by the Registrant on April 27, 2018 (as amended, the “Prior Registration Statement”), and is being filed for the sole purpose of registering additional securities of the same class as were included in the Prior Registration Statement. The contents of the Prior Registration Statement, which was declared effective by the Commission on May 23, 2018, and all exhibits thereto are hereby incorporated by reference.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6920" w:type="dxa"/>
            <w:vAlign w:val="bottom"/>
            <w:gridSpan w:val="6"/>
          </w:tcPr>
          <w:p>
            <w:pPr>
              <w:jc w:val="right"/>
              <w:ind w:right="2239"/>
              <w:spacing w:after="0"/>
              <w:rPr>
                <w:sz w:val="20"/>
                <w:szCs w:val="20"/>
                <w:color w:val="auto"/>
              </w:rPr>
            </w:pPr>
            <w:r>
              <w:rPr>
                <w:rFonts w:ascii="Arial" w:cs="Arial" w:eastAsia="Arial" w:hAnsi="Arial"/>
                <w:sz w:val="18"/>
                <w:szCs w:val="18"/>
                <w:color w:val="auto"/>
              </w:rPr>
              <w:t>2</w:t>
            </w:r>
          </w:p>
        </w:tc>
        <w:tc>
          <w:tcPr>
            <w:tcW w:w="3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3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3"/>
          </w:tcPr>
          <w:p>
            <w:pPr>
              <w:jc w:val="center"/>
              <w:ind w:right="4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8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Description of Exhibit</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1.1(1)</w:t>
            </w:r>
          </w:p>
        </w:tc>
        <w:tc>
          <w:tcPr>
            <w:tcW w:w="340" w:type="dxa"/>
            <w:vAlign w:val="bottom"/>
          </w:tcPr>
          <w:p>
            <w:pPr>
              <w:spacing w:after="0"/>
              <w:rPr>
                <w:sz w:val="24"/>
                <w:szCs w:val="24"/>
                <w:color w:val="auto"/>
              </w:rPr>
            </w:pPr>
          </w:p>
        </w:tc>
        <w:tc>
          <w:tcPr>
            <w:tcW w:w="2440" w:type="dxa"/>
            <w:vAlign w:val="bottom"/>
            <w:tcBorders>
              <w:bottom w:val="single" w:sz="8" w:color="0000EE"/>
            </w:tcBorders>
            <w:gridSpan w:val="2"/>
          </w:tcPr>
          <w:p>
            <w:pPr>
              <w:spacing w:after="0"/>
              <w:rPr>
                <w:rFonts w:ascii="Arial" w:cs="Arial" w:eastAsia="Arial" w:hAnsi="Arial"/>
                <w:sz w:val="18"/>
                <w:szCs w:val="18"/>
                <w:color w:val="0000EE"/>
                <w:w w:val="92"/>
              </w:rPr>
            </w:pPr>
            <w:hyperlink r:id="rId21">
              <w:r>
                <w:rPr>
                  <w:rFonts w:ascii="Arial" w:cs="Arial" w:eastAsia="Arial" w:hAnsi="Arial"/>
                  <w:sz w:val="18"/>
                  <w:szCs w:val="18"/>
                  <w:color w:val="0000EE"/>
                  <w:w w:val="92"/>
                </w:rPr>
                <w:t>Form of Underwriting Agreement</w:t>
              </w:r>
            </w:hyperlink>
          </w:p>
        </w:tc>
        <w:tc>
          <w:tcPr>
            <w:tcW w:w="7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3"/>
              </w:rPr>
              <w:t>5.1(2)</w:t>
            </w:r>
          </w:p>
        </w:tc>
        <w:tc>
          <w:tcPr>
            <w:tcW w:w="340" w:type="dxa"/>
            <w:vAlign w:val="bottom"/>
          </w:tcPr>
          <w:p>
            <w:pPr>
              <w:spacing w:after="0"/>
              <w:rPr>
                <w:sz w:val="24"/>
                <w:szCs w:val="24"/>
                <w:color w:val="auto"/>
              </w:rPr>
            </w:pPr>
          </w:p>
        </w:tc>
        <w:tc>
          <w:tcPr>
            <w:tcW w:w="3240" w:type="dxa"/>
            <w:vAlign w:val="bottom"/>
            <w:tcBorders>
              <w:bottom w:val="single" w:sz="8" w:color="0000EE"/>
            </w:tcBorders>
            <w:gridSpan w:val="4"/>
          </w:tcPr>
          <w:p>
            <w:pPr>
              <w:spacing w:after="0"/>
              <w:rPr>
                <w:rFonts w:ascii="Arial" w:cs="Arial" w:eastAsia="Arial" w:hAnsi="Arial"/>
                <w:sz w:val="18"/>
                <w:szCs w:val="18"/>
                <w:color w:val="0000EE"/>
                <w:w w:val="94"/>
              </w:rPr>
            </w:pPr>
            <w:hyperlink r:id="rId22">
              <w:r>
                <w:rPr>
                  <w:rFonts w:ascii="Arial" w:cs="Arial" w:eastAsia="Arial" w:hAnsi="Arial"/>
                  <w:sz w:val="18"/>
                  <w:szCs w:val="18"/>
                  <w:color w:val="0000EE"/>
                  <w:w w:val="94"/>
                </w:rPr>
                <w:t>Opinion of Conyers Dill &amp; Pearman Limited</w:t>
              </w:r>
            </w:hyperlink>
          </w:p>
        </w:tc>
        <w:tc>
          <w:tcPr>
            <w:tcW w:w="6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24"/>
                <w:szCs w:val="24"/>
                <w:color w:val="auto"/>
              </w:rPr>
            </w:pPr>
          </w:p>
        </w:tc>
        <w:tc>
          <w:tcPr>
            <w:tcW w:w="9960" w:type="dxa"/>
            <w:vAlign w:val="bottom"/>
            <w:gridSpan w:val="7"/>
          </w:tcPr>
          <w:p>
            <w:pPr>
              <w:spacing w:after="0"/>
              <w:rPr>
                <w:rFonts w:ascii="Arial" w:cs="Arial" w:eastAsia="Arial" w:hAnsi="Arial"/>
                <w:sz w:val="18"/>
                <w:szCs w:val="18"/>
                <w:color w:val="0000EE"/>
              </w:rPr>
            </w:pPr>
            <w:hyperlink r:id="rId23">
              <w:r>
                <w:rPr>
                  <w:rFonts w:ascii="Arial" w:cs="Arial" w:eastAsia="Arial" w:hAnsi="Arial"/>
                  <w:sz w:val="18"/>
                  <w:szCs w:val="18"/>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23.2(3)</w:t>
            </w:r>
          </w:p>
        </w:tc>
        <w:tc>
          <w:tcPr>
            <w:tcW w:w="340" w:type="dxa"/>
            <w:vAlign w:val="bottom"/>
          </w:tcPr>
          <w:p>
            <w:pPr>
              <w:spacing w:after="0"/>
              <w:rPr>
                <w:sz w:val="24"/>
                <w:szCs w:val="24"/>
                <w:color w:val="auto"/>
              </w:rPr>
            </w:pPr>
          </w:p>
        </w:tc>
        <w:tc>
          <w:tcPr>
            <w:tcW w:w="6580" w:type="dxa"/>
            <w:vAlign w:val="bottom"/>
            <w:tcBorders>
              <w:top w:val="single" w:sz="8" w:color="0000EE"/>
            </w:tcBorders>
            <w:gridSpan w:val="5"/>
          </w:tcPr>
          <w:p>
            <w:pPr>
              <w:spacing w:after="0"/>
              <w:rPr>
                <w:rFonts w:ascii="Arial" w:cs="Arial" w:eastAsia="Arial" w:hAnsi="Arial"/>
                <w:sz w:val="18"/>
                <w:szCs w:val="18"/>
                <w:color w:val="0000EE"/>
              </w:rPr>
            </w:pPr>
            <w:hyperlink r:id="rId22">
              <w:r>
                <w:rPr>
                  <w:rFonts w:ascii="Arial" w:cs="Arial" w:eastAsia="Arial" w:hAnsi="Arial"/>
                  <w:sz w:val="18"/>
                  <w:szCs w:val="18"/>
                  <w:color w:val="0000EE"/>
                </w:rPr>
                <w:t>Consent of Conyers Dill &amp; Pearman Limited</w:t>
              </w:r>
            </w:hyperlink>
          </w:p>
        </w:tc>
        <w:tc>
          <w:tcPr>
            <w:tcW w:w="3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24.1(4)</w:t>
            </w:r>
          </w:p>
        </w:tc>
        <w:tc>
          <w:tcPr>
            <w:tcW w:w="340" w:type="dxa"/>
            <w:vAlign w:val="bottom"/>
          </w:tcPr>
          <w:p>
            <w:pPr>
              <w:spacing w:after="0"/>
              <w:rPr>
                <w:sz w:val="24"/>
                <w:szCs w:val="24"/>
                <w:color w:val="auto"/>
              </w:rPr>
            </w:pPr>
          </w:p>
        </w:tc>
        <w:tc>
          <w:tcPr>
            <w:tcW w:w="134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r:id="rId24">
              <w:r>
                <w:rPr>
                  <w:rFonts w:ascii="Arial" w:cs="Arial" w:eastAsia="Arial" w:hAnsi="Arial"/>
                  <w:sz w:val="18"/>
                  <w:szCs w:val="18"/>
                  <w:color w:val="0000EE"/>
                  <w:w w:val="92"/>
                </w:rPr>
                <w:t>Power of Attorney</w:t>
              </w:r>
            </w:hyperlink>
          </w:p>
        </w:tc>
        <w:tc>
          <w:tcPr>
            <w:tcW w:w="1880" w:type="dxa"/>
            <w:vAlign w:val="bottom"/>
            <w:tcBorders>
              <w:top w:val="single" w:sz="8" w:color="0000EE"/>
            </w:tcBorders>
            <w:gridSpan w:val="2"/>
          </w:tcPr>
          <w:p>
            <w:pPr>
              <w:spacing w:after="0"/>
              <w:rPr>
                <w:sz w:val="24"/>
                <w:szCs w:val="24"/>
                <w:color w:val="auto"/>
              </w:rPr>
            </w:pPr>
          </w:p>
        </w:tc>
        <w:tc>
          <w:tcPr>
            <w:tcW w:w="6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-2214245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-2214245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right="400" w:hanging="652"/>
        <w:spacing w:after="0" w:line="258"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1.1 to Amendment No. 1 to the Registrant’s Registration Statement on Form S-1, as amended (File No. 333-224488), filed with the Securities and Exchange Commission on May 14, 2018 and incorporated by reference herein.</w:t>
      </w:r>
    </w:p>
    <w:p>
      <w:pPr>
        <w:spacing w:after="0" w:line="1" w:lineRule="exact"/>
        <w:rPr>
          <w:rFonts w:ascii="Arial" w:cs="Arial" w:eastAsia="Arial" w:hAnsi="Arial"/>
          <w:sz w:val="18"/>
          <w:szCs w:val="18"/>
          <w:color w:val="auto"/>
        </w:rPr>
      </w:pPr>
    </w:p>
    <w:p>
      <w:pPr>
        <w:ind w:left="660" w:right="400" w:hanging="652"/>
        <w:spacing w:after="0" w:line="250"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5.1 to Amendment No. 1 to the Registrant’s Registration Statement on Form S-1, as amended (File No. 333-224488), filed with the Securities and Exchange Commission on May 14, 2018 and incorporated by reference herein.</w:t>
      </w:r>
    </w:p>
    <w:p>
      <w:pPr>
        <w:ind w:left="660" w:right="80" w:hanging="652"/>
        <w:spacing w:after="0" w:line="250"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(included in Exhibit 5.1) with Amendment No. 1 to the Registrant’s Registration Statement on Form S-1, as amended (File No. 333-224488), filed with the Securities and Exchange Commission on May 14, 2018 and incorporated by reference herein.</w:t>
      </w:r>
    </w:p>
    <w:p>
      <w:pPr>
        <w:ind w:left="660" w:right="420" w:hanging="652"/>
        <w:spacing w:after="0" w:line="261"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on the signature page to the Registrant’s Registration Statement on Form S-1, as amended (File No. 333-224488), filed with the Securities and Exchange Commission on April 27, 2018 and incorporated by reference herein.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772"/>
        <w:spacing w:after="0" w:line="277" w:lineRule="auto"/>
        <w:rPr>
          <w:sz w:val="20"/>
          <w:szCs w:val="20"/>
          <w:color w:val="auto"/>
        </w:rPr>
      </w:pPr>
      <w:r>
        <w:rPr>
          <w:rFonts w:ascii="Arial" w:cs="Arial" w:eastAsia="Arial" w:hAnsi="Arial"/>
          <w:sz w:val="18"/>
          <w:szCs w:val="18"/>
          <w:color w:val="auto"/>
        </w:rPr>
        <w:t>Pursuant to the requirements of the Securities Act, the undersigned, the duly authorized representative in the United States of the Registrant has signed this registration statement, on this 23rd day of May, 2018.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KINIKSA PHARMACEUTICALS, LTD.</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 K. Patel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772"/>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Hamilton, Bermuda, on this 23rd day of May, 2018.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KINIKSA PHARMACEUTICALS, LTD.</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Sanj K. Patel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Chairman of the Board of Directors</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 w:right="300"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held on the dates indicated.</w:t>
      </w:r>
    </w:p>
    <w:p>
      <w:pPr>
        <w:sectPr>
          <w:pgSz w:w="11900" w:h="16838"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Signature</w:t>
            </w:r>
          </w:p>
        </w:tc>
        <w:tc>
          <w:tcPr>
            <w:tcW w:w="400" w:type="dxa"/>
            <w:vAlign w:val="bottom"/>
          </w:tcPr>
          <w:p>
            <w:pPr>
              <w:spacing w:after="0"/>
              <w:rPr>
                <w:sz w:val="14"/>
                <w:szCs w:val="14"/>
                <w:color w:val="auto"/>
              </w:rPr>
            </w:pPr>
          </w:p>
        </w:tc>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4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 K. Patel</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 of</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Sanj K. Patel</w:t>
            </w:r>
          </w:p>
        </w:tc>
        <w:tc>
          <w:tcPr>
            <w:tcW w:w="40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Directors (principal executive officer)</w:t>
            </w:r>
          </w:p>
        </w:tc>
        <w:tc>
          <w:tcPr>
            <w:tcW w:w="206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Heberlig</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accounting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Chris Heberlig</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6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Felix J. Baker</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Stephen R. Biggar</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Thomas R. Malley</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Tracey L. McCain</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Kimberly J. Popovits</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8"/>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May 23, 2018</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Barry D. Quart</w:t>
            </w:r>
          </w:p>
        </w:tc>
        <w:tc>
          <w:tcPr>
            <w:tcW w:w="4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tab/>
        <w:t>/s/ Sanj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1355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6" w:lineRule="exact"/>
        <w:rPr>
          <w:sz w:val="20"/>
          <w:szCs w:val="20"/>
          <w:color w:val="auto"/>
        </w:rPr>
      </w:pPr>
    </w:p>
    <w:p>
      <w:pPr>
        <w:jc w:val="center"/>
        <w:ind w:right="6880"/>
        <w:spacing w:after="0"/>
        <w:rPr>
          <w:sz w:val="20"/>
          <w:szCs w:val="20"/>
          <w:color w:val="auto"/>
        </w:rPr>
      </w:pPr>
      <w:r>
        <w:rPr>
          <w:rFonts w:ascii="Arial" w:cs="Arial" w:eastAsia="Arial" w:hAnsi="Arial"/>
          <w:sz w:val="18"/>
          <w:szCs w:val="18"/>
          <w:color w:val="auto"/>
        </w:rPr>
        <w:t>Sanj K. Patel</w:t>
      </w:r>
    </w:p>
    <w:p>
      <w:pPr>
        <w:spacing w:after="0" w:line="23" w:lineRule="exact"/>
        <w:rPr>
          <w:sz w:val="20"/>
          <w:szCs w:val="20"/>
          <w:color w:val="auto"/>
        </w:rPr>
      </w:pPr>
    </w:p>
    <w:p>
      <w:pPr>
        <w:jc w:val="center"/>
        <w:ind w:right="6880"/>
        <w:spacing w:after="0"/>
        <w:rPr>
          <w:sz w:val="20"/>
          <w:szCs w:val="20"/>
          <w:color w:val="auto"/>
        </w:rPr>
      </w:pPr>
      <w:r>
        <w:rPr>
          <w:rFonts w:ascii="Arial" w:cs="Arial" w:eastAsia="Arial" w:hAnsi="Arial"/>
          <w:sz w:val="18"/>
          <w:szCs w:val="18"/>
          <w:i w:val="1"/>
          <w:iCs w:val="1"/>
          <w:color w:val="auto"/>
        </w:rPr>
        <w:t>Attorney-in-fact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February 27, 2018, except for the effects of the reverse share split discussed in Note 14 to the consolidated financial statements, as to which the date is May 14, 2018, relating to the financial statements, which appears in Amendment No. 2 to the Registration Statement on Form S-1 (No. 333-224488) of Kiniksa Pharmaceuticals, Ltd. We also consent to the reference to us under the heading “Experts” in Amendment No. 2 to the Registration Statement on Form S-1 (No. 333-224488) incorporated by reference in this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21" Type="http://schemas.openxmlformats.org/officeDocument/2006/relationships/hyperlink" Target="http://www.sec.gov/Archives/edgar/data/1730430/000104746918003731/a2235626zex-1_1.htm" TargetMode="External"/><Relationship Id="rId22" Type="http://schemas.openxmlformats.org/officeDocument/2006/relationships/hyperlink" Target="http://www.sec.gov/Archives/edgar/data/1730430/000104746918003731/a2235626zex-5_1.htm" TargetMode="External"/><Relationship Id="rId23" Type="http://schemas.openxmlformats.org/officeDocument/2006/relationships/hyperlink" Target="file:///data/convert/a18-6378_12ex23d1.htm#Exhibit23_1_113811" TargetMode="External"/><Relationship Id="rId24" Type="http://schemas.openxmlformats.org/officeDocument/2006/relationships/hyperlink" Target="http://www.sec.gov/Archives/edgar/data/1730430/000104746918003293/a2235339z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2019-12-08T18:00:21Z</dcterms:created>
  <dcterms:modified xsi:type="dcterms:W3CDTF">2019-12-08T18:00:21Z</dcterms:modified>
</cp:coreProperties>
</file>