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knsa-20260728x8k.htm"/>
      <w:bookmarkStart w:id="1" w:name="ksknsa20260728x8k"/>
      <w:bookmarkEnd w:id="0"/>
      <w:bookmarkEnd w:id="1"/>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bookmarkStart w:id="2" w:name="_75bf8d5b_f020_4ed8_8f4a_a1a00b7da89f"/>
      <w:bookmarkEnd w:id="2"/>
      <w:r>
        <w:rPr>
          <w:rFonts w:ascii="Times New Roman;Times;serif" w:hAnsi="Times New Roman;Times;serif"/>
          <w:b/>
          <w:sz w:val="32"/>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 xml:space="preserve">Date of Report (Date of earliest event reported): </w:t>
      </w:r>
      <w:r>
        <w:rPr>
          <w:rFonts w:ascii="Times New Roman;Times;serif" w:hAnsi="Times New Roman;Times;serif"/>
          <w:b/>
          <w:sz w:val="16"/>
        </w:rPr>
        <w:t>July 28,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Kiniksa Pharmaceuticals International, plc</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SeJ-N1J9B0GusFYDPuEBvQ_2_4"/>
      <w:bookmarkStart w:id="4" w:name="Tc_q-qpsxXcIUChPnoXkzQZ4w_2_2"/>
      <w:bookmarkStart w:id="5" w:name="Tc_3-WL6KaYkUmfYzjHt2Sv7A_2_0"/>
      <w:bookmarkStart w:id="6" w:name="_e92f8f98_b357_48c5_ae95_2f154d80fd2e"/>
      <w:bookmarkStart w:id="7" w:name="Tc_SeJ-N1J9B0GusFYDPuEBvQ_2_4"/>
      <w:bookmarkStart w:id="8" w:name="Tc_q-qpsxXcIUChPnoXkzQZ4w_2_2"/>
      <w:bookmarkStart w:id="9" w:name="Tc_3-WL6KaYkUmfYzjHt2Sv7A_2_0"/>
      <w:bookmarkStart w:id="10" w:name="_e92f8f98_b357_48c5_ae95_2f154d80fd2e"/>
      <w:bookmarkEnd w:id="7"/>
      <w:bookmarkEnd w:id="8"/>
      <w:bookmarkEnd w:id="9"/>
      <w:bookmarkEnd w:id="10"/>
    </w:p>
    <w:tbl>
      <w:tblPr>
        <w:tblW w:w="5405" w:type="dxa"/>
        <w:jc w:val="left"/>
        <w:tblInd w:w="0" w:type="dxa"/>
        <w:tblLayout w:type="fixed"/>
        <w:tblCellMar>
          <w:top w:w="0" w:type="dxa"/>
          <w:left w:w="0" w:type="dxa"/>
          <w:bottom w:w="0" w:type="dxa"/>
          <w:right w:w="0" w:type="dxa"/>
        </w:tblCellMar>
      </w:tblPr>
      <w:tblGrid>
        <w:gridCol w:w="2236"/>
        <w:gridCol w:w="346"/>
        <w:gridCol w:w="1036"/>
        <w:gridCol w:w="346"/>
        <w:gridCol w:w="1441"/>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England and Wales</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001-730430</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98-1795578</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(Commission</w:t>
              <w:br/>
              <w:t>File Number)</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Kiniksa Pharmaceuticals International, plc</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105 Piccadilly, Second Floor</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London, W1J 7NJ</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England, United Kingdom</w:t>
      </w:r>
      <w:r>
        <w:rPr>
          <w:rFonts w:ascii="Times New Roman;Times;serif" w:hAnsi="Times New Roman;Times;serif"/>
          <w:sz w:val="20"/>
        </w:rPr>
        <w:t xml:space="preserve"> </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Kiniksa Pharmaceuticals Corp.</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100 Hayden Avenue</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Lexington, MA, 02421</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agent for service)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Written communications pursuant to Rule 425 under the Securities Act (17 CFR 230.425)</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Soliciting material pursuant to Rule 14a-12 under the Exchange Act (17 CFR 240.14a-12)</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14d-2(b) under the Exchange Act (17 CFR 240.14d-2(b))</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1" w:name="Tc_OhoFA2mF2EKAIcALYtDvQA_3_4"/>
      <w:bookmarkStart w:id="12" w:name="Tc_hmLrnu6S_kG9n1ToQWwAuQ_1_4"/>
      <w:bookmarkStart w:id="13" w:name="Tc_sXJZVslz2kWgOo7_qGipVw_1_2"/>
      <w:bookmarkStart w:id="14" w:name="Tc__-neVVJJPUK8ZNhM32ln0w_1_0"/>
      <w:bookmarkStart w:id="15" w:name="_8e051091_ec8f_45f5_ab91_37fb713a878c"/>
      <w:bookmarkStart w:id="16" w:name="Tc_OhoFA2mF2EKAIcALYtDvQA_3_4"/>
      <w:bookmarkStart w:id="17" w:name="Tc_hmLrnu6S_kG9n1ToQWwAuQ_1_4"/>
      <w:bookmarkStart w:id="18" w:name="Tc_sXJZVslz2kWgOo7_qGipVw_1_2"/>
      <w:bookmarkStart w:id="19" w:name="Tc__-neVVJJPUK8ZNhM32ln0w_1_0"/>
      <w:bookmarkStart w:id="20" w:name="_8e051091_ec8f_45f5_ab91_37fb713a878c"/>
      <w:bookmarkEnd w:id="16"/>
      <w:bookmarkEnd w:id="17"/>
      <w:bookmarkEnd w:id="18"/>
      <w:bookmarkEnd w:id="19"/>
      <w:bookmarkEnd w:id="20"/>
    </w:p>
    <w:tbl>
      <w:tblPr>
        <w:tblW w:w="7985" w:type="dxa"/>
        <w:jc w:val="left"/>
        <w:tblInd w:w="0" w:type="dxa"/>
        <w:tblLayout w:type="fixed"/>
        <w:tblCellMar>
          <w:top w:w="0" w:type="dxa"/>
          <w:left w:w="0" w:type="dxa"/>
          <w:bottom w:w="0" w:type="dxa"/>
          <w:right w:w="0" w:type="dxa"/>
        </w:tblCellMar>
      </w:tblPr>
      <w:tblGrid>
        <w:gridCol w:w="3916"/>
        <w:gridCol w:w="346"/>
        <w:gridCol w:w="826"/>
        <w:gridCol w:w="346"/>
        <w:gridCol w:w="255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lineRule="auto" w:line="285"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vAlign w:val="center"/>
          </w:tcPr>
          <w:p>
            <w:pPr>
              <w:pStyle w:val="TableContents"/>
              <w:bidi w:val="0"/>
              <w:spacing w:lineRule="auto" w:line="285" w:before="0" w:after="0"/>
              <w:ind w:left="0" w:right="0" w:hanging="0"/>
              <w:jc w:val="center"/>
              <w:rPr/>
            </w:pPr>
            <w:r>
              <w:rPr/>
              <w:t>  ​ ​ ​</w:t>
            </w:r>
          </w:p>
        </w:tc>
        <w:tc>
          <w:tcPr>
            <w:tcW w:w="25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br/>
              <w:t>registered</w:t>
            </w:r>
          </w:p>
        </w:tc>
      </w:tr>
      <w:tr>
        <w:trPr/>
        <w:tc>
          <w:tcPr>
            <w:tcW w:w="391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Class A Ordinary Shares $0.000273235 nominal value</w:t>
            </w:r>
          </w:p>
        </w:tc>
        <w:tc>
          <w:tcPr>
            <w:tcW w:w="346" w:type="dxa"/>
            <w:tcBorders/>
            <w:vAlign w:val="center"/>
          </w:tcPr>
          <w:p>
            <w:pPr>
              <w:pStyle w:val="TableContents"/>
              <w:bidi w:val="0"/>
              <w:spacing w:lineRule="auto" w:line="285"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KNSA</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391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82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pBdr/>
        <w:bidi w:val="0"/>
        <w:spacing w:lineRule="auto" w:line="285" w:before="0" w:after="0"/>
        <w:ind w:left="0" w:right="0" w:hanging="360"/>
        <w:jc w:val="left"/>
        <w:rPr>
          <w:rFonts w:ascii="Times New Roman;Times;serif" w:hAnsi="Times New Roman;Times;serif"/>
          <w:b/>
          <w:sz w:val="20"/>
          <w:shd w:fill="FFFFFF" w:val="clear"/>
        </w:rPr>
      </w:pPr>
      <w:bookmarkStart w:id="21" w:name="_e883c33e_0e9d_4eea_9d5b_bfe18f9c638f"/>
      <w:bookmarkEnd w:id="21"/>
      <w:r>
        <w:rPr>
          <w:rFonts w:ascii="Times New Roman;Times;serif" w:hAnsi="Times New Roman;Times;serif"/>
          <w:b/>
          <w:sz w:val="20"/>
          <w:shd w:fill="FFFFFF" w:val="clear"/>
        </w:rPr>
        <w:t>Item 2.02. Results of Operations and Financial Condition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July 28, 2026, Kiniksa Pharmaceuticals International, plc issued a press release announcing financial results for the quarter ended June 30, 2026. A copy of the press release is furnished with this Current Report on Form 8-K as Exhibit 99.1.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lineRule="auto" w:line="285" w:before="0" w:after="0"/>
        <w:ind w:left="0" w:right="0" w:hanging="0"/>
        <w:jc w:val="left"/>
        <w:rPr/>
      </w:pPr>
      <w:r>
        <w:rPr/>
        <w:t>​</w:t>
      </w:r>
    </w:p>
    <w:tbl>
      <w:tblPr>
        <w:tblW w:w="8313" w:type="dxa"/>
        <w:jc w:val="left"/>
        <w:tblInd w:w="0" w:type="dxa"/>
        <w:tblLayout w:type="fixed"/>
        <w:tblCellMar>
          <w:top w:w="0" w:type="dxa"/>
          <w:left w:w="0" w:type="dxa"/>
          <w:bottom w:w="0" w:type="dxa"/>
          <w:right w:w="0" w:type="dxa"/>
        </w:tblCellMar>
      </w:tblPr>
      <w:tblGrid>
        <w:gridCol w:w="751"/>
        <w:gridCol w:w="346"/>
        <w:gridCol w:w="721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7216" w:type="dxa"/>
            <w:tcBorders/>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No.</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721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6" w:type="dxa"/>
            <w:tcBorders/>
            <w:vAlign w:val="center"/>
          </w:tcPr>
          <w:p>
            <w:pPr>
              <w:pStyle w:val="TableContents"/>
              <w:bidi w:val="0"/>
              <w:spacing w:lineRule="auto" w:line="285" w:before="0" w:after="0"/>
              <w:ind w:left="0" w:right="0" w:hanging="0"/>
              <w:jc w:val="left"/>
              <w:rPr/>
            </w:pPr>
            <w:r>
              <w:rPr/>
              <w:t>​</w:t>
            </w:r>
          </w:p>
        </w:tc>
      </w:tr>
      <w:tr>
        <w:trPr/>
        <w:tc>
          <w:tcPr>
            <w:tcW w:w="7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7216" w:type="dxa"/>
            <w:tcBorders/>
            <w:vAlign w:val="center"/>
          </w:tcPr>
          <w:p>
            <w:pPr>
              <w:pStyle w:val="TableContents"/>
              <w:bidi w:val="0"/>
              <w:spacing w:lineRule="auto" w:line="328" w:before="0" w:after="0"/>
              <w:ind w:left="0" w:right="0" w:hanging="0"/>
              <w:jc w:val="left"/>
              <w:rPr/>
            </w:pPr>
            <w:hyperlink w:anchor="knsa-20260728xex99d1.htm">
              <w:r>
                <w:rPr>
                  <w:rStyle w:val="InternetLink"/>
                  <w:rFonts w:ascii="Times New Roman;Times;serif" w:hAnsi="Times New Roman;Times;serif"/>
                  <w:b w:val="false"/>
                  <w:i w:val="false"/>
                  <w:caps w:val="false"/>
                  <w:smallCaps w:val="false"/>
                  <w:sz w:val="20"/>
                </w:rPr>
                <w:t>Press Release issued by Kiniksa Pharmaceuticals International, plc, dated July 28, 2026</w:t>
              </w:r>
            </w:hyperlink>
          </w:p>
        </w:tc>
      </w:tr>
      <w:tr>
        <w:trPr/>
        <w:tc>
          <w:tcPr>
            <w:tcW w:w="7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6" w:type="dxa"/>
            <w:tcBorders/>
            <w:vAlign w:val="center"/>
          </w:tcPr>
          <w:p>
            <w:pPr>
              <w:pStyle w:val="TableContents"/>
              <w:bidi w:val="0"/>
              <w:spacing w:lineRule="auto" w:line="285" w:before="0" w:after="0"/>
              <w:ind w:left="0" w:right="0" w:hanging="0"/>
              <w:jc w:val="left"/>
              <w:rPr/>
            </w:pPr>
            <w:r>
              <w:rPr/>
              <w:t>​</w:t>
            </w:r>
          </w:p>
        </w:tc>
      </w:tr>
      <w:tr>
        <w:trPr/>
        <w:tc>
          <w:tcPr>
            <w:tcW w:w="7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721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22" w:name="_b4c873b4_67d1_476f_897f_5ee0869b6827"/>
      <w:bookmarkEnd w:id="22"/>
      <w:r>
        <w:rPr>
          <w:rFonts w:ascii="Times New Roman;Times;serif" w:hAnsi="Times New Roman;Times;serif"/>
          <w:b/>
          <w:sz w:val="20"/>
        </w:rPr>
        <w:t>SIGNATURES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left"/>
        <w:rPr/>
      </w:pPr>
      <w:r>
        <w:rPr/>
        <w:t>​</w:t>
      </w:r>
    </w:p>
    <w:tbl>
      <w:tblPr>
        <w:tblW w:w="6798" w:type="dxa"/>
        <w:jc w:val="left"/>
        <w:tblInd w:w="0" w:type="dxa"/>
        <w:tblLayout w:type="fixed"/>
        <w:tblCellMar>
          <w:top w:w="0" w:type="dxa"/>
          <w:left w:w="0" w:type="dxa"/>
          <w:bottom w:w="0" w:type="dxa"/>
          <w:right w:w="0" w:type="dxa"/>
        </w:tblCellMar>
      </w:tblPr>
      <w:tblGrid>
        <w:gridCol w:w="1711"/>
        <w:gridCol w:w="406"/>
        <w:gridCol w:w="4681"/>
      </w:tblGrid>
      <w:tr>
        <w:trPr/>
        <w:tc>
          <w:tcPr>
            <w:tcW w:w="1711" w:type="dxa"/>
            <w:tcBorders/>
            <w:vAlign w:val="center"/>
          </w:tcPr>
          <w:p>
            <w:pPr>
              <w:pStyle w:val="TableContents"/>
              <w:bidi w:val="0"/>
              <w:spacing w:lineRule="auto" w:line="285" w:before="0" w:after="0"/>
              <w:ind w:left="0" w:right="0" w:hanging="0"/>
              <w:jc w:val="left"/>
              <w:rPr/>
            </w:pPr>
            <w:r>
              <w:rPr/>
              <w:t>​</w:t>
            </w:r>
          </w:p>
        </w:tc>
        <w:tc>
          <w:tcPr>
            <w:tcW w:w="5087"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KINIKSA PHARMACEUTICALS INTERNATIONAL, PLC</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5087" w:type="dxa"/>
            <w:gridSpan w:val="2"/>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28,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Douglas Barry</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6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Douglas Barry</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6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Legal Officer and Secretary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ind w:left="0" w:right="0" w:hanging="0"/>
        <w:jc w:val="right"/>
        <w:rPr>
          <w:rFonts w:ascii="Palatino Linotype" w:hAnsi="Palatino Linotype"/>
          <w:b/>
          <w:sz w:val="28"/>
        </w:rPr>
      </w:pPr>
      <w:bookmarkStart w:id="23" w:name="knsa-20260728xex99d1.htm"/>
      <w:bookmarkStart w:id="24" w:name="ksknsa20260728xex99d1"/>
      <w:bookmarkEnd w:id="23"/>
      <w:bookmarkEnd w:id="24"/>
      <w:r>
        <w:rPr>
          <w:rFonts w:ascii="Palatino Linotype" w:hAnsi="Palatino Linotype"/>
          <w:b/>
          <w:sz w:val="28"/>
        </w:rPr>
        <w:t>Exhibit 99.1</w:t>
      </w:r>
      <w:bookmarkStart w:id="25" w:name="Exhibit99_1_040418"/>
      <w:bookmarkEnd w:id="25"/>
      <w:r>
        <w:br w:type="page"/>
      </w:r>
    </w:p>
    <w:p>
      <w:pPr>
        <w:pStyle w:val="TextBody"/>
        <w:bidi w:val="0"/>
        <w:spacing w:lineRule="auto" w:line="285" w:before="0" w:after="0"/>
        <w:ind w:left="0" w:right="0" w:hanging="0"/>
        <w:jc w:val="left"/>
        <w:rPr/>
      </w:pPr>
      <w:r>
        <w:rPr/>
        <w:t>​</w:t>
      </w:r>
      <w:r>
        <mc:AlternateContent>
          <mc:Choice Requires="wps">
            <w:drawing>
              <wp:anchor behindDoc="0" distT="9525" distB="0" distL="114300" distR="0" simplePos="0" locked="0" layoutInCell="1" allowOverlap="1" relativeHeight="2">
                <wp:simplePos x="0" y="0"/>
                <wp:positionH relativeFrom="column">
                  <wp:align>right</wp:align>
                </wp:positionH>
                <wp:positionV relativeFrom="line">
                  <wp:align>top</wp:align>
                </wp:positionV>
                <wp:extent cx="1456055" cy="1009650"/>
                <wp:effectExtent l="0" t="0" r="0" b="0"/>
                <wp:wrapSquare wrapText="left"/>
                <wp:docPr id="3" name="Frame4"/>
                <a:graphic xmlns:a="http://schemas.openxmlformats.org/drawingml/2006/main">
                  <a:graphicData uri="http://schemas.microsoft.com/office/word/2010/wordprocessingShape">
                    <wps:wsp>
                      <wps:cNvSpPr txBox="1"/>
                      <wps:spPr>
                        <a:xfrm>
                          <a:off x="0" y="0"/>
                          <a:ext cx="1456055" cy="1009650"/>
                        </a:xfrm>
                        <a:prstGeom prst="rect"/>
                        <a:solidFill>
                          <a:srgbClr val="FFFFFF"/>
                        </a:solidFill>
                      </wps:spPr>
                      <wps:txbx>
                        <w:txbxContent>
                          <w:p>
                            <w:pPr>
                              <w:pStyle w:val="TextBody"/>
                              <w:bidi w:val="0"/>
                              <w:spacing w:before="0" w:after="0"/>
                              <w:jc w:val="left"/>
                              <w:rPr/>
                            </w:pPr>
                            <w:r>
                              <w:rPr/>
                              <w:drawing>
                                <wp:inline distT="0" distB="0" distL="0" distR="0">
                                  <wp:extent cx="1456055" cy="100584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6055" cy="10058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14.65pt;height:79.5pt;mso-wrap-distance-left:9pt;mso-wrap-distance-right:0pt;mso-wrap-distance-top:0.75pt;mso-wrap-distance-bottom:0pt;margin-top:0.75pt;mso-position-vertical:top;mso-position-vertical-relative:text;margin-left:395.6pt;mso-position-horizontal:right;mso-position-horizontal-relative:text">
                <v:textbox>
                  <w:txbxContent>
                    <w:p>
                      <w:pPr>
                        <w:pStyle w:val="TextBody"/>
                        <w:bidi w:val="0"/>
                        <w:spacing w:before="0" w:after="0"/>
                        <w:jc w:val="left"/>
                        <w:rPr/>
                      </w:pPr>
                      <w:r>
                        <w:rPr/>
                        <w:drawing>
                          <wp:inline distT="0" distB="0" distL="0" distR="0">
                            <wp:extent cx="1456055" cy="100584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456055" cy="100584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6">
                <wp:simplePos x="0" y="0"/>
                <wp:positionH relativeFrom="column">
                  <wp:align>right</wp:align>
                </wp:positionH>
                <wp:positionV relativeFrom="line">
                  <wp:posOffset>635</wp:posOffset>
                </wp:positionV>
                <wp:extent cx="14605" cy="175260"/>
                <wp:effectExtent l="0" t="0" r="0" b="0"/>
                <wp:wrapSquare wrapText="left"/>
                <wp:docPr id="6"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509.1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p>
    <w:p>
      <w:pPr>
        <w:pStyle w:val="TextBody"/>
        <w:bidi w:val="0"/>
        <w:spacing w:lineRule="auto" w:line="285" w:before="0" w:after="0"/>
        <w:ind w:left="0" w:right="0" w:hanging="0"/>
        <w:jc w:val="left"/>
        <w:rPr/>
      </w:pPr>
      <w:bookmarkStart w:id="26" w:name="_Hlk133313729"/>
      <w:bookmarkEnd w:id="26"/>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304" w:before="0" w:after="160"/>
        <w:ind w:left="0" w:right="0" w:hanging="0"/>
        <w:jc w:val="center"/>
        <w:rPr>
          <w:rFonts w:ascii="Palatino Linotype" w:hAnsi="Palatino Linotype"/>
          <w:b/>
          <w:sz w:val="28"/>
        </w:rPr>
      </w:pPr>
      <w:r>
        <w:rPr>
          <w:rFonts w:ascii="Palatino Linotype" w:hAnsi="Palatino Linotype"/>
          <w:b/>
          <w:sz w:val="28"/>
        </w:rPr>
        <w:t>Kiniksa Pharmaceuticals Reports Second Quarter 2026 Financial Results and Recent Portfolio Execution</w:t>
      </w:r>
      <w:bookmarkStart w:id="27" w:name="_Hlk107300881"/>
      <w:bookmarkEnd w:id="27"/>
    </w:p>
    <w:p>
      <w:pPr>
        <w:pStyle w:val="TextBody"/>
        <w:bidi w:val="0"/>
        <w:spacing w:lineRule="auto" w:line="285" w:before="0" w:after="0"/>
        <w:ind w:left="510" w:right="0" w:hanging="0"/>
        <w:jc w:val="center"/>
        <w:rPr/>
      </w:pPr>
      <w:r>
        <w:rPr/>
        <w:t xml:space="preserve">– </w:t>
      </w:r>
      <w:r>
        <w:rPr>
          <w:rFonts w:ascii="Palatino Linotype" w:hAnsi="Palatino Linotype"/>
          <w:i/>
          <w:sz w:val="28"/>
        </w:rPr>
        <w:t>ARCALYST</w:t>
      </w:r>
      <w:r>
        <w:rPr>
          <w:rFonts w:ascii="Palatino Linotype" w:hAnsi="Palatino Linotype"/>
          <w:i/>
          <w:sz w:val="21"/>
        </w:rPr>
        <w:t>®</w:t>
      </w:r>
      <w:r>
        <w:rPr>
          <w:rFonts w:ascii="Times New Roman;Times;serif" w:hAnsi="Times New Roman;Times;serif"/>
          <w:sz w:val="20"/>
        </w:rPr>
        <w:t xml:space="preserve"> </w:t>
      </w:r>
      <w:r>
        <w:rPr>
          <w:rFonts w:ascii="Palatino Linotype" w:hAnsi="Palatino Linotype"/>
          <w:i/>
          <w:sz w:val="28"/>
        </w:rPr>
        <w:t>(rilonacept) Q2 2026 net product revenue of $243.6 million, representing ~55% year-over-year growth –</w:t>
      </w:r>
    </w:p>
    <w:p>
      <w:pPr>
        <w:pStyle w:val="TextBody"/>
        <w:bidi w:val="0"/>
        <w:spacing w:lineRule="auto" w:line="285" w:before="0" w:after="0"/>
        <w:ind w:left="0" w:right="0" w:hanging="0"/>
        <w:jc w:val="center"/>
        <w:rPr/>
      </w:pPr>
      <w:r>
        <w:rPr/>
        <w:t xml:space="preserve">– </w:t>
      </w:r>
      <w:r>
        <w:rPr>
          <w:rFonts w:ascii="Palatino Linotype" w:hAnsi="Palatino Linotype"/>
          <w:i/>
          <w:sz w:val="28"/>
        </w:rPr>
        <w:t>ARCALYST 2026 expected net product revenue increased to $980 - $995 million –</w:t>
      </w:r>
    </w:p>
    <w:p>
      <w:pPr>
        <w:pStyle w:val="TextBody"/>
        <w:bidi w:val="0"/>
        <w:spacing w:lineRule="auto" w:line="285" w:before="0" w:after="0"/>
        <w:ind w:left="0" w:right="0" w:hanging="0"/>
        <w:jc w:val="center"/>
        <w:rPr/>
      </w:pPr>
      <w:r>
        <w:rPr/>
        <w:t xml:space="preserve">– </w:t>
      </w:r>
      <w:r>
        <w:rPr>
          <w:rFonts w:ascii="Palatino Linotype" w:hAnsi="Palatino Linotype"/>
          <w:i/>
          <w:sz w:val="28"/>
        </w:rPr>
        <w:t>KPL-387 Phase 2 data demonstrated rapid and sustained reductions in pain and inflammation at 300 mg SC once-monthly, the dose level selected for Phase 3 –</w:t>
      </w:r>
    </w:p>
    <w:p>
      <w:pPr>
        <w:pStyle w:val="TextBody"/>
        <w:bidi w:val="0"/>
        <w:spacing w:lineRule="auto" w:line="285" w:before="0" w:after="0"/>
        <w:ind w:left="0" w:right="0" w:hanging="0"/>
        <w:jc w:val="center"/>
        <w:rPr/>
      </w:pPr>
      <w:r>
        <w:rPr/>
        <w:t xml:space="preserve">– </w:t>
      </w:r>
      <w:r>
        <w:rPr>
          <w:rFonts w:ascii="Palatino Linotype" w:hAnsi="Palatino Linotype"/>
          <w:i/>
          <w:sz w:val="28"/>
        </w:rPr>
        <w:t>KPL-387 pivotal Phase 3 trial in recurrent pericarditis now enrolling and dosing patients –</w:t>
      </w:r>
    </w:p>
    <w:p>
      <w:pPr>
        <w:pStyle w:val="TextBody"/>
        <w:pBdr/>
        <w:bidi w:val="0"/>
        <w:spacing w:lineRule="auto" w:line="285" w:before="0" w:after="0"/>
        <w:ind w:left="0" w:right="0" w:hanging="360"/>
        <w:jc w:val="center"/>
        <w:rPr/>
      </w:pPr>
      <w:r>
        <w:rPr/>
        <w:t xml:space="preserve">– </w:t>
      </w:r>
      <w:r>
        <w:rPr>
          <w:rFonts w:ascii="Palatino Linotype" w:hAnsi="Palatino Linotype"/>
          <w:i/>
          <w:sz w:val="28"/>
        </w:rPr>
        <w:t>Conference call and webcast scheduled for 8:30 am ET today –</w:t>
      </w:r>
    </w:p>
    <w:p>
      <w:pPr>
        <w:pStyle w:val="TextBody"/>
        <w:pBdr/>
        <w:bidi w:val="0"/>
        <w:spacing w:lineRule="auto" w:line="328" w:before="0" w:after="200"/>
        <w:ind w:left="0" w:right="0" w:hanging="360"/>
        <w:jc w:val="center"/>
        <w:rPr/>
      </w:pPr>
      <w:r>
        <w:rPr/>
        <w:t>​</w:t>
      </w:r>
    </w:p>
    <w:p>
      <w:pPr>
        <w:pStyle w:val="TextBody"/>
        <w:bidi w:val="0"/>
        <w:spacing w:lineRule="auto" w:line="285" w:before="0" w:after="240"/>
        <w:ind w:left="0" w:right="0" w:hanging="0"/>
        <w:jc w:val="left"/>
        <w:rPr>
          <w:rFonts w:ascii="Helvetica;sans-serif" w:hAnsi="Helvetica;sans-serif"/>
          <w:sz w:val="22"/>
        </w:rPr>
      </w:pPr>
      <w:r>
        <w:rPr>
          <w:rFonts w:ascii="Palatino Linotype" w:hAnsi="Palatino Linotype"/>
          <w:b/>
          <w:caps/>
          <w:sz w:val="24"/>
        </w:rPr>
        <w:t xml:space="preserve">London </w:t>
      </w:r>
      <w:r>
        <w:rPr>
          <w:rFonts w:ascii="Helvetica;sans-serif" w:hAnsi="Helvetica;sans-serif"/>
          <w:sz w:val="22"/>
        </w:rPr>
        <w:t xml:space="preserve">– </w:t>
      </w:r>
      <w:r>
        <w:rPr>
          <w:rFonts w:ascii="Palatino Linotype" w:hAnsi="Palatino Linotype"/>
          <w:b/>
          <w:sz w:val="24"/>
        </w:rPr>
        <w:t xml:space="preserve">July 28, 2026 </w:t>
      </w:r>
      <w:r>
        <w:rPr>
          <w:rFonts w:ascii="Helvetica;sans-serif" w:hAnsi="Helvetica;sans-serif"/>
          <w:sz w:val="22"/>
        </w:rPr>
        <w:t xml:space="preserve">– </w:t>
      </w:r>
      <w:r>
        <w:rPr>
          <w:rFonts w:ascii="Palatino Linotype" w:hAnsi="Palatino Linotype"/>
          <w:sz w:val="24"/>
        </w:rPr>
        <w:t>Kiniksa Pharmaceuticals International, plc</w:t>
      </w:r>
      <w:r>
        <w:rPr>
          <w:rFonts w:ascii="Helvetica;sans-serif" w:hAnsi="Helvetica;sans-serif"/>
          <w:sz w:val="22"/>
        </w:rPr>
        <w:t xml:space="preserve"> </w:t>
      </w:r>
      <w:r>
        <w:rPr>
          <w:rFonts w:ascii="Palatino Linotype" w:hAnsi="Palatino Linotype"/>
          <w:sz w:val="24"/>
        </w:rPr>
        <w:t>(Nasdaq: KNSA) (Kiniksa), a biopharmaceutical company developing and commercializing novel therapies for diseases with unmet need, with a focus on cardiovascular indications, today reported second quarter 2026 financial results and recent portfolio execution.</w:t>
      </w:r>
    </w:p>
    <w:p>
      <w:pPr>
        <w:pStyle w:val="TextBody"/>
        <w:bidi w:val="0"/>
        <w:spacing w:lineRule="auto" w:line="285" w:before="0" w:after="0"/>
        <w:ind w:left="0" w:right="0" w:hanging="0"/>
        <w:jc w:val="left"/>
        <w:rPr/>
      </w:pPr>
      <w:r>
        <w:rPr/>
        <w:t>“</w:t>
      </w:r>
      <w:r>
        <w:rPr>
          <w:rFonts w:ascii="Palatino Linotype" w:hAnsi="Palatino Linotype"/>
          <w:sz w:val="24"/>
        </w:rPr>
        <w:t>In the second quarter, Kiniksa continued to drive growth in new and repeat prescribers of ARCALYST in recurrent pericarditis, which led to a meaningful increase in patients on therapy. As a result, we have raised our 2026 ARCALYST net sales guidance to between $980 and $995 million,”</w:t>
      </w:r>
      <w:r>
        <w:rPr>
          <w:rFonts w:ascii="Helvetica;sans-serif" w:hAnsi="Helvetica;sans-serif"/>
          <w:sz w:val="22"/>
        </w:rPr>
        <w:t xml:space="preserve"> </w:t>
      </w:r>
      <w:r>
        <w:rPr>
          <w:rFonts w:ascii="Palatino Linotype" w:hAnsi="Palatino Linotype"/>
          <w:sz w:val="24"/>
        </w:rPr>
        <w:t>said Sanj K. Patel, Chairman &amp; Chief Executive Officer of Kiniksa. “In our clinical portfolio, KPL-387 Phase 2 data supported initiation of the pivotal Phase 3 trial, PASTORALE, which is now enrolling and dosing patients. We are excited to advance KPL-387 with its target product profile of once-monthly subcutaneous dosing in a liquid formulation. We expect to bring this potential additional treatment option to patients in the 2028/2029 timeframe. Additionally, we continue to develop KPL-1161 with a target profile of once-quarterly dosing and are on track to initiate a Phase 1 trial by the end of this year.”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Portfolio Execution</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ARCALYST (IL-1α and IL-1β cytokine trap)</w:t>
      </w:r>
    </w:p>
    <w:p>
      <w:pPr>
        <w:pStyle w:val="TextBody"/>
        <w:bidi w:val="0"/>
        <w:spacing w:lineRule="auto" w:line="285" w:before="0" w:after="0"/>
        <w:ind w:left="360" w:right="0" w:hanging="0"/>
        <w:jc w:val="left"/>
        <w:rPr/>
      </w:pPr>
      <w:r>
        <w:rPr/>
        <w:t>●</w:t>
      </w:r>
      <w:r>
        <w:rPr>
          <w:rFonts w:ascii="Palatino Linotype" w:hAnsi="Palatino Linotype"/>
          <w:sz w:val="24"/>
        </w:rPr>
        <w:t>ARCALYST net product revenue was $243.6 million for the second quarter of 2026.</w:t>
      </w:r>
    </w:p>
    <w:p>
      <w:pPr>
        <w:pStyle w:val="TextBody"/>
        <w:bidi w:val="0"/>
        <w:spacing w:lineRule="auto" w:line="285"/>
        <w:ind w:left="360" w:right="0" w:hanging="0"/>
        <w:jc w:val="left"/>
        <w:rPr/>
      </w:pPr>
      <w:r>
        <w:rPr/>
        <w:t>●</w:t>
      </w:r>
      <w:r>
        <w:rPr>
          <w:rFonts w:ascii="Palatino Linotype" w:hAnsi="Palatino Linotype"/>
          <w:sz w:val="24"/>
        </w:rPr>
        <w:t>As of the end of the second quarter of 2026, approximately 21% of the 14,000 multiple-recurrence patients were actively on ARCALYST treatment.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Since launch, more than 5,000 prescribers have written ARCALYST prescriptions for recurrent pericarditis.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As of the end of the second quarter of 2026, average total duration of ARCALYST therapy in recurrent pericarditis was approximately 3 years, in line with the median duration of disease.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KPL-387 (monoclonal antibody IL-1 receptor antagonist)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Kiniksa today announced data from an interval analysis of the ongoing KPL-387 Phase 2/3 trial in recurrent pericarditis. The Phase 2 dose-focusing portion of the trial is designed to evaluate the dose response and safety of different subcutaneously (SC) administered KPL-387 dose regimens and to support dose selection for the pivotal Phase 3 portion of the trial. </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Participants in the KPL-387 300 mg SC monthly dose group experienced rapid and sustained reductions in Numeric Rating Scale (NRS) pain and inflammation as soon as after the first dose: </w:t>
            </w:r>
          </w:p>
        </w:tc>
      </w:tr>
    </w:tbl>
    <w:tbl>
      <w:tblPr>
        <w:tblW w:w="3603" w:type="dxa"/>
        <w:jc w:val="left"/>
        <w:tblInd w:w="0" w:type="dxa"/>
        <w:tblLayout w:type="fixed"/>
        <w:tblCellMar>
          <w:top w:w="0" w:type="dxa"/>
          <w:left w:w="0" w:type="dxa"/>
          <w:bottom w:w="0" w:type="dxa"/>
          <w:right w:w="0" w:type="dxa"/>
        </w:tblCellMar>
      </w:tblPr>
      <w:tblGrid>
        <w:gridCol w:w="23"/>
        <w:gridCol w:w="26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rPr>
              <w:t>Primary Efficacy Endpoint</w:t>
            </w:r>
            <w:hyperlink w:anchor="footnote-2">
              <w:bookmarkStart w:id="28" w:name="_Ref233394203"/>
              <w:bookmarkEnd w:id="28"/>
              <w:r>
                <w:rPr>
                  <w:rStyle w:val="InternetLink"/>
                  <w:rFonts w:ascii="Palatino Linotype" w:hAnsi="Palatino Linotype"/>
                  <w:b w:val="false"/>
                  <w:i w:val="false"/>
                  <w:caps w:val="false"/>
                  <w:smallCaps w:val="false"/>
                  <w:sz w:val="18"/>
                </w:rPr>
                <w:t>*</w:t>
              </w:r>
            </w:hyperlink>
          </w:p>
        </w:tc>
      </w:tr>
    </w:tbl>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rPr>
              <w:t>Time to Treatment Response</w:t>
            </w:r>
            <w:hyperlink w:anchor="footnote-3">
              <w:r>
                <w:rPr>
                  <w:rStyle w:val="InternetLink"/>
                  <w:rFonts w:ascii="Palatino Linotype" w:hAnsi="Palatino Linotype"/>
                  <w:b w:val="false"/>
                  <w:i w:val="false"/>
                  <w:caps w:val="false"/>
                  <w:smallCaps w:val="false"/>
                  <w:sz w:val="18"/>
                </w:rPr>
                <w:t>1</w:t>
              </w:r>
            </w:hyperlink>
            <w:r>
              <w:rPr>
                <w:rFonts w:ascii="Palatino Linotype" w:hAnsi="Palatino Linotype"/>
                <w:b w:val="false"/>
                <w:i w:val="false"/>
                <w:caps w:val="false"/>
                <w:smallCaps w:val="false"/>
                <w:sz w:val="24"/>
              </w:rPr>
              <w:t>: 4.0 (</w:t>
            </w:r>
            <w:r>
              <w:rPr>
                <w:rFonts w:ascii="Palatino Linotype" w:hAnsi="Palatino Linotype"/>
                <w:b w:val="false"/>
                <w:i w:val="false"/>
                <w:caps w:val="false"/>
                <w:smallCaps w:val="false"/>
                <w:sz w:val="22"/>
              </w:rPr>
              <w:t>3.0, 6.0</w:t>
            </w:r>
            <w:r>
              <w:rPr>
                <w:rFonts w:ascii="Palatino Linotype" w:hAnsi="Palatino Linotype"/>
                <w:b w:val="false"/>
                <w:i w:val="false"/>
                <w:caps w:val="false"/>
                <w:smallCaps w:val="false"/>
                <w:sz w:val="24"/>
              </w:rPr>
              <w:t>) days.</w:t>
            </w:r>
          </w:p>
        </w:tc>
      </w:tr>
    </w:tbl>
    <w:tbl>
      <w:tblPr>
        <w:tblW w:w="4023" w:type="dxa"/>
        <w:jc w:val="left"/>
        <w:tblInd w:w="0" w:type="dxa"/>
        <w:tblLayout w:type="fixed"/>
        <w:tblCellMar>
          <w:top w:w="0" w:type="dxa"/>
          <w:left w:w="0" w:type="dxa"/>
          <w:bottom w:w="0" w:type="dxa"/>
          <w:right w:w="0" w:type="dxa"/>
        </w:tblCellMar>
      </w:tblPr>
      <w:tblGrid>
        <w:gridCol w:w="23"/>
        <w:gridCol w:w="26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rPr>
              <w:t>Secondary Efficacy Endpoints</w:t>
            </w:r>
            <w:r>
              <w:rPr>
                <w:rFonts w:ascii="Symbol" w:hAnsi="Symbol"/>
                <w:b w:val="false"/>
                <w:i w:val="false"/>
                <w:caps w:val="false"/>
                <w:smallCaps w:val="false"/>
                <w:sz w:val="17"/>
              </w:rPr>
              <w:t>*</w:t>
            </w:r>
          </w:p>
        </w:tc>
      </w:tr>
    </w:tbl>
    <w:tbl>
      <w:tblPr>
        <w:tblW w:w="5373" w:type="dxa"/>
        <w:jc w:val="left"/>
        <w:tblInd w:w="0" w:type="dxa"/>
        <w:tblLayout w:type="fixed"/>
        <w:tblCellMar>
          <w:top w:w="0" w:type="dxa"/>
          <w:left w:w="0" w:type="dxa"/>
          <w:bottom w:w="0" w:type="dxa"/>
          <w:right w:w="0" w:type="dxa"/>
        </w:tblCellMar>
      </w:tblPr>
      <w:tblGrid>
        <w:gridCol w:w="23"/>
        <w:gridCol w:w="20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rPr>
              <w:t>Time to Pain Response: 4.0 (</w:t>
            </w:r>
            <w:r>
              <w:rPr>
                <w:rFonts w:ascii="Palatino Linotype" w:hAnsi="Palatino Linotype"/>
                <w:b w:val="false"/>
                <w:i w:val="false"/>
                <w:caps w:val="false"/>
                <w:smallCaps w:val="false"/>
                <w:sz w:val="22"/>
              </w:rPr>
              <w:t>3.0, 6.0</w:t>
            </w:r>
            <w:r>
              <w:rPr>
                <w:rFonts w:ascii="Palatino Linotype" w:hAnsi="Palatino Linotype"/>
                <w:b w:val="false"/>
                <w:i w:val="false"/>
                <w:caps w:val="false"/>
                <w:smallCaps w:val="false"/>
                <w:sz w:val="24"/>
              </w:rPr>
              <w:t>) days.</w:t>
            </w:r>
          </w:p>
        </w:tc>
      </w:tr>
    </w:tbl>
    <w:tbl>
      <w:tblPr>
        <w:tblW w:w="8583" w:type="dxa"/>
        <w:jc w:val="left"/>
        <w:tblInd w:w="0" w:type="dxa"/>
        <w:tblLayout w:type="fixed"/>
        <w:tblCellMar>
          <w:top w:w="0" w:type="dxa"/>
          <w:left w:w="0" w:type="dxa"/>
          <w:bottom w:w="0" w:type="dxa"/>
          <w:right w:w="0" w:type="dxa"/>
        </w:tblCellMar>
      </w:tblPr>
      <w:tblGrid>
        <w:gridCol w:w="23"/>
        <w:gridCol w:w="20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rPr>
              <w:t>Time to C-Reactive Protein (CRP) Normalization</w:t>
            </w:r>
            <w:hyperlink w:anchor="footnote-4">
              <w:r>
                <w:rPr>
                  <w:rStyle w:val="InternetLink"/>
                  <w:rFonts w:ascii="Palatino Linotype" w:hAnsi="Palatino Linotype"/>
                  <w:b w:val="false"/>
                  <w:i w:val="false"/>
                  <w:caps w:val="false"/>
                  <w:smallCaps w:val="false"/>
                  <w:sz w:val="18"/>
                </w:rPr>
                <w:t>2</w:t>
              </w:r>
            </w:hyperlink>
            <w:r>
              <w:rPr>
                <w:rFonts w:ascii="Palatino Linotype" w:hAnsi="Palatino Linotype"/>
                <w:b w:val="false"/>
                <w:i w:val="false"/>
                <w:caps w:val="false"/>
                <w:smallCaps w:val="false"/>
                <w:sz w:val="24"/>
              </w:rPr>
              <w:t>: 8.0 (</w:t>
            </w:r>
            <w:r>
              <w:rPr>
                <w:rFonts w:ascii="Palatino Linotype" w:hAnsi="Palatino Linotype"/>
                <w:b w:val="false"/>
                <w:i w:val="false"/>
                <w:caps w:val="false"/>
                <w:smallCaps w:val="false"/>
                <w:sz w:val="22"/>
              </w:rPr>
              <w:t>7.0, 9.0</w:t>
            </w:r>
            <w:r>
              <w:rPr>
                <w:rFonts w:ascii="Palatino Linotype" w:hAnsi="Palatino Linotype"/>
                <w:b w:val="false"/>
                <w:i w:val="false"/>
                <w:caps w:val="false"/>
                <w:smallCaps w:val="false"/>
                <w:sz w:val="24"/>
              </w:rPr>
              <w:t>) days.</w:t>
            </w:r>
          </w:p>
        </w:tc>
      </w:tr>
    </w:tbl>
    <w:tbl>
      <w:tblPr>
        <w:tblW w:w="8778" w:type="dxa"/>
        <w:jc w:val="left"/>
        <w:tblInd w:w="0" w:type="dxa"/>
        <w:tblLayout w:type="fixed"/>
        <w:tblCellMar>
          <w:top w:w="0" w:type="dxa"/>
          <w:left w:w="0" w:type="dxa"/>
          <w:bottom w:w="0" w:type="dxa"/>
          <w:right w:w="0" w:type="dxa"/>
        </w:tblCellMar>
      </w:tblPr>
      <w:tblGrid>
        <w:gridCol w:w="23"/>
        <w:gridCol w:w="26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KPL-387 efficacy was durable throughout the monthly dosing interval.</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KPL-387 was generally well-tolerated, consistent with the well-known safety profile of interleukin-1 (IL-1) pathway inhibition.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Kiniksa is enrolling and dosing patients in PASTORALE, the pivotal Phase 3 portion of the Phase 2/3 clinical trial. </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PASTORALE is an event-driven, double-blind, placebo controlled, randomized withdrawal (RW) study enrolling up to approximately 85 participants with recurrent pericarditis. PASTORALE is evaluating the efficacy and safety of KPL-387 300 mg SC administered once-monthly in a liquid formulation. </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The primary endpoint is time to first adjudicated pericarditis recurrence during the RW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Kiniksa is also conducting a supplemental Phase 2 Transition to KPL-387 Monotherapy Dosing &amp; Administration Study evaluating the efficacy and safety of dosing regimens used to transition patients from standard therapies to KPL-387 monotherapy.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KPL-1161 (Fc-modified monoclonal antibody IL-1 receptor antagonist)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Kiniksa is conducting preclinical development activities with KPL-1161 with a target profile of quarterly SC dosing. The company expects to initiate a Phase 1 first-in-human clinical trial by the end of 2026.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bookmarkStart w:id="29" w:name="footnote-2"/>
      <w:bookmarkEnd w:id="29"/>
      <w:r>
        <w:rPr>
          <w:rFonts w:ascii="Symbol" w:hAnsi="Symbol"/>
          <w:sz w:val="15"/>
        </w:rPr>
        <w:t>*</w:t>
      </w:r>
      <w:r>
        <w:rPr>
          <w:rFonts w:ascii="Helvetica;sans-serif" w:hAnsi="Helvetica;sans-serif"/>
          <w:sz w:val="20"/>
        </w:rPr>
        <w:t xml:space="preserve"> </w:t>
      </w:r>
      <w:r>
        <w:rPr>
          <w:rFonts w:ascii="Palatino Linotype" w:hAnsi="Palatino Linotype"/>
          <w:sz w:val="20"/>
        </w:rPr>
        <w:t>Reported as median (95% confidence interval).</w:t>
      </w:r>
    </w:p>
    <w:p>
      <w:pPr>
        <w:pStyle w:val="TextBody"/>
        <w:bidi w:val="0"/>
        <w:spacing w:lineRule="auto" w:line="285" w:before="0" w:after="0"/>
        <w:ind w:left="0" w:right="0" w:hanging="0"/>
        <w:jc w:val="left"/>
        <w:rPr>
          <w:rFonts w:ascii="Helvetica;sans-serif" w:hAnsi="Helvetica;sans-serif"/>
          <w:sz w:val="20"/>
        </w:rPr>
      </w:pPr>
      <w:bookmarkStart w:id="30" w:name="footnote-3"/>
      <w:bookmarkEnd w:id="30"/>
      <w:r>
        <w:rPr>
          <w:rFonts w:ascii="Palatino Linotype" w:hAnsi="Palatino Linotype"/>
          <w:sz w:val="15"/>
        </w:rPr>
        <w:t>1</w:t>
      </w:r>
      <w:r>
        <w:rPr>
          <w:rFonts w:ascii="Helvetica;sans-serif" w:hAnsi="Helvetica;sans-serif"/>
          <w:sz w:val="20"/>
        </w:rPr>
        <w:t xml:space="preserve"> </w:t>
      </w:r>
      <w:r>
        <w:rPr>
          <w:rFonts w:ascii="Palatino Linotype" w:hAnsi="Palatino Linotype"/>
          <w:sz w:val="20"/>
        </w:rPr>
        <w:t>Treatment Response is defined as Pain Response (NRS score ≤ 2 on the 11-point daily pericarditis pain NRS pain scale) and at least one CRP level ≤ 0.5 mg/dL within 7 days before or after the Pain Response.</w:t>
      </w:r>
    </w:p>
    <w:p>
      <w:pPr>
        <w:pStyle w:val="TextBody"/>
        <w:bidi w:val="0"/>
        <w:spacing w:lineRule="auto" w:line="285" w:before="0" w:after="0"/>
        <w:ind w:left="0" w:right="0" w:hanging="0"/>
        <w:jc w:val="left"/>
        <w:rPr>
          <w:rFonts w:ascii="Helvetica;sans-serif" w:hAnsi="Helvetica;sans-serif"/>
          <w:sz w:val="20"/>
        </w:rPr>
      </w:pPr>
      <w:bookmarkStart w:id="31" w:name="footnote-4"/>
      <w:bookmarkEnd w:id="31"/>
      <w:r>
        <w:rPr>
          <w:rFonts w:ascii="Palatino Linotype" w:hAnsi="Palatino Linotype"/>
          <w:sz w:val="15"/>
        </w:rPr>
        <w:t>2</w:t>
      </w:r>
      <w:r>
        <w:rPr>
          <w:rFonts w:ascii="Helvetica;sans-serif" w:hAnsi="Helvetica;sans-serif"/>
          <w:sz w:val="20"/>
        </w:rPr>
        <w:t xml:space="preserve"> </w:t>
      </w:r>
      <w:r>
        <w:rPr>
          <w:rFonts w:ascii="Palatino Linotype" w:hAnsi="Palatino Linotype"/>
          <w:sz w:val="20"/>
        </w:rPr>
        <w:t>CRP Normalization is defined as CRP ≤ 0.5 mg/dL.</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Financial Results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Total revenue for the second quarter of 2026 was $243.6 million, compared to $156.8 million for the second quarter of 2025.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Total operating expenses for the second quarter of 2026 were $216.4 million, compared to $136.6 million for the second quarter of 2025, and comprised the following: </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Cost of Goods Sold (COGS) expenses of $23.6 million, compared to $18.6 million for the second quarter of 2025. The increase in COGS expenses was primarily due to costs associated with increased sales of ARCALYST.</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Collaboration expenses of $88.1 million, compared to $52.4 million for the second quarter of 2025. Collaboration expenses are driven primarily by ARCALYST collaboration profitability.</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Research and Development (R&amp;D) expenses of $40.9 million, compared to $18.8 million for the second quarter of 2025. The increase in R&amp;D expenses was primarily due to increased KPL-387 clinical and manufacturing activity as well as increased preclinical development investment.</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Selling, General, and Administrative (SG&amp;A) expenses of $63.9 million, compared to $46.9 million for the second quarter of 2025. The increase in SG&amp;A expenses was primarily due to investment associated with the commercialization of ARCALYST.</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Total operating expenses for the second quarter of 2026 included $11.6 million in non-cash, share-based compensation expense, compared to $8.9 million for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 xml:space="preserve">Net income for the second quarter of 2026 was $25.4 million, compared to $17.8 million for the second quarter of 2025. </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As of June 30, 2026, Kiniksa had $525.9 million of cash, cash equivalents, and short-term investments and no debt.</w:t>
            </w:r>
          </w:p>
        </w:tc>
      </w:tr>
    </w:tbl>
    <w:p>
      <w:pPr>
        <w:pStyle w:val="TextBody"/>
        <w:shd w:fill="FFFFFF" w:val="clear"/>
        <w:bidi w:val="0"/>
        <w:spacing w:lineRule="auto" w:line="285" w:before="0" w:after="0"/>
        <w:ind w:left="1080" w:right="0" w:hanging="0"/>
        <w:jc w:val="left"/>
        <w:rPr/>
      </w:pPr>
      <w: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Financial Guidance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Kiniksa expects 2026 ARCALYST net product revenue of between $980 million and $995 million, compared to prior guidance of between $930 million and $945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rPr>
            </w:pPr>
            <w:r>
              <w:rPr>
                <w:rFonts w:ascii="Palatino Linotype" w:hAnsi="Palatino Linotype"/>
                <w:b w:val="false"/>
                <w:i w:val="false"/>
                <w:caps w:val="false"/>
                <w:smallCaps w:val="false"/>
                <w:sz w:val="24"/>
              </w:rPr>
              <w:t>Kiniksa expects its current operating plan to remain cash flow positive on an annual basis.</w:t>
            </w:r>
          </w:p>
        </w:tc>
      </w:tr>
    </w:tbl>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Conference Call Information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shd w:fill="FFFFFF" w:val="clear"/>
              </w:rPr>
              <w:t xml:space="preserve">Kiniksa will host a conference call and webcast at 8:30 a.m. Eastern Time on Tuesday, July 28, 2026, to discuss </w:t>
            </w:r>
            <w:r>
              <w:rPr>
                <w:rFonts w:ascii="Palatino Linotype" w:hAnsi="Palatino Linotype"/>
                <w:b w:val="false"/>
                <w:i w:val="false"/>
                <w:caps w:val="false"/>
                <w:smallCaps w:val="false"/>
                <w:sz w:val="24"/>
              </w:rPr>
              <w:t>second quarter 2026</w:t>
            </w:r>
            <w:r>
              <w:rPr>
                <w:caps w:val="false"/>
                <w:smallCaps w:val="false"/>
                <w:shd w:fill="FFFFFF" w:val="clear"/>
              </w:rPr>
              <w:t xml:space="preserve"> </w:t>
            </w:r>
            <w:r>
              <w:rPr>
                <w:rFonts w:ascii="Palatino Linotype" w:hAnsi="Palatino Linotype"/>
                <w:b w:val="false"/>
                <w:i w:val="false"/>
                <w:caps w:val="false"/>
                <w:smallCaps w:val="false"/>
                <w:sz w:val="24"/>
                <w:shd w:fill="FFFFFF" w:val="clear"/>
              </w:rPr>
              <w:t>financial results and recent portfolio execution.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Individuals interested in participating in the call via telephone may register here. Upon registration, all telephone participants will receive a confirmation email detailing how to join the conference call, including the dial-in number along with a unique passcode and registrant ID that can be used to access the call. To access the webcast, please visit the Investors and Media section of Kiniksa’s website. A replay of the event will also be available on Kiniksa’s website within approximately 48 hours after the event.</w:t>
            </w:r>
            <w:bookmarkStart w:id="32" w:name="_Hlk527622667"/>
            <w:bookmarkEnd w:id="32"/>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About Kiniksa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Palatino Linotype" w:hAnsi="Palatino Linotype"/>
          <w:sz w:val="24"/>
        </w:rPr>
      </w:pPr>
      <w:r>
        <w:rPr>
          <w:rFonts w:ascii="Palatino Linotype" w:hAnsi="Palatino Linotype"/>
          <w:sz w:val="24"/>
        </w:rPr>
        <w:t>Kiniksa is a biopharmaceutical company dedicated to improving the lives of patients suffering from debilitating diseases by discovering, acquiring, developing, and commercializing novel therapies for diseases with unmet need, with a focus on cardiovascular indications. Kiniksa’s portfolio of assets is based on strong biologic rationale or validated mechanisms and offers the potential for differentiation. For more information, please visit www.kiniksa.com.</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About ARCALYST</w:t>
      </w:r>
    </w:p>
    <w:p>
      <w:pPr>
        <w:pStyle w:val="TextBody"/>
        <w:bidi w:val="0"/>
        <w:spacing w:lineRule="auto" w:line="285" w:before="0" w:after="0"/>
        <w:ind w:left="0" w:right="0" w:hanging="0"/>
        <w:jc w:val="left"/>
        <w:rPr>
          <w:rFonts w:ascii="Times New Roman;Times;serif" w:hAnsi="Times New Roman;Times;serif"/>
          <w:sz w:val="20"/>
        </w:rPr>
      </w:pPr>
      <w:r>
        <w:rPr>
          <w:rFonts w:ascii="Palatino Linotype" w:hAnsi="Palatino Linotype"/>
          <w:sz w:val="24"/>
          <w:shd w:fill="FFFFFF" w:val="clear"/>
        </w:rPr>
        <w:t xml:space="preserve">ARCALYST is a weekly, subcutaneously injected recombinant dimeric fusion protein that blocks interleukin-1 alpha (IL-1α) and interleukin-1 beta (IL-1β) signaling. ARCALYST was discovered by Regeneron Pharmaceuticals, Inc. (Regeneron) and is approved by the </w:t>
      </w:r>
      <w:bookmarkStart w:id="33" w:name="_Hlk117164032"/>
      <w:bookmarkEnd w:id="33"/>
      <w:r>
        <w:rPr>
          <w:rFonts w:ascii="Palatino Linotype" w:hAnsi="Palatino Linotype"/>
          <w:sz w:val="24"/>
          <w:shd w:fill="FFFFFF" w:val="clear"/>
        </w:rPr>
        <w:t>U.S. Food and Drug Administration (FDA)</w:t>
      </w:r>
      <w:r>
        <w:rPr>
          <w:rFonts w:ascii="Times New Roman;Times;serif" w:hAnsi="Times New Roman;Times;serif"/>
          <w:sz w:val="20"/>
          <w:shd w:fill="FFFFFF" w:val="clear"/>
        </w:rPr>
        <w:t xml:space="preserve"> </w:t>
      </w:r>
      <w:r>
        <w:rPr>
          <w:rFonts w:ascii="Palatino Linotype" w:hAnsi="Palatino Linotype"/>
          <w:sz w:val="24"/>
          <w:shd w:fill="FFFFFF" w:val="clear"/>
        </w:rPr>
        <w:t xml:space="preserve">for recurrent pericarditis, cryopyrin-associated periodic syndromes (CAPS), including Familial Cold Autoinflammatory Syndrome and Muckle-Wells Syndrome, and deficiency of IL-1 receptor antagonist (DIRA). The FDA granted Breakthrough Therapy designation to ARCALYST for the treatment of recurrent pericarditis in 2019 and Orphan Drug </w:t>
      </w:r>
      <w:r>
        <w:rPr>
          <w:rFonts w:ascii="Palatino Linotype" w:hAnsi="Palatino Linotype"/>
          <w:sz w:val="24"/>
        </w:rPr>
        <w:t xml:space="preserve">exclusivity </w:t>
      </w:r>
      <w:r>
        <w:rPr>
          <w:rFonts w:ascii="Palatino Linotype" w:hAnsi="Palatino Linotype"/>
          <w:sz w:val="24"/>
          <w:shd w:fill="FFFFFF" w:val="clear"/>
        </w:rPr>
        <w:t xml:space="preserve">to ARCALYST </w:t>
      </w:r>
      <w:r>
        <w:rPr>
          <w:rFonts w:ascii="Palatino Linotype" w:hAnsi="Palatino Linotype"/>
          <w:sz w:val="24"/>
        </w:rPr>
        <w:t xml:space="preserve">in 2021 </w:t>
      </w:r>
      <w:r>
        <w:rPr>
          <w:rFonts w:ascii="Palatino Linotype" w:hAnsi="Palatino Linotype"/>
          <w:sz w:val="24"/>
          <w:shd w:fill="FFFFFF" w:val="clear"/>
        </w:rPr>
        <w:t xml:space="preserve">for the treatment of </w:t>
      </w:r>
      <w:r>
        <w:rPr>
          <w:rFonts w:ascii="Palatino Linotype" w:hAnsi="Palatino Linotype"/>
          <w:sz w:val="24"/>
        </w:rPr>
        <w:t xml:space="preserve">recurrent </w:t>
      </w:r>
      <w:r>
        <w:rPr>
          <w:rFonts w:ascii="Palatino Linotype" w:hAnsi="Palatino Linotype"/>
          <w:sz w:val="24"/>
          <w:shd w:fill="FFFFFF" w:val="clear"/>
        </w:rPr>
        <w:t>pericarditis</w:t>
      </w:r>
      <w:r>
        <w:rPr>
          <w:rFonts w:ascii="Times New Roman;Times;serif" w:hAnsi="Times New Roman;Times;serif"/>
          <w:sz w:val="20"/>
        </w:rPr>
        <w:t xml:space="preserve"> </w:t>
      </w:r>
      <w:r>
        <w:rPr>
          <w:rFonts w:ascii="Palatino Linotype" w:hAnsi="Palatino Linotype"/>
          <w:sz w:val="24"/>
        </w:rPr>
        <w:t>and reduction in risk of recurrence in adults and pediatric patients 12 years and older</w:t>
      </w:r>
      <w:r>
        <w:rPr>
          <w:rFonts w:ascii="Palatino Linotype" w:hAnsi="Palatino Linotype"/>
          <w:sz w:val="24"/>
          <w:shd w:fill="FFFFFF" w:val="clear"/>
        </w:rPr>
        <w:t>. The European Commission granted Orphan Drug Designation to ARCALYST for the treatment of idiopathic pericarditis in 2021.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IMPORTANT SAFETY INFORMATION ABOUT ARCALYST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ARCALYST may affect your immune system and can lower the ability of your immune system to fight infections. Serious infections, including life-threatening infections and death, have happened in patients taking ARCALYST. If you have any signs of an infection, call your doctor right away. Treatment with ARCALYST should be stopped if you get a serious infection. You should not begin treatment with ARCALYST if you have an infection or have infections that keep coming back (chronic infection).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Palatino Linotype" w:hAnsi="Palatino Linotype"/>
                <w:b w:val="false"/>
                <w:i w:val="false"/>
                <w:caps w:val="false"/>
                <w:smallCaps w:val="false"/>
                <w:sz w:val="24"/>
                <w:shd w:fill="FFFFFF" w:val="clear"/>
              </w:rPr>
              <w:t>While taking ARCALYST, do not take other medicines that block interleukin-1, such as Kineret</w:t>
            </w:r>
            <w:r>
              <w:rPr>
                <w:rFonts w:ascii="Palatino Linotype" w:hAnsi="Palatino Linotype"/>
                <w:b w:val="false"/>
                <w:i w:val="false"/>
                <w:caps w:val="false"/>
                <w:smallCaps w:val="false"/>
                <w:sz w:val="18"/>
                <w:shd w:fill="FFFFFF" w:val="clear"/>
              </w:rPr>
              <w:t>®</w:t>
            </w:r>
            <w:r>
              <w:rPr>
                <w:caps w:val="false"/>
                <w:smallCaps w:val="false"/>
                <w:shd w:fill="FFFFFF" w:val="clear"/>
              </w:rPr>
              <w:t xml:space="preserve"> </w:t>
            </w:r>
            <w:r>
              <w:rPr>
                <w:rFonts w:ascii="Palatino Linotype" w:hAnsi="Palatino Linotype"/>
                <w:b w:val="false"/>
                <w:i w:val="false"/>
                <w:caps w:val="false"/>
                <w:smallCaps w:val="false"/>
                <w:sz w:val="24"/>
                <w:shd w:fill="FFFFFF" w:val="clear"/>
              </w:rPr>
              <w:t>(anakinra), or medicines that block tumor necrosis factor, such as Enbrel</w:t>
            </w:r>
            <w:r>
              <w:rPr>
                <w:rFonts w:ascii="Palatino Linotype" w:hAnsi="Palatino Linotype"/>
                <w:b w:val="false"/>
                <w:i w:val="false"/>
                <w:caps w:val="false"/>
                <w:smallCaps w:val="false"/>
                <w:sz w:val="18"/>
                <w:shd w:fill="FFFFFF" w:val="clear"/>
              </w:rPr>
              <w:t>®</w:t>
            </w:r>
            <w:r>
              <w:rPr>
                <w:caps w:val="false"/>
                <w:smallCaps w:val="false"/>
                <w:shd w:fill="FFFFFF" w:val="clear"/>
              </w:rPr>
              <w:t xml:space="preserve"> </w:t>
            </w:r>
            <w:r>
              <w:rPr>
                <w:rFonts w:ascii="Palatino Linotype" w:hAnsi="Palatino Linotype"/>
                <w:b w:val="false"/>
                <w:i w:val="false"/>
                <w:caps w:val="false"/>
                <w:smallCaps w:val="false"/>
                <w:sz w:val="24"/>
                <w:shd w:fill="FFFFFF" w:val="clear"/>
              </w:rPr>
              <w:t>(etanercept), Humira</w:t>
            </w:r>
            <w:r>
              <w:rPr>
                <w:rFonts w:ascii="Palatino Linotype" w:hAnsi="Palatino Linotype"/>
                <w:b w:val="false"/>
                <w:i w:val="false"/>
                <w:caps w:val="false"/>
                <w:smallCaps w:val="false"/>
                <w:sz w:val="18"/>
                <w:shd w:fill="FFFFFF" w:val="clear"/>
              </w:rPr>
              <w:t>®</w:t>
            </w:r>
            <w:r>
              <w:rPr>
                <w:caps w:val="false"/>
                <w:smallCaps w:val="false"/>
                <w:shd w:fill="FFFFFF" w:val="clear"/>
              </w:rPr>
              <w:t xml:space="preserve"> </w:t>
            </w:r>
            <w:r>
              <w:rPr>
                <w:rFonts w:ascii="Palatino Linotype" w:hAnsi="Palatino Linotype"/>
                <w:b w:val="false"/>
                <w:i w:val="false"/>
                <w:caps w:val="false"/>
                <w:smallCaps w:val="false"/>
                <w:sz w:val="24"/>
                <w:shd w:fill="FFFFFF" w:val="clear"/>
              </w:rPr>
              <w:t>(adalimumab), or Remicade</w:t>
            </w:r>
            <w:r>
              <w:rPr>
                <w:rFonts w:ascii="Palatino Linotype" w:hAnsi="Palatino Linotype"/>
                <w:b w:val="false"/>
                <w:i w:val="false"/>
                <w:caps w:val="false"/>
                <w:smallCaps w:val="false"/>
                <w:sz w:val="18"/>
                <w:shd w:fill="FFFFFF" w:val="clear"/>
              </w:rPr>
              <w:t>®</w:t>
            </w:r>
            <w:r>
              <w:rPr>
                <w:caps w:val="false"/>
                <w:smallCaps w:val="false"/>
                <w:shd w:fill="FFFFFF" w:val="clear"/>
              </w:rPr>
              <w:t xml:space="preserve"> </w:t>
            </w:r>
            <w:r>
              <w:rPr>
                <w:rFonts w:ascii="Palatino Linotype" w:hAnsi="Palatino Linotype"/>
                <w:b w:val="false"/>
                <w:i w:val="false"/>
                <w:caps w:val="false"/>
                <w:smallCaps w:val="false"/>
                <w:sz w:val="24"/>
                <w:shd w:fill="FFFFFF" w:val="clear"/>
              </w:rPr>
              <w:t>(infliximab), as this may increase your risk of getting a serious infection.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Talk with your doctor about your vaccine history. Ask your doctor whether you should receive any vaccines before you begin treatment with ARCALYST.</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Medicines that affect the immune system may increase the risk of getting cancer.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Stop taking ARCALYST and call your doctor or get emergency care right away if you have any symptoms of an allergic reaction.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Your doctor will do blood tests to check for changes in your blood cholesterol and triglycerides.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Palatino Linotype" w:hAnsi="Palatino Linotype"/>
                <w:b w:val="false"/>
                <w:i w:val="false"/>
                <w:caps w:val="false"/>
                <w:smallCaps w:val="false"/>
                <w:sz w:val="24"/>
                <w:shd w:fill="FFFFFF" w:val="clear"/>
              </w:rPr>
            </w:pPr>
            <w:r>
              <w:rPr>
                <w:rFonts w:ascii="Palatino Linotype" w:hAnsi="Palatino Linotype"/>
                <w:b w:val="false"/>
                <w:i w:val="false"/>
                <w:caps w:val="false"/>
                <w:smallCaps w:val="false"/>
                <w:sz w:val="24"/>
                <w:shd w:fill="FFFFFF" w:val="clear"/>
              </w:rPr>
              <w:t>Common side effects include injection-site reactions (which may include pain, redness, swelling, itching, bruising, lumps, inflammation, skin rash, blisters, warmth, and bleeding at the injection site), upper respiratory tract infections, joint and muscle aches, rash, ear infection, sore throat, and runny nose.</w:t>
            </w:r>
          </w:p>
        </w:tc>
      </w:tr>
    </w:tbl>
    <w:p>
      <w:pPr>
        <w:pStyle w:val="TextBody"/>
        <w:bidi w:val="0"/>
        <w:spacing w:lineRule="auto" w:line="285" w:before="0" w:after="0"/>
        <w:ind w:left="360" w:right="0" w:hanging="0"/>
        <w:jc w:val="left"/>
        <w:rPr>
          <w:shd w:fill="FFFFFF" w:val="clear"/>
        </w:rPr>
      </w:pPr>
      <w:r>
        <w:rPr>
          <w:shd w:fill="FFFFFF" w:val="clear"/>
        </w:rPr>
        <w:t>​</w:t>
      </w:r>
    </w:p>
    <w:p>
      <w:pPr>
        <w:pStyle w:val="TextBody"/>
        <w:bidi w:val="0"/>
        <w:spacing w:lineRule="auto" w:line="285" w:before="0" w:after="0"/>
        <w:ind w:left="360" w:right="0" w:hanging="0"/>
        <w:jc w:val="left"/>
        <w:rPr>
          <w:rFonts w:ascii="Palatino Linotype" w:hAnsi="Palatino Linotype"/>
          <w:b/>
          <w:sz w:val="24"/>
          <w:shd w:fill="FFFFFF" w:val="clear"/>
        </w:rPr>
      </w:pPr>
      <w:r>
        <w:rPr>
          <w:rFonts w:ascii="Palatino Linotype" w:hAnsi="Palatino Linotype"/>
          <w:b/>
          <w:sz w:val="24"/>
          <w:shd w:fill="FFFFFF" w:val="clear"/>
        </w:rPr>
        <w:t>For more information about ARCALYST, talk to your doctor and see the Product Information.</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About KPL-387</w:t>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KPL-387 is an independently developed, investigational, fully human immunoglobulin G2 (IgG2) monoclonal antibody that binds human interleukin-1 receptor 1 (IL-1R1), inhibiting the signaling of the cytokines IL-1α and IL-1β. Kiniksa believes KPL-387 could expand the treatment options for recurrent pericarditis patients by potentially enabling dosing with a single monthly SC self-injection in a liquid formulation. In October 2025, the FDA granted Orphan Drug Designation to KPL-387 for the treatment of pericarditis.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About PASTORALE</w:t>
      </w:r>
    </w:p>
    <w:p>
      <w:pPr>
        <w:pStyle w:val="TextBody"/>
        <w:bidi w:val="0"/>
        <w:spacing w:lineRule="auto" w:line="285" w:before="0" w:after="0"/>
        <w:ind w:left="0" w:right="0" w:hanging="0"/>
        <w:jc w:val="left"/>
        <w:rPr>
          <w:rFonts w:ascii="Palatino Linotype" w:hAnsi="Palatino Linotype"/>
          <w:sz w:val="24"/>
        </w:rPr>
      </w:pPr>
      <w:r>
        <w:rPr>
          <w:rFonts w:ascii="Palatino Linotype" w:hAnsi="Palatino Linotype"/>
          <w:sz w:val="24"/>
        </w:rPr>
        <w:t>PASTORALE is a double-blind, placebo controlled, randomized withdrawal (RW) study enrolling up to approximately 85 patients with recurrent pericarditis. In the first period, a single-blind run-in (RI), all participants will receive KPL-387 while conventional oral pericarditis medications are weaned and discontinued. Participants achieving Clinical Response in the RI period will then be randomized in a 1:1 ratio to receive either KPL-387 300 mg SC once-monthly or placebo in an event-driven, double-blind, RW period. The primary efficacy endpoint is time to first-adjudicated pericarditis recurrence during the RW period. Participants in the RW period may be eligible to enter a long-term extension.</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b/>
          <w:sz w:val="24"/>
          <w:shd w:fill="FFFFFF" w:val="clear"/>
        </w:rPr>
      </w:pPr>
      <w:r>
        <w:rPr>
          <w:rFonts w:ascii="Palatino Linotype" w:hAnsi="Palatino Linotype"/>
          <w:b/>
          <w:sz w:val="24"/>
          <w:shd w:fill="FFFFFF" w:val="clear"/>
        </w:rPr>
        <w:t>About KPL-1161</w:t>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KPL-1161 is an independently developed, investigational, Fc-modified IgG2 monoclonal antibody that binds IL-1R1, inhibiting the signaling of the cytokines IL-1α and IL-1β, with a target profile of quarterly SC dosing. Kiniksa is currently engaging in preclinical development activities for KPL-1161.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Forward-Looking Statements</w:t>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This press release contains forward-looking statements. In some cases, you can identify forward 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All statements contained in this press release that do not relate to matters of historical fact should be considered forward-looking statements, including without limitation, statements regarding: our expectation that ARCALYST 2026 net product revenue will be between $980 million and $995 million; our expectation to begin commercialization of KPL-387 in 2028 or 2029; our belief that we are on track to initiate a Phase 1 first-in-human clinical trial of KPL-1161 by the end of 2026; our expectation that our current operating plan will remain cash flow positive on an annual basis; our target profile of quarterly subcutaneous dosing for KPL-1161; our beliefs about the mechanisms of our assets and potential impact of their approach; statements regarding our belief about the future of our commercial opportunities; and our belief that our portfolio of assets offers the potential for differentiation.</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 xml:space="preserve">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different from any future results, performance or achievements expressed or implied by the forward-looking statements, including without limitation, the following: delays or difficulty in enrollment of patients in, and activation or continuation of sites for, our clinical trials; delays or difficulty in completing our clinical trials as originally designed; potential for changes between final data and any preliminary, interim, top-line or other data from clinical trials, including the data from the interval analysis of our Phase 2 clinical trial of KPL-387 in recurrent pericarditis; our inability to replicate results from our earlier clinical trials or studies; impact of additional data from us or other companies, including the potential for our data to produce negative, inconclusive or commercially uncompetitive results; our reliance on third parties to conduct research, clinical trials, and/or certain regulatory activities for our product candidates; complications in coordinating requirements, regulations and guidelines of regulatory authorities across jurisdictions for our clinical trials; potential undesirable side effects caused by our products and product candidates; our inability to demonstrate safety and efficacy to the satisfaction of applicable regulatory authorities; potential for applicable regulatory authorities to not accept our filings, delay or deny approval of any of our product candidates or require additional data or trials to support approval; our reliance on third parties as the sole source of supply of the drug substance and drug product used in our products and product candidates; raw material, important ancillary product and drug substance and/or drug product shortages; business development activities and their impact on our financial performance and strategy; changes in our operating plan, business development strategy or funding requirements; existing or new competition; current and future healthcare reforms, including those affecting the delivery of or payment for healthcare products and services; and the impact of global economic policy, including any uncertainty in national and international markets.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Palatino Linotype" w:hAnsi="Palatino Linotype"/>
          <w:sz w:val="24"/>
          <w:shd w:fill="FFFFFF" w:val="clear"/>
        </w:rPr>
      </w:pPr>
      <w:r>
        <w:rPr>
          <w:rFonts w:ascii="Palatino Linotype" w:hAnsi="Palatino Linotype"/>
          <w:sz w:val="24"/>
          <w:shd w:fill="FFFFFF" w:val="clear"/>
        </w:rPr>
        <w:t>These and other important factors discussed in our filings with the U.S. Securities and Exchange Commission, including under the caption “Risk Factors” contained therein, could cause actual results to differ materially from those indicated by the forward-looking statements made in this press release. Any such forward-looking statements represent management’s estimates as of the date of this press release. Except as required by law, we disclaim any intention or obligation to update or revise any forward-looking statements. These forward-looking statements should not be relied upon as representing our views as of any date subsequent to the date of this press release.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Palatino Linotype" w:hAnsi="Palatino Linotype"/>
          <w:sz w:val="24"/>
        </w:rPr>
        <w:t>ARCALYST</w:t>
      </w:r>
      <w:r>
        <w:rPr>
          <w:rFonts w:ascii="Palatino Linotype" w:hAnsi="Palatino Linotype"/>
          <w:sz w:val="18"/>
        </w:rPr>
        <w:t>®</w:t>
      </w:r>
      <w:r>
        <w:rPr>
          <w:rFonts w:ascii="Times New Roman;Times;serif" w:hAnsi="Times New Roman;Times;serif"/>
          <w:sz w:val="20"/>
        </w:rPr>
        <w:t xml:space="preserve"> </w:t>
      </w:r>
      <w:r>
        <w:rPr>
          <w:rFonts w:ascii="Palatino Linotype" w:hAnsi="Palatino Linotype"/>
          <w:sz w:val="24"/>
        </w:rPr>
        <w:t>is a registered trademark of Regeneron Pharmaceuticals, Inc.</w:t>
      </w:r>
    </w:p>
    <w:p>
      <w:pPr>
        <w:pStyle w:val="TextBody"/>
        <w:bidi w:val="0"/>
        <w:spacing w:lineRule="auto" w:line="285" w:before="0" w:after="0"/>
        <w:ind w:left="0" w:right="0" w:hanging="0"/>
        <w:jc w:val="left"/>
        <w:rPr>
          <w:rFonts w:ascii="Times New Roman;Times;serif" w:hAnsi="Times New Roman;Times;serif"/>
          <w:sz w:val="20"/>
        </w:rPr>
      </w:pPr>
      <w:r>
        <w:rPr>
          <w:rFonts w:ascii="Arial;Helvetica;sans-serif" w:hAnsi="Arial;Helvetica;sans-serif"/>
          <w:b/>
          <w:i/>
          <w:color w:val="673060"/>
          <w:sz w:val="24"/>
        </w:rPr>
        <w:t>Every Second Counts!</w:t>
      </w:r>
      <w:r>
        <w:rPr>
          <w:rFonts w:ascii="Times New Roman;Times;serif" w:hAnsi="Times New Roman;Times;serif"/>
          <w:color w:val="673060"/>
          <w:sz w:val="20"/>
        </w:rPr>
        <w:t xml:space="preserve"> </w:t>
      </w:r>
      <w:r>
        <w:rPr>
          <w:rFonts w:ascii="Arial;Helvetica;sans-serif" w:hAnsi="Arial;Helvetica;sans-serif"/>
          <w:b/>
          <w:i/>
          <w:color w:val="673060"/>
          <w:sz w:val="18"/>
        </w:rPr>
        <w:t>®</w:t>
      </w:r>
    </w:p>
    <w:p>
      <w:pPr>
        <w:pStyle w:val="TextBody"/>
        <w:bidi w:val="0"/>
        <w:spacing w:lineRule="auto" w:line="285" w:before="0" w:after="0"/>
        <w:ind w:left="0" w:right="0" w:hanging="0"/>
        <w:jc w:val="left"/>
        <w:rPr>
          <w:rFonts w:ascii="Palatino Linotype" w:hAnsi="Palatino Linotype"/>
          <w:b/>
          <w:sz w:val="24"/>
        </w:rPr>
      </w:pPr>
      <w:r>
        <w:rPr>
          <w:rFonts w:ascii="Palatino Linotype" w:hAnsi="Palatino Linotype"/>
          <w:b/>
          <w:sz w:val="24"/>
        </w:rPr>
        <w:t>Kiniksa Investor &amp; Media Contact</w:t>
      </w:r>
    </w:p>
    <w:p>
      <w:pPr>
        <w:pStyle w:val="TextBody"/>
        <w:bidi w:val="0"/>
        <w:spacing w:lineRule="auto" w:line="285" w:before="0" w:after="0"/>
        <w:ind w:left="0" w:right="0" w:hanging="0"/>
        <w:jc w:val="left"/>
        <w:rPr>
          <w:rFonts w:ascii="Palatino Linotype" w:hAnsi="Palatino Linotype"/>
          <w:sz w:val="24"/>
        </w:rPr>
      </w:pPr>
      <w:r>
        <w:rPr>
          <w:rFonts w:ascii="Palatino Linotype" w:hAnsi="Palatino Linotype"/>
          <w:sz w:val="24"/>
        </w:rPr>
        <w:t>Jonathan Kirshenbaum</w:t>
      </w:r>
    </w:p>
    <w:p>
      <w:pPr>
        <w:pStyle w:val="TextBody"/>
        <w:bidi w:val="0"/>
        <w:spacing w:lineRule="auto" w:line="285" w:before="0" w:after="0"/>
        <w:ind w:left="0" w:right="0" w:hanging="0"/>
        <w:jc w:val="left"/>
        <w:rPr>
          <w:rFonts w:ascii="Palatino Linotype" w:hAnsi="Palatino Linotype"/>
          <w:sz w:val="24"/>
        </w:rPr>
      </w:pPr>
      <w:r>
        <w:rPr>
          <w:rFonts w:ascii="Palatino Linotype" w:hAnsi="Palatino Linotype"/>
          <w:sz w:val="24"/>
        </w:rPr>
        <w:t>(781) 829-3949</w:t>
      </w:r>
    </w:p>
    <w:p>
      <w:pPr>
        <w:pStyle w:val="TextBody"/>
        <w:bidi w:val="0"/>
        <w:spacing w:lineRule="auto" w:line="285" w:before="0" w:after="0"/>
        <w:ind w:left="0" w:right="0" w:hanging="0"/>
        <w:jc w:val="left"/>
        <w:rPr>
          <w:rFonts w:ascii="Palatino Linotype" w:hAnsi="Palatino Linotype"/>
          <w:sz w:val="24"/>
        </w:rPr>
      </w:pPr>
      <w:r>
        <w:rPr>
          <w:rFonts w:ascii="Palatino Linotype" w:hAnsi="Palatino Linotype"/>
          <w:sz w:val="24"/>
        </w:rPr>
        <w:t>jkirshenbaum@kiniksa.com</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90"/>
        <w:gridCol w:w="109"/>
        <w:gridCol w:w="211"/>
        <w:gridCol w:w="1036"/>
        <w:gridCol w:w="346"/>
        <w:gridCol w:w="211"/>
        <w:gridCol w:w="1036"/>
        <w:gridCol w:w="109"/>
        <w:gridCol w:w="211"/>
        <w:gridCol w:w="1036"/>
        <w:gridCol w:w="346"/>
        <w:gridCol w:w="211"/>
        <w:gridCol w:w="1153"/>
      </w:tblGrid>
      <w:tr>
        <w:trPr/>
        <w:tc>
          <w:tcPr>
            <w:tcW w:w="4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660650" cy="175260"/>
                      <wp:effectExtent l="0" t="0" r="0" b="0"/>
                      <wp:wrapNone/>
                      <wp:docPr id="7" name="Frame5"/>
                      <a:graphic xmlns:a="http://schemas.openxmlformats.org/drawingml/2006/main">
                        <a:graphicData uri="http://schemas.microsoft.com/office/word/2010/wordprocessingShape">
                          <wps:wsp>
                            <wps:cNvSpPr txBox="1"/>
                            <wps:spPr>
                              <a:xfrm>
                                <a:off x="0" y="0"/>
                                <a:ext cx="2660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8"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9"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10" name="Frame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1"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2"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3" name="Frame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4"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5"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6"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7"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8"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32155" cy="175260"/>
                      <wp:effectExtent l="0" t="0" r="0" b="0"/>
                      <wp:wrapNone/>
                      <wp:docPr id="19" name="Frame17"/>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205" w:type="dxa"/>
            <w:gridSpan w:val="13"/>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KINIKSA PHARMACEUTICALS INTERNATIONAL, PLC</w:t>
            </w:r>
          </w:p>
        </w:tc>
      </w:tr>
      <w:tr>
        <w:trPr/>
        <w:tc>
          <w:tcPr>
            <w:tcW w:w="10205" w:type="dxa"/>
            <w:gridSpan w:val="13"/>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SELECTED CONDENSED CONSOLIDATED STATEMENTS OF OPERATIONS</w:t>
            </w:r>
          </w:p>
        </w:tc>
      </w:tr>
      <w:tr>
        <w:trPr/>
        <w:tc>
          <w:tcPr>
            <w:tcW w:w="10205" w:type="dxa"/>
            <w:gridSpan w:val="13"/>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tc>
      </w:tr>
      <w:tr>
        <w:trPr/>
        <w:tc>
          <w:tcPr>
            <w:tcW w:w="10205" w:type="dxa"/>
            <w:gridSpan w:val="13"/>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190"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153" w:type="dxa"/>
            <w:tcBorders/>
            <w:shd w:fill="FFFFFF" w:val="clear"/>
            <w:vAlign w:val="center"/>
          </w:tcPr>
          <w:p>
            <w:pPr>
              <w:pStyle w:val="TableContents"/>
              <w:bidi w:val="0"/>
              <w:spacing w:lineRule="auto" w:line="285" w:before="0" w:after="0"/>
              <w:ind w:left="0" w:right="0" w:hanging="0"/>
              <w:jc w:val="left"/>
              <w:rPr/>
            </w:pPr>
            <w:r>
              <w:rPr/>
              <w:t>​</w:t>
            </w:r>
          </w:p>
        </w:tc>
      </w:tr>
      <w:tr>
        <w:trPr/>
        <w:tc>
          <w:tcPr>
            <w:tcW w:w="4190"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036"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1153" w:type="dxa"/>
            <w:tcBorders/>
            <w:shd w:fill="FFFFFF" w:val="clear"/>
            <w:vAlign w:val="center"/>
          </w:tcPr>
          <w:p>
            <w:pPr>
              <w:pStyle w:val="TableContents"/>
              <w:bidi w:val="0"/>
              <w:spacing w:lineRule="auto" w:line="285" w:before="0" w:after="0"/>
              <w:ind w:left="0" w:right="0" w:hanging="0"/>
              <w:jc w:val="left"/>
              <w:rPr/>
            </w:pPr>
            <w:r>
              <w:rPr/>
              <w:t>​</w:t>
            </w:r>
          </w:p>
        </w:tc>
      </w:tr>
      <w:tr>
        <w:trPr/>
        <w:tc>
          <w:tcPr>
            <w:tcW w:w="4190"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840" w:type="dxa"/>
            <w:gridSpan w:val="5"/>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957" w:type="dxa"/>
            <w:gridSpan w:val="5"/>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190"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957" w:type="dxa"/>
            <w:gridSpan w:val="5"/>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190"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247" w:type="dxa"/>
            <w:gridSpan w:val="2"/>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247" w:type="dxa"/>
            <w:gridSpan w:val="2"/>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lineRule="auto" w:line="285" w:before="0" w:after="0"/>
              <w:ind w:left="0" w:right="0" w:hanging="0"/>
              <w:jc w:val="left"/>
              <w:rPr/>
            </w:pPr>
            <w:r>
              <w:rPr/>
              <w:t>  ​ ​ ​</w:t>
            </w:r>
          </w:p>
        </w:tc>
        <w:tc>
          <w:tcPr>
            <w:tcW w:w="1364" w:type="dxa"/>
            <w:gridSpan w:val="2"/>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103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1036"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103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1153" w:type="dxa"/>
            <w:tcBorders/>
            <w:shd w:fill="CCEEFF" w:val="clear"/>
            <w:vAlign w:val="center"/>
          </w:tcPr>
          <w:p>
            <w:pPr>
              <w:pStyle w:val="TableContents"/>
              <w:bidi w:val="0"/>
              <w:spacing w:lineRule="auto" w:line="285" w:before="0" w:after="0"/>
              <w:ind w:left="0" w:right="0" w:hanging="0"/>
              <w:jc w:val="center"/>
              <w:rPr/>
            </w:pPr>
            <w:r>
              <w:rPr/>
              <w:t>​</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53" w:type="dxa"/>
            <w:tcBorders/>
            <w:shd w:fill="CCEEFF" w:val="clear"/>
            <w:vAlign w:val="center"/>
          </w:tcPr>
          <w:p>
            <w:pPr>
              <w:pStyle w:val="TableContents"/>
              <w:bidi w:val="0"/>
              <w:spacing w:lineRule="auto" w:line="285" w:before="0" w:after="0"/>
              <w:ind w:left="0" w:right="0" w:hanging="0"/>
              <w:jc w:val="right"/>
              <w:rPr/>
            </w:pPr>
            <w:r>
              <w:rPr/>
              <w:t>  ​</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23,572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18,603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44,368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5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36,471</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88,069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52,418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163,646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96,208</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40,899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18,753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5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38,078</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90,393</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216,406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136,637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401,405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261,150</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33,432</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7,365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5,010</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22,877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38,442</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(5,713)</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(5,045)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(15,802)</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26,371</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ordinary shareholders—basic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ordinary shareholders—diluted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41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77,577,675</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73,438,530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77,050,036</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5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73,041,920</w:t>
            </w:r>
          </w:p>
        </w:tc>
      </w:tr>
      <w:tr>
        <w:trPr/>
        <w:tc>
          <w:tcPr>
            <w:tcW w:w="41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83,398,051</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77,942,082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82,902,904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76,984,393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tbl>
      <w:tblPr>
        <w:tblW w:w="7355" w:type="dxa"/>
        <w:jc w:val="left"/>
        <w:tblInd w:w="0" w:type="dxa"/>
        <w:tblLayout w:type="fixed"/>
        <w:tblCellMar>
          <w:top w:w="0" w:type="dxa"/>
          <w:left w:w="0" w:type="dxa"/>
          <w:bottom w:w="0" w:type="dxa"/>
          <w:right w:w="0" w:type="dxa"/>
        </w:tblCellMar>
      </w:tblPr>
      <w:tblGrid>
        <w:gridCol w:w="4246"/>
        <w:gridCol w:w="109"/>
        <w:gridCol w:w="109"/>
        <w:gridCol w:w="109"/>
        <w:gridCol w:w="109"/>
        <w:gridCol w:w="109"/>
        <w:gridCol w:w="109"/>
        <w:gridCol w:w="109"/>
        <w:gridCol w:w="931"/>
        <w:gridCol w:w="109"/>
        <w:gridCol w:w="130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696210" cy="175260"/>
                      <wp:effectExtent l="0" t="0" r="0" b="0"/>
                      <wp:wrapNone/>
                      <wp:docPr id="20" name="Frame18"/>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1"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2"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3"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4"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5"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7"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91185" cy="175260"/>
                      <wp:effectExtent l="0" t="0" r="0" b="0"/>
                      <wp:wrapNone/>
                      <wp:docPr id="28" name="Frame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9"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29310" cy="175260"/>
                      <wp:effectExtent l="0" t="0" r="0" b="0"/>
                      <wp:wrapNone/>
                      <wp:docPr id="30" name="Frame2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55" w:type="dxa"/>
            <w:gridSpan w:val="11"/>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KINIKSA PHARMACEUTICALS INTERNATIONAL, PLC</w:t>
            </w:r>
          </w:p>
        </w:tc>
      </w:tr>
      <w:tr>
        <w:trPr/>
        <w:tc>
          <w:tcPr>
            <w:tcW w:w="7355" w:type="dxa"/>
            <w:gridSpan w:val="11"/>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SELECTED CONDENSED CONSOLIDATED BALANCE SHEET DATA</w:t>
            </w:r>
          </w:p>
        </w:tc>
      </w:tr>
      <w:tr>
        <w:trPr/>
        <w:tc>
          <w:tcPr>
            <w:tcW w:w="7355" w:type="dxa"/>
            <w:gridSpan w:val="11"/>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7355" w:type="dxa"/>
            <w:gridSpan w:val="11"/>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931"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306" w:type="dxa"/>
            <w:tcBorders/>
            <w:shd w:fill="FFFFFF" w:val="clear"/>
            <w:vAlign w:val="center"/>
          </w:tcPr>
          <w:p>
            <w:pPr>
              <w:pStyle w:val="TableContents"/>
              <w:bidi w:val="0"/>
              <w:spacing w:lineRule="auto" w:line="285" w:before="0" w:after="0"/>
              <w:ind w:left="0" w:right="0" w:hanging="0"/>
              <w:jc w:val="left"/>
              <w:rPr/>
            </w:pPr>
            <w:r>
              <w:rPr/>
              <w:t>​</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931"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306" w:type="dxa"/>
            <w:tcBorders/>
            <w:shd w:fill="FFFFFF" w:val="clear"/>
            <w:vAlign w:val="center"/>
          </w:tcPr>
          <w:p>
            <w:pPr>
              <w:pStyle w:val="TableContents"/>
              <w:bidi w:val="0"/>
              <w:spacing w:lineRule="auto" w:line="285" w:before="0" w:after="0"/>
              <w:ind w:left="0" w:right="0" w:hanging="0"/>
              <w:jc w:val="left"/>
              <w:rPr/>
            </w:pPr>
            <w:r>
              <w:rPr/>
              <w:t>​</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2346" w:type="dxa"/>
            <w:gridSpan w:val="3"/>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931"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109" w:type="dxa"/>
            <w:tcBorders/>
            <w:shd w:fill="FFFFFF" w:val="clear"/>
            <w:vAlign w:val="center"/>
          </w:tcPr>
          <w:p>
            <w:pPr>
              <w:pStyle w:val="TableContents"/>
              <w:bidi w:val="0"/>
              <w:spacing w:lineRule="auto" w:line="285" w:before="0" w:after="0"/>
              <w:ind w:left="0" w:right="0" w:hanging="0"/>
              <w:jc w:val="center"/>
              <w:rPr/>
            </w:pPr>
            <w:r>
              <w:rPr/>
              <w:t>​</w:t>
            </w:r>
          </w:p>
        </w:tc>
        <w:tc>
          <w:tcPr>
            <w:tcW w:w="130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30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2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931"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1306" w:type="dxa"/>
            <w:tcBorders/>
            <w:shd w:fill="FFFFFF" w:val="clear"/>
            <w:vAlign w:val="center"/>
          </w:tcPr>
          <w:p>
            <w:pPr>
              <w:pStyle w:val="TableContents"/>
              <w:bidi w:val="0"/>
              <w:spacing w:lineRule="auto" w:line="285" w:before="0" w:after="0"/>
              <w:ind w:left="0" w:right="0" w:hanging="0"/>
              <w:jc w:val="left"/>
              <w:rPr/>
            </w:pPr>
            <w:r>
              <w:rPr/>
              <w:t>​</w:t>
            </w:r>
          </w:p>
        </w:tc>
      </w:tr>
      <w:tr>
        <w:trPr/>
        <w:tc>
          <w:tcPr>
            <w:tcW w:w="4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short-term investments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$ 525,928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$ 414,074</w:t>
            </w:r>
          </w:p>
        </w:tc>
      </w:tr>
      <w:tr>
        <w:trPr/>
        <w:tc>
          <w:tcPr>
            <w:tcW w:w="4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497,386 </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387,993 </w:t>
            </w:r>
          </w:p>
        </w:tc>
      </w:tr>
      <w:tr>
        <w:trPr/>
        <w:tc>
          <w:tcPr>
            <w:tcW w:w="4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896,110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763,633 </w:t>
            </w:r>
          </w:p>
        </w:tc>
      </w:tr>
      <w:tr>
        <w:trPr/>
        <w:tc>
          <w:tcPr>
            <w:tcW w:w="4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(414,114)</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(462,138)</w:t>
            </w:r>
          </w:p>
        </w:tc>
      </w:tr>
      <w:tr>
        <w:trPr/>
        <w:tc>
          <w:tcPr>
            <w:tcW w:w="4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654,149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 xml:space="preserve">567,606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Palatino Linotype">
    <w:charset w:val="01"/>
    <w:family w:val="auto"/>
    <w:pitch w:val="default"/>
  </w:font>
  <w:font w:name="Helvetica">
    <w:altName w:val="Arial"/>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3179</Words>
  <Characters>18565</Characters>
  <CharactersWithSpaces>21912</CharactersWithSpaces>
  <Paragraphs>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