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bottom w:val="single" w:sz="8" w:space="1" w:color="000000"/>
        </w:pBdr>
        <w:bidi w:val="0"/>
        <w:spacing w:lineRule="auto" w:line="285" w:before="0" w:after="0"/>
        <w:ind w:left="0" w:right="0" w:hanging="0"/>
        <w:jc w:val="left"/>
        <w:rPr/>
      </w:pPr>
      <w:bookmarkStart w:id="0" w:name="knsa-20261017x8k.htm"/>
      <w:bookmarkStart w:id="1" w:name="ksknsa20261017x8k"/>
      <w:bookmarkEnd w:id="0"/>
      <w:bookmarkEnd w:id="1"/>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32"/>
        </w:rPr>
      </w:pPr>
      <w:bookmarkStart w:id="2" w:name="_cc0e52f3_af5a_476d_9ad6_2a3724498e99"/>
      <w:bookmarkEnd w:id="2"/>
      <w:r>
        <w:rPr>
          <w:rFonts w:ascii="Times New Roman;Times;serif" w:hAnsi="Times New Roman;Times;serif"/>
          <w:b/>
          <w:sz w:val="32"/>
        </w:rPr>
        <w:t>UNITED STATES</w:t>
        <w:br/>
        <w:t>SECURITIES AND EXCHANGE COMMISSION</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WASHINGTON, D.C. 20549</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32"/>
        </w:rPr>
      </w:pPr>
      <w:r>
        <w:rPr>
          <w:rFonts w:ascii="Times New Roman;Times;serif" w:hAnsi="Times New Roman;Times;serif"/>
          <w:b/>
          <w:sz w:val="32"/>
        </w:rPr>
        <w:t>FORM 8-K</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lineRule="auto" w:line="285"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 of the Securities Exchange Act of 1934</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sz w:val="16"/>
        </w:rPr>
        <w:t xml:space="preserve">Date of Report (Date of earliest event reported): </w:t>
      </w:r>
      <w:r>
        <w:rPr>
          <w:rFonts w:ascii="Times New Roman;Times;serif" w:hAnsi="Times New Roman;Times;serif"/>
          <w:b/>
          <w:sz w:val="16"/>
        </w:rPr>
        <w:t>October 17, 2026</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32"/>
        </w:rPr>
      </w:pPr>
      <w:r>
        <w:rPr>
          <w:rFonts w:ascii="Times New Roman;Times;serif" w:hAnsi="Times New Roman;Times;serif"/>
          <w:b/>
          <w:sz w:val="32"/>
        </w:rPr>
        <w:t>Kiniksa Pharmaceuticals International, plc</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(Exact name of Registrant as Specified in Its Charter)</w:t>
      </w:r>
    </w:p>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3" w:name="Tc_5eIO1GMIVEiUmZeH_Y-vQg_2_4"/>
      <w:bookmarkStart w:id="4" w:name="Tc_Tc2SPVnR00mjkEtQVPuJbg_2_2"/>
      <w:bookmarkStart w:id="5" w:name="Tc_f0FG40hsnkiGh0oYmtQqEQ_2_0"/>
      <w:bookmarkStart w:id="6" w:name="_e92f8f98_b357_48c5_ae95_2f154d80fd2e"/>
      <w:bookmarkStart w:id="7" w:name="Tc_5eIO1GMIVEiUmZeH_Y-vQg_2_4"/>
      <w:bookmarkStart w:id="8" w:name="Tc_Tc2SPVnR00mjkEtQVPuJbg_2_2"/>
      <w:bookmarkStart w:id="9" w:name="Tc_f0FG40hsnkiGh0oYmtQqEQ_2_0"/>
      <w:bookmarkStart w:id="10" w:name="_e92f8f98_b357_48c5_ae95_2f154d80fd2e"/>
      <w:bookmarkEnd w:id="7"/>
      <w:bookmarkEnd w:id="8"/>
      <w:bookmarkEnd w:id="9"/>
      <w:bookmarkEnd w:id="10"/>
    </w:p>
    <w:tbl>
      <w:tblPr>
        <w:tblW w:w="5405" w:type="dxa"/>
        <w:jc w:val="left"/>
        <w:tblInd w:w="0" w:type="dxa"/>
        <w:tblLayout w:type="fixed"/>
        <w:tblCellMar>
          <w:top w:w="0" w:type="dxa"/>
          <w:left w:w="0" w:type="dxa"/>
          <w:bottom w:w="0" w:type="dxa"/>
          <w:right w:w="0" w:type="dxa"/>
        </w:tblCellMar>
      </w:tblPr>
      <w:tblGrid>
        <w:gridCol w:w="2236"/>
        <w:gridCol w:w="346"/>
        <w:gridCol w:w="1036"/>
        <w:gridCol w:w="346"/>
        <w:gridCol w:w="1441"/>
      </w:tblGrid>
      <w:tr>
        <w:trPr/>
        <w:tc>
          <w:tcPr>
            <w:tcW w:w="22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19710" cy="175260"/>
                      <wp:effectExtent l="0" t="0" r="0" b="0"/>
                      <wp:wrapNone/>
                      <wp:docPr id="1" name="Frame1"/>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lineRule="auto" w:line="285" w:before="0" w:after="0"/>
              <w:ind w:left="0" w:right="0" w:hanging="0"/>
              <w:jc w:val="left"/>
              <w:rPr/>
            </w:pPr>
            <w:r>
              <w:rPr/>
              <w:t>​</w: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19710" cy="175260"/>
                      <wp:effectExtent l="0" t="0" r="0" b="0"/>
                      <wp:wrapNone/>
                      <wp:docPr id="2" name="Frame2"/>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lineRule="auto" w:line="285"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lineRule="auto" w:line="285" w:before="0" w:after="0"/>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lineRule="auto" w:line="285" w:before="0" w:after="0"/>
              <w:ind w:left="0" w:right="0" w:hanging="0"/>
              <w:jc w:val="left"/>
              <w:rPr/>
            </w:pPr>
            <w:r>
              <w:rPr/>
              <w:t>​</w:t>
            </w:r>
          </w:p>
        </w:tc>
      </w:tr>
      <w:tr>
        <w:trPr/>
        <w:tc>
          <w:tcPr>
            <w:tcW w:w="2236"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England and Wales</w:t>
            </w:r>
          </w:p>
        </w:tc>
        <w:tc>
          <w:tcPr>
            <w:tcW w:w="346" w:type="dxa"/>
            <w:tcBorders/>
            <w:vAlign w:val="center"/>
          </w:tcPr>
          <w:p>
            <w:pPr>
              <w:pStyle w:val="TableContents"/>
              <w:bidi w:val="0"/>
              <w:spacing w:lineRule="auto" w:line="285" w:before="0" w:after="0"/>
              <w:ind w:left="0" w:right="0" w:hanging="0"/>
              <w:jc w:val="left"/>
              <w:rPr/>
            </w:pPr>
            <w:r>
              <w:rPr/>
              <w:t>  ​ ​ ​</w:t>
            </w:r>
          </w:p>
        </w:tc>
        <w:tc>
          <w:tcPr>
            <w:tcW w:w="1036"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001-730430</w:t>
            </w:r>
          </w:p>
        </w:tc>
        <w:tc>
          <w:tcPr>
            <w:tcW w:w="346" w:type="dxa"/>
            <w:tcBorders/>
            <w:vAlign w:val="center"/>
          </w:tcPr>
          <w:p>
            <w:pPr>
              <w:pStyle w:val="TableContents"/>
              <w:bidi w:val="0"/>
              <w:spacing w:lineRule="auto" w:line="285" w:before="0" w:after="0"/>
              <w:ind w:left="0" w:right="0" w:hanging="0"/>
              <w:jc w:val="left"/>
              <w:rPr/>
            </w:pPr>
            <w:r>
              <w:rPr/>
              <w:t>  ​ ​ ​</w:t>
            </w:r>
          </w:p>
        </w:tc>
        <w:tc>
          <w:tcPr>
            <w:tcW w:w="1441" w:type="dxa"/>
            <w:tcBorders/>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98-1795578</w:t>
            </w:r>
          </w:p>
        </w:tc>
      </w:tr>
      <w:tr>
        <w:trPr/>
        <w:tc>
          <w:tcPr>
            <w:tcW w:w="2236" w:type="dxa"/>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(State or other jurisdiction of</w:t>
              <w:br/>
              <w:t>incorporation or organization)</w:t>
            </w:r>
          </w:p>
        </w:tc>
        <w:tc>
          <w:tcPr>
            <w:tcW w:w="346" w:type="dxa"/>
            <w:tcBorders/>
            <w:vAlign w:val="center"/>
          </w:tcPr>
          <w:p>
            <w:pPr>
              <w:pStyle w:val="TableContents"/>
              <w:bidi w:val="0"/>
              <w:spacing w:lineRule="auto" w:line="285" w:before="0" w:after="0"/>
              <w:ind w:left="0" w:right="0" w:hanging="0"/>
              <w:jc w:val="left"/>
              <w:rPr/>
            </w:pPr>
            <w:r>
              <w:rPr/>
              <w:t>​</w:t>
            </w:r>
          </w:p>
        </w:tc>
        <w:tc>
          <w:tcPr>
            <w:tcW w:w="1036" w:type="dxa"/>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(Commission</w:t>
              <w:br/>
              <w:t>File Number)</w:t>
            </w:r>
          </w:p>
        </w:tc>
        <w:tc>
          <w:tcPr>
            <w:tcW w:w="346" w:type="dxa"/>
            <w:tcBorders/>
            <w:vAlign w:val="center"/>
          </w:tcPr>
          <w:p>
            <w:pPr>
              <w:pStyle w:val="TableContents"/>
              <w:bidi w:val="0"/>
              <w:spacing w:lineRule="auto" w:line="285" w:before="0" w:after="0"/>
              <w:ind w:left="0" w:right="0" w:hanging="0"/>
              <w:jc w:val="left"/>
              <w:rPr/>
            </w:pPr>
            <w:r>
              <w:rPr/>
              <w:t>​</w:t>
            </w:r>
          </w:p>
        </w:tc>
        <w:tc>
          <w:tcPr>
            <w:tcW w:w="1441" w:type="dxa"/>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(I.R.S. Employer</w:t>
              <w:br/>
              <w:t>Identification No.)</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105 Piccadilly, Second Floor</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London, W1J 7NJ</w:t>
      </w:r>
    </w:p>
    <w:p>
      <w:pPr>
        <w:pStyle w:val="TextBody"/>
        <w:bidi w:val="0"/>
        <w:spacing w:lineRule="auto" w:line="285" w:before="0" w:after="0"/>
        <w:ind w:left="0" w:right="0" w:hanging="0"/>
        <w:jc w:val="center"/>
        <w:rPr>
          <w:rFonts w:ascii="Times New Roman;Times;serif" w:hAnsi="Times New Roman;Times;serif"/>
          <w:sz w:val="20"/>
        </w:rPr>
      </w:pPr>
      <w:r>
        <w:rPr>
          <w:rFonts w:ascii="Times New Roman;Times;serif" w:hAnsi="Times New Roman;Times;serif"/>
          <w:b/>
          <w:sz w:val="16"/>
        </w:rPr>
        <w:t>England, United Kingdom</w:t>
      </w:r>
      <w:r>
        <w:rPr>
          <w:rFonts w:ascii="Times New Roman;Times;serif" w:hAnsi="Times New Roman;Times;serif"/>
          <w:sz w:val="20"/>
        </w:rPr>
        <w:t xml:space="preserve"> </w:t>
      </w:r>
      <w:r>
        <w:rPr>
          <w:rFonts w:ascii="Times New Roman;Times;serif" w:hAnsi="Times New Roman;Times;serif"/>
          <w:b/>
          <w:sz w:val="16"/>
        </w:rPr>
        <w:br/>
        <w:t>(781) 431-9100</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(Address, zip code and telephone number, including area code of principal executive offices)</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Kiniksa Pharmaceuticals Corp.</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100 Hayden Avenue</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Lexington, MA, 02421</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(781) 431-9100</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(Address, zip code and telephone number, including area code of agent for service)</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N/A</w:t>
      </w:r>
    </w:p>
    <w:p>
      <w:pPr>
        <w:pStyle w:val="TextBody"/>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(Former Name or Former Address, if Changed Since Last Report)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Check the appropriate box below if the Form 8-K filing is intended to simultaneously satisfy the filing obligation of the registrant under any of the following provisions</w:t>
      </w:r>
    </w:p>
    <w:p>
      <w:pPr>
        <w:pStyle w:val="TextBody"/>
        <w:bidi w:val="0"/>
        <w:spacing w:lineRule="auto" w:line="285" w:before="0" w:after="0"/>
        <w:ind w:left="0" w:right="0" w:hanging="0"/>
        <w:jc w:val="left"/>
        <w:rPr/>
      </w:pPr>
      <w:r>
        <w:rPr/>
        <w:t>​</w:t>
      </w:r>
    </w:p>
    <w:p>
      <w:pPr>
        <w:pStyle w:val="TextBody"/>
        <w:bidi w:val="0"/>
        <w:spacing w:lineRule="auto" w:line="285" w:before="0" w:after="0"/>
        <w:ind w:left="360" w:right="0" w:hanging="0"/>
        <w:jc w:val="left"/>
        <w:rPr/>
      </w:pPr>
      <w:r>
        <w:rPr>
          <w:caps w:val="false"/>
          <w:smallCaps w:val="false"/>
        </w:rPr>
        <w:t>☐</w:t>
      </w:r>
      <w:r>
        <w:rPr>
          <w:rFonts w:ascii="Times New Roman;Times;serif" w:hAnsi="Times New Roman;Times;serif"/>
          <w:sz w:val="16"/>
        </w:rPr>
        <w:t>Written communications pursuant to Rule 425 under the Securities Act (17 CFR 230.425)</w:t>
      </w:r>
    </w:p>
    <w:p>
      <w:pPr>
        <w:pStyle w:val="TextBody"/>
        <w:bidi w:val="0"/>
        <w:spacing w:lineRule="auto" w:line="285" w:before="0" w:after="0"/>
        <w:ind w:left="360" w:right="0" w:hanging="0"/>
        <w:jc w:val="left"/>
        <w:rPr/>
      </w:pPr>
      <w:r>
        <w:rPr/>
        <w:t>​</w:t>
      </w:r>
    </w:p>
    <w:p>
      <w:pPr>
        <w:pStyle w:val="TextBody"/>
        <w:bidi w:val="0"/>
        <w:spacing w:lineRule="auto" w:line="285" w:before="0" w:after="0"/>
        <w:ind w:left="360" w:right="0" w:hanging="0"/>
        <w:jc w:val="left"/>
        <w:rPr/>
      </w:pPr>
      <w:r>
        <w:rPr>
          <w:caps w:val="false"/>
          <w:smallCaps w:val="false"/>
        </w:rPr>
        <w:t>☐</w:t>
      </w:r>
      <w:r>
        <w:rPr>
          <w:rFonts w:ascii="Times New Roman;Times;serif" w:hAnsi="Times New Roman;Times;serif"/>
          <w:sz w:val="16"/>
        </w:rPr>
        <w:t>Soliciting material pursuant to Rule 14a-12 under the Exchange Act (17 CFR 240.14a-12)</w:t>
      </w:r>
    </w:p>
    <w:p>
      <w:pPr>
        <w:pStyle w:val="TextBody"/>
        <w:bidi w:val="0"/>
        <w:spacing w:lineRule="auto" w:line="285" w:before="0" w:after="0"/>
        <w:ind w:left="360" w:right="0" w:hanging="0"/>
        <w:jc w:val="left"/>
        <w:rPr/>
      </w:pPr>
      <w:r>
        <w:rPr/>
        <w:t>​</w:t>
      </w:r>
    </w:p>
    <w:p>
      <w:pPr>
        <w:pStyle w:val="TextBody"/>
        <w:bidi w:val="0"/>
        <w:spacing w:lineRule="auto" w:line="285" w:before="0" w:after="0"/>
        <w:ind w:left="360" w:right="0" w:hanging="0"/>
        <w:jc w:val="left"/>
        <w:rPr/>
      </w:pPr>
      <w:r>
        <w:rPr>
          <w:caps w:val="false"/>
          <w:smallCaps w:val="false"/>
        </w:rPr>
        <w:t>☐</w:t>
      </w:r>
      <w:r>
        <w:rPr>
          <w:rFonts w:ascii="Times New Roman;Times;serif" w:hAnsi="Times New Roman;Times;serif"/>
          <w:sz w:val="16"/>
        </w:rPr>
        <w:t>Pre-commencement communications pursuant to Rule 14d-2(b) under the Exchange Act (17 CFR 240.14d-2(b))</w:t>
      </w:r>
    </w:p>
    <w:p>
      <w:pPr>
        <w:pStyle w:val="TextBody"/>
        <w:bidi w:val="0"/>
        <w:spacing w:lineRule="auto" w:line="285" w:before="0" w:after="0"/>
        <w:ind w:left="360" w:right="0" w:hanging="0"/>
        <w:jc w:val="left"/>
        <w:rPr/>
      </w:pPr>
      <w:r>
        <w:rPr/>
        <w:t>​</w:t>
      </w:r>
    </w:p>
    <w:p>
      <w:pPr>
        <w:pStyle w:val="TextBody"/>
        <w:bidi w:val="0"/>
        <w:spacing w:lineRule="auto" w:line="285" w:before="0" w:after="0"/>
        <w:ind w:left="360" w:right="0" w:hanging="0"/>
        <w:jc w:val="left"/>
        <w:rPr/>
      </w:pPr>
      <w:r>
        <w:rPr>
          <w:caps w:val="false"/>
          <w:smallCaps w:val="false"/>
        </w:rPr>
        <w:t>☐</w:t>
      </w:r>
      <w:r>
        <w:rPr>
          <w:rFonts w:ascii="Times New Roman;Times;serif" w:hAnsi="Times New Roman;Times;serif"/>
          <w:sz w:val="16"/>
        </w:rPr>
        <w:t>Pre-commencement communications pursuant to Rule 13e-4(c) under the Exchange Act (17 CFR 240.13e-4(c))</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Securities registered pursuant to Section 12(b) of the Act:</w:t>
      </w:r>
    </w:p>
    <w:p>
      <w:pPr>
        <w:pStyle w:val="TextBody"/>
        <w:bidi w:val="0"/>
        <w:spacing w:lineRule="auto" w:line="285" w:before="0" w:after="0"/>
        <w:ind w:left="0" w:right="0" w:hanging="0"/>
        <w:jc w:val="left"/>
        <w:rPr/>
      </w:pPr>
      <w:r>
        <w:rPr/>
        <w:t>​</w:t>
      </w:r>
    </w:p>
    <w:p>
      <w:pPr>
        <w:pStyle w:val="Normal"/>
        <w:bidi w:val="0"/>
        <w:spacing w:before="0" w:after="0"/>
        <w:jc w:val="left"/>
        <w:rPr>
          <w:sz w:val="4"/>
          <w:szCs w:val="4"/>
        </w:rPr>
      </w:pPr>
      <w:r>
        <w:rPr>
          <w:sz w:val="4"/>
          <w:szCs w:val="4"/>
        </w:rPr>
      </w:r>
      <w:bookmarkStart w:id="11" w:name="Tc_KKoUyzJOBkaQKQWjh6CBPA_3_4"/>
      <w:bookmarkStart w:id="12" w:name="Tc_-7LpwpQeKk6YF2TE1WkEGg_1_4"/>
      <w:bookmarkStart w:id="13" w:name="Tc_7S9LIM-PpEGZjSYvj5gDOA_1_2"/>
      <w:bookmarkStart w:id="14" w:name="Tc_XP-tVXA0nkiyj78T3KoS5w_1_0"/>
      <w:bookmarkStart w:id="15" w:name="_8e051091_ec8f_45f5_ab91_37fb713a878c"/>
      <w:bookmarkStart w:id="16" w:name="Tc_KKoUyzJOBkaQKQWjh6CBPA_3_4"/>
      <w:bookmarkStart w:id="17" w:name="Tc_-7LpwpQeKk6YF2TE1WkEGg_1_4"/>
      <w:bookmarkStart w:id="18" w:name="Tc_7S9LIM-PpEGZjSYvj5gDOA_1_2"/>
      <w:bookmarkStart w:id="19" w:name="Tc_XP-tVXA0nkiyj78T3KoS5w_1_0"/>
      <w:bookmarkStart w:id="20" w:name="_8e051091_ec8f_45f5_ab91_37fb713a878c"/>
      <w:bookmarkEnd w:id="16"/>
      <w:bookmarkEnd w:id="17"/>
      <w:bookmarkEnd w:id="18"/>
      <w:bookmarkEnd w:id="19"/>
      <w:bookmarkEnd w:id="20"/>
    </w:p>
    <w:tbl>
      <w:tblPr>
        <w:tblW w:w="7985" w:type="dxa"/>
        <w:jc w:val="left"/>
        <w:tblInd w:w="0" w:type="dxa"/>
        <w:tblLayout w:type="fixed"/>
        <w:tblCellMar>
          <w:top w:w="0" w:type="dxa"/>
          <w:left w:w="0" w:type="dxa"/>
          <w:bottom w:w="0" w:type="dxa"/>
          <w:right w:w="0" w:type="dxa"/>
        </w:tblCellMar>
      </w:tblPr>
      <w:tblGrid>
        <w:gridCol w:w="3916"/>
        <w:gridCol w:w="346"/>
        <w:gridCol w:w="826"/>
        <w:gridCol w:w="346"/>
        <w:gridCol w:w="2551"/>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uto" w:line="285" w:before="0" w:after="0"/>
              <w:ind w:left="0" w:right="0" w:hanging="0"/>
              <w:jc w:val="left"/>
              <w:rPr/>
            </w:pPr>
            <w:r>
              <w:rPr/>
              <w:t>​</w:t>
            </w:r>
          </w:p>
        </w:tc>
        <w:tc>
          <w:tcPr>
            <w:tcW w:w="826" w:type="dxa"/>
            <w:tcBorders/>
            <w:vAlign w:val="center"/>
          </w:tcPr>
          <w:p>
            <w:pPr>
              <w:pStyle w:val="TableContents"/>
              <w:bidi w:val="0"/>
              <w:spacing w:before="0" w:after="283"/>
              <w:ind w:left="0" w:right="0" w:hanging="0"/>
              <w:jc w:val="left"/>
              <w:rPr>
                <w:sz w:val="4"/>
                <w:szCs w:val="4"/>
              </w:rPr>
            </w:pPr>
            <w:r>
              <w:rPr>
                <w:sz w:val="4"/>
                <w:szCs w:val="4"/>
              </w:rPr>
            </w:r>
          </w:p>
        </w:tc>
        <w:tc>
          <w:tcPr>
            <w:tcW w:w="346" w:type="dxa"/>
            <w:tcBorders/>
            <w:vAlign w:val="center"/>
          </w:tcPr>
          <w:p>
            <w:pPr>
              <w:pStyle w:val="TableContents"/>
              <w:bidi w:val="0"/>
              <w:spacing w:lineRule="auto" w:line="285" w:before="0" w:after="0"/>
              <w:ind w:left="0" w:right="0" w:hanging="0"/>
              <w:jc w:val="left"/>
              <w:rPr/>
            </w:pPr>
            <w:r>
              <w:rPr/>
              <w:t>​</w:t>
            </w:r>
          </w:p>
        </w:tc>
        <w:tc>
          <w:tcPr>
            <w:tcW w:w="2551" w:type="dxa"/>
            <w:tcBorders/>
            <w:vAlign w:val="center"/>
          </w:tcPr>
          <w:p>
            <w:pPr>
              <w:pStyle w:val="TableContents"/>
              <w:bidi w:val="0"/>
              <w:spacing w:before="0" w:after="283"/>
              <w:ind w:left="0" w:right="0" w:hanging="0"/>
              <w:jc w:val="left"/>
              <w:rPr>
                <w:sz w:val="4"/>
                <w:szCs w:val="4"/>
              </w:rPr>
            </w:pPr>
            <w:r>
              <w:rPr>
                <w:sz w:val="4"/>
                <w:szCs w:val="4"/>
              </w:rPr>
            </w:r>
          </w:p>
        </w:tc>
      </w:tr>
      <w:tr>
        <w:trPr/>
        <w:tc>
          <w:tcPr>
            <w:tcW w:w="391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vAlign w:val="center"/>
          </w:tcPr>
          <w:p>
            <w:pPr>
              <w:pStyle w:val="TableContents"/>
              <w:bidi w:val="0"/>
              <w:spacing w:lineRule="auto" w:line="285" w:before="0" w:after="0"/>
              <w:ind w:left="0" w:right="0" w:hanging="0"/>
              <w:jc w:val="center"/>
              <w:rPr/>
            </w:pPr>
            <w:r>
              <w:rPr/>
              <w:t>  ​ ​ ​</w:t>
            </w:r>
          </w:p>
        </w:tc>
        <w:tc>
          <w:tcPr>
            <w:tcW w:w="826"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Trading</w:t>
              <w:br/>
              <w:t>Symbol(s)</w:t>
            </w:r>
          </w:p>
        </w:tc>
        <w:tc>
          <w:tcPr>
            <w:tcW w:w="346" w:type="dxa"/>
            <w:tcBorders/>
            <w:vAlign w:val="center"/>
          </w:tcPr>
          <w:p>
            <w:pPr>
              <w:pStyle w:val="TableContents"/>
              <w:bidi w:val="0"/>
              <w:spacing w:lineRule="auto" w:line="285" w:before="0" w:after="0"/>
              <w:ind w:left="0" w:right="0" w:hanging="0"/>
              <w:jc w:val="center"/>
              <w:rPr/>
            </w:pPr>
            <w:r>
              <w:rPr/>
              <w:t>  ​ ​ ​</w:t>
            </w:r>
          </w:p>
        </w:tc>
        <w:tc>
          <w:tcPr>
            <w:tcW w:w="2551" w:type="dxa"/>
            <w:tcBorders>
              <w:bottom w:val="single" w:sz="2" w:space="0" w:color="000000"/>
            </w:tcBorders>
            <w:tcMar>
              <w:bottom w:w="28" w:type="dxa"/>
            </w:tcMar>
            <w:vAlign w:val="center"/>
          </w:tcPr>
          <w:p>
            <w:pPr>
              <w:pStyle w:val="TableContents"/>
              <w:bidi w:val="0"/>
              <w:spacing w:lineRule="auto" w:line="285"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w:t>
              <w:br/>
              <w:t>registered</w:t>
            </w:r>
          </w:p>
        </w:tc>
      </w:tr>
      <w:tr>
        <w:trPr/>
        <w:tc>
          <w:tcPr>
            <w:tcW w:w="3916"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Class A Ordinary Shares $0.000273235 nominal value</w:t>
            </w:r>
          </w:p>
        </w:tc>
        <w:tc>
          <w:tcPr>
            <w:tcW w:w="346" w:type="dxa"/>
            <w:tcBorders/>
            <w:vAlign w:val="center"/>
          </w:tcPr>
          <w:p>
            <w:pPr>
              <w:pStyle w:val="TableContents"/>
              <w:bidi w:val="0"/>
              <w:spacing w:lineRule="auto" w:line="285" w:before="0" w:after="0"/>
              <w:ind w:left="0" w:right="0" w:hanging="0"/>
              <w:jc w:val="center"/>
              <w:rPr/>
            </w:pPr>
            <w:r>
              <w:rPr/>
              <w:t>​</w:t>
            </w:r>
          </w:p>
        </w:tc>
        <w:tc>
          <w:tcPr>
            <w:tcW w:w="826"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KNSA</w:t>
            </w:r>
          </w:p>
        </w:tc>
        <w:tc>
          <w:tcPr>
            <w:tcW w:w="346" w:type="dxa"/>
            <w:tcBorders/>
            <w:vAlign w:val="center"/>
          </w:tcPr>
          <w:p>
            <w:pPr>
              <w:pStyle w:val="TableContents"/>
              <w:bidi w:val="0"/>
              <w:spacing w:lineRule="auto" w:line="285" w:before="0" w:after="0"/>
              <w:ind w:left="0" w:right="0" w:hanging="0"/>
              <w:jc w:val="center"/>
              <w:rPr/>
            </w:pPr>
            <w:r>
              <w:rPr/>
              <w:t>​</w:t>
            </w:r>
          </w:p>
        </w:tc>
        <w:tc>
          <w:tcPr>
            <w:tcW w:w="2551" w:type="dxa"/>
            <w:tcBorders>
              <w:top w:val="single" w:sz="2" w:space="0" w:color="000000"/>
            </w:tcBorders>
            <w:tcMar>
              <w:top w:w="28" w:type="dxa"/>
            </w:tcMar>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The Nasdaq Stock Market LLC</w:t>
            </w:r>
          </w:p>
        </w:tc>
      </w:tr>
      <w:tr>
        <w:trPr/>
        <w:tc>
          <w:tcPr>
            <w:tcW w:w="3916" w:type="dxa"/>
            <w:tcBorders/>
            <w:vAlign w:val="center"/>
          </w:tcPr>
          <w:p>
            <w:pPr>
              <w:pStyle w:val="TableContents"/>
              <w:bidi w:val="0"/>
              <w:spacing w:lineRule="auto" w:line="285" w:before="0" w:after="0"/>
              <w:ind w:left="0" w:right="0" w:hanging="0"/>
              <w:jc w:val="center"/>
              <w:rPr>
                <w:shd w:fill="00FF00" w:val="clear"/>
              </w:rPr>
            </w:pPr>
            <w:r>
              <w:rPr>
                <w:shd w:fill="00FF00" w:val="clear"/>
              </w:rPr>
              <w:t>​</w:t>
            </w:r>
          </w:p>
        </w:tc>
        <w:tc>
          <w:tcPr>
            <w:tcW w:w="346" w:type="dxa"/>
            <w:tcBorders/>
            <w:vAlign w:val="center"/>
          </w:tcPr>
          <w:p>
            <w:pPr>
              <w:pStyle w:val="TableContents"/>
              <w:bidi w:val="0"/>
              <w:spacing w:lineRule="auto" w:line="285" w:before="0" w:after="0"/>
              <w:ind w:left="0" w:right="0" w:hanging="0"/>
              <w:jc w:val="center"/>
              <w:rPr>
                <w:shd w:fill="00FF00" w:val="clear"/>
              </w:rPr>
            </w:pPr>
            <w:r>
              <w:rPr>
                <w:shd w:fill="00FF00" w:val="clear"/>
              </w:rPr>
              <w:t>​</w:t>
            </w:r>
          </w:p>
        </w:tc>
        <w:tc>
          <w:tcPr>
            <w:tcW w:w="826" w:type="dxa"/>
            <w:tcBorders/>
            <w:vAlign w:val="center"/>
          </w:tcPr>
          <w:p>
            <w:pPr>
              <w:pStyle w:val="TableContents"/>
              <w:bidi w:val="0"/>
              <w:spacing w:lineRule="auto" w:line="285" w:before="0" w:after="0"/>
              <w:ind w:left="0" w:right="0" w:hanging="0"/>
              <w:jc w:val="center"/>
              <w:rPr>
                <w:shd w:fill="00FF00" w:val="clear"/>
              </w:rPr>
            </w:pPr>
            <w:r>
              <w:rPr>
                <w:shd w:fill="00FF00" w:val="clear"/>
              </w:rPr>
              <w:t>​</w:t>
            </w:r>
          </w:p>
        </w:tc>
        <w:tc>
          <w:tcPr>
            <w:tcW w:w="346" w:type="dxa"/>
            <w:tcBorders/>
            <w:vAlign w:val="center"/>
          </w:tcPr>
          <w:p>
            <w:pPr>
              <w:pStyle w:val="TableContents"/>
              <w:bidi w:val="0"/>
              <w:spacing w:lineRule="auto" w:line="285" w:before="0" w:after="0"/>
              <w:ind w:left="0" w:right="0" w:hanging="0"/>
              <w:jc w:val="center"/>
              <w:rPr/>
            </w:pPr>
            <w:r>
              <w:rPr/>
              <w:t>​</w:t>
            </w:r>
          </w:p>
        </w:tc>
        <w:tc>
          <w:tcPr>
            <w:tcW w:w="2551" w:type="dxa"/>
            <w:tcBorders/>
            <w:vAlign w:val="center"/>
          </w:tcPr>
          <w:p>
            <w:pPr>
              <w:pStyle w:val="TableContents"/>
              <w:bidi w:val="0"/>
              <w:spacing w:lineRule="auto" w:line="285" w:before="0" w:after="0"/>
              <w:ind w:left="0" w:right="0" w:hanging="0"/>
              <w:jc w:val="center"/>
              <w:rPr>
                <w:rFonts w:ascii="Times New Roman;Times;serif" w:hAnsi="Times New Roman;Times;serif"/>
                <w:sz w:val="16"/>
              </w:rPr>
            </w:pPr>
            <w:r>
              <w:rPr>
                <w:rFonts w:ascii="Times New Roman;Times;serif" w:hAnsi="Times New Roman;Times;serif"/>
                <w:sz w:val="16"/>
              </w:rPr>
              <w:t>(Nasdaq Global Select Market)</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16"/>
        </w:rPr>
        <w:t xml:space="preserve">Emerging growth company </w:t>
      </w:r>
      <w:r>
        <w:rPr>
          <w:rFonts w:ascii="Times New Roman;Times;serif" w:hAnsi="Times New Roman;Times;serif"/>
          <w:sz w:val="20"/>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rFonts w:ascii="Times New Roman;Times;serif" w:hAnsi="Times New Roman;Times;serif"/>
          <w:sz w:val="16"/>
        </w:rPr>
      </w:pPr>
      <w:r>
        <w:rPr>
          <w:rFonts w:ascii="Times New Roman;Times;serif" w:hAnsi="Times New Roman;Time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5" w:before="0" w:after="0"/>
        <w:ind w:left="0" w:right="0" w:hanging="0"/>
        <w:jc w:val="left"/>
        <w:rPr/>
      </w:pPr>
      <w:r>
        <w:rPr/>
        <w:t>​</w:t>
      </w:r>
    </w:p>
    <w:p>
      <w:pPr>
        <w:pStyle w:val="TextBody"/>
        <w:pBdr>
          <w:top w:val="single" w:sz="8" w:space="1" w:color="000000"/>
          <w:bottom w:val="single" w:sz="24" w:space="1" w:color="000000"/>
        </w:pBdr>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rFonts w:ascii="Times New Roman;Times;serif" w:hAnsi="Times New Roman;Times;serif"/>
          <w:b/>
          <w:sz w:val="20"/>
        </w:rPr>
      </w:pPr>
      <w:bookmarkStart w:id="21" w:name="_0fdef63f_134a_4614_a74f_fd9911c840ae"/>
      <w:bookmarkEnd w:id="21"/>
      <w:r>
        <w:rPr>
          <w:rFonts w:ascii="Times New Roman;Times;serif" w:hAnsi="Times New Roman;Times;serif"/>
          <w:b/>
          <w:sz w:val="20"/>
        </w:rPr>
        <w:t>Item 5.02. Departure of Directors or Certain Officers; Election of Directors; Appointment of Certain Officers; Compensatory Arrangements of Certain Officers.</w:t>
      </w:r>
    </w:p>
    <w:p>
      <w:pPr>
        <w:pStyle w:val="TextBody"/>
        <w:bidi w:val="0"/>
        <w:spacing w:lineRule="auto" w:line="285" w:before="100" w:after="100"/>
        <w:ind w:left="0" w:right="0" w:hanging="0"/>
        <w:jc w:val="left"/>
        <w:rPr/>
      </w:pPr>
      <w:r>
        <w:rPr/>
        <w:t>​</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On October 17, 2026, the Compensation Committee (the “Committee”) of the Board of Directors of Kiniksa Pharmaceuticals International, plc (the “Company”) appointed Ross Moat as President and Chief Operating Officer, effective immediately. Mr. Moat will continue to report to Sanj K. Patel, the Company’s Chairman and Chief Executive Officer. In addition, effective January 1, 2027, the Committee approved increases in Mr. Moat’s annual base salary and annual target bonus to $700,000 and 60% from $650,000 and 55%, respectively.</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Mr. Moat has served in varying capacities at the Company since June 2019, most recently as the Company’s EVP, Chief Operating Officer. In his current position, Mr. Moat oversees the Company’s commercial, clinical, regulatory and manufacturing operations. Mr. Moat’s full biographical information is disclosed in the Company’s definitive proxy statement on Schedule 14A filed with the Securities and Exchange Commission on April 16, 2026.</w:t>
      </w:r>
    </w:p>
    <w:p>
      <w:pPr>
        <w:pStyle w:val="TextBody"/>
        <w:bidi w:val="0"/>
        <w:spacing w:lineRule="auto" w:line="285" w:before="0" w:after="240"/>
        <w:ind w:left="0" w:right="0" w:hanging="0"/>
        <w:jc w:val="left"/>
        <w:rPr>
          <w:rFonts w:ascii="Times New Roman;Times;serif" w:hAnsi="Times New Roman;Times;serif"/>
          <w:sz w:val="20"/>
        </w:rPr>
      </w:pPr>
      <w:r>
        <w:rPr>
          <w:rFonts w:ascii="Times New Roman;Times;serif" w:hAnsi="Times New Roman;Times;serif"/>
          <w:sz w:val="20"/>
        </w:rPr>
        <w:t>There are no family relationships between Mr. Moat and any director or executive officer of the Company. There are no related party transactions involving Mr. Moat and the Company requiring disclosure under Item 404(a) of Regulation S-K.</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240"/>
        <w:ind w:left="0" w:right="0" w:hanging="0"/>
        <w:jc w:val="center"/>
        <w:rPr>
          <w:rFonts w:ascii="Times New Roman;Times;serif" w:hAnsi="Times New Roman;Times;serif"/>
          <w:b/>
          <w:sz w:val="20"/>
        </w:rPr>
      </w:pPr>
      <w:bookmarkStart w:id="22" w:name="_cf98a677_4a89_452a_9b21_1810930b1a27"/>
      <w:bookmarkEnd w:id="22"/>
      <w:r>
        <w:rPr>
          <w:rFonts w:ascii="Times New Roman;Times;serif" w:hAnsi="Times New Roman;Times;serif"/>
          <w:b/>
          <w:sz w:val="20"/>
        </w:rPr>
        <w:t>SIGNATURES</w:t>
      </w:r>
    </w:p>
    <w:p>
      <w:pPr>
        <w:pStyle w:val="TextBody"/>
        <w:bidi w:val="0"/>
        <w:spacing w:lineRule="auto" w:line="285" w:before="0" w:after="0"/>
        <w:ind w:left="0" w:right="0" w:firstLine="36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5" w:before="0" w:after="0"/>
        <w:ind w:left="0" w:right="0" w:hanging="0"/>
        <w:jc w:val="left"/>
        <w:rPr/>
      </w:pPr>
      <w:r>
        <w:rPr/>
        <w:t>​</w:t>
      </w:r>
    </w:p>
    <w:tbl>
      <w:tblPr>
        <w:tblW w:w="6901" w:type="dxa"/>
        <w:jc w:val="left"/>
        <w:tblInd w:w="0" w:type="dxa"/>
        <w:tblLayout w:type="fixed"/>
        <w:tblCellMar>
          <w:top w:w="0" w:type="dxa"/>
          <w:left w:w="0" w:type="dxa"/>
          <w:bottom w:w="0" w:type="dxa"/>
          <w:right w:w="0" w:type="dxa"/>
        </w:tblCellMar>
      </w:tblPr>
      <w:tblGrid>
        <w:gridCol w:w="2011"/>
        <w:gridCol w:w="503"/>
        <w:gridCol w:w="4387"/>
      </w:tblGrid>
      <w:tr>
        <w:trPr/>
        <w:tc>
          <w:tcPr>
            <w:tcW w:w="2011" w:type="dxa"/>
            <w:tcBorders/>
            <w:vAlign w:val="center"/>
          </w:tcPr>
          <w:p>
            <w:pPr>
              <w:pStyle w:val="TableContents"/>
              <w:bidi w:val="0"/>
              <w:spacing w:lineRule="auto" w:line="285" w:before="0" w:after="0"/>
              <w:ind w:left="0" w:right="0" w:hanging="0"/>
              <w:jc w:val="left"/>
              <w:rPr/>
            </w:pPr>
            <w:r>
              <w:rPr/>
              <w:t>​</w:t>
            </w:r>
          </w:p>
        </w:tc>
        <w:tc>
          <w:tcPr>
            <w:tcW w:w="4890" w:type="dxa"/>
            <w:gridSpan w:val="2"/>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KINIKSA PHARMACEUTICALS INTERNATIONAL, PLC</w: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4890" w:type="dxa"/>
            <w:gridSpan w:val="2"/>
            <w:tcBorders/>
            <w:vAlign w:val="center"/>
          </w:tcPr>
          <w:p>
            <w:pPr>
              <w:pStyle w:val="TableContents"/>
              <w:bidi w:val="0"/>
              <w:spacing w:lineRule="auto" w:line="285" w:before="0" w:after="0"/>
              <w:ind w:left="0" w:right="0" w:hanging="0"/>
              <w:jc w:val="left"/>
              <w:rPr/>
            </w:pPr>
            <w:r>
              <w:rPr/>
              <w:t>​</w:t>
            </w:r>
          </w:p>
        </w:tc>
      </w:tr>
      <w:tr>
        <w:trPr/>
        <w:tc>
          <w:tcPr>
            <w:tcW w:w="2011" w:type="dxa"/>
            <w:tcBorders/>
            <w:vAlign w:val="center"/>
          </w:tcPr>
          <w:p>
            <w:pPr>
              <w:pStyle w:val="TableContents"/>
              <w:pBdr/>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Date: October 22, 2026</w:t>
            </w:r>
          </w:p>
        </w:tc>
        <w:tc>
          <w:tcPr>
            <w:tcW w:w="503"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387" w:type="dxa"/>
            <w:tcBorders>
              <w:bottom w:val="single" w:sz="2" w:space="0" w:color="000000"/>
            </w:tcBorders>
            <w:tcMar>
              <w:bottom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 Douglas Barry</w: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503" w:type="dxa"/>
            <w:tcBorders/>
            <w:vAlign w:val="center"/>
          </w:tcPr>
          <w:p>
            <w:pPr>
              <w:pStyle w:val="TableContents"/>
              <w:bidi w:val="0"/>
              <w:spacing w:lineRule="auto" w:line="285" w:before="0" w:after="0"/>
              <w:ind w:left="0" w:right="0" w:hanging="0"/>
              <w:jc w:val="left"/>
              <w:rPr/>
            </w:pPr>
            <w:r>
              <w:rPr/>
              <w:t>​</w:t>
            </w:r>
          </w:p>
        </w:tc>
        <w:tc>
          <w:tcPr>
            <w:tcW w:w="4387" w:type="dxa"/>
            <w:tcBorders>
              <w:top w:val="single" w:sz="2" w:space="0" w:color="000000"/>
            </w:tcBorders>
            <w:tcMar>
              <w:top w:w="28" w:type="dxa"/>
            </w:tcMar>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Douglas Barry</w:t>
            </w:r>
          </w:p>
        </w:tc>
      </w:tr>
      <w:tr>
        <w:trPr/>
        <w:tc>
          <w:tcPr>
            <w:tcW w:w="2011" w:type="dxa"/>
            <w:tcBorders/>
            <w:vAlign w:val="center"/>
          </w:tcPr>
          <w:p>
            <w:pPr>
              <w:pStyle w:val="TableContents"/>
              <w:bidi w:val="0"/>
              <w:spacing w:lineRule="auto" w:line="285" w:before="0" w:after="0"/>
              <w:ind w:left="0" w:right="0" w:hanging="0"/>
              <w:jc w:val="left"/>
              <w:rPr/>
            </w:pPr>
            <w:r>
              <w:rPr/>
              <w:t>​</w:t>
            </w:r>
          </w:p>
        </w:tc>
        <w:tc>
          <w:tcPr>
            <w:tcW w:w="503" w:type="dxa"/>
            <w:tcBorders/>
            <w:vAlign w:val="center"/>
          </w:tcPr>
          <w:p>
            <w:pPr>
              <w:pStyle w:val="TableContents"/>
              <w:bidi w:val="0"/>
              <w:spacing w:lineRule="auto" w:line="285" w:before="0" w:after="0"/>
              <w:ind w:left="0" w:right="0" w:hanging="0"/>
              <w:jc w:val="left"/>
              <w:rPr/>
            </w:pPr>
            <w:r>
              <w:rPr/>
              <w:t>​</w:t>
            </w:r>
          </w:p>
        </w:tc>
        <w:tc>
          <w:tcPr>
            <w:tcW w:w="4387" w:type="dxa"/>
            <w:tcBorders/>
            <w:vAlign w:val="center"/>
          </w:tcPr>
          <w:p>
            <w:pPr>
              <w:pStyle w:val="TableContents"/>
              <w:bidi w:val="0"/>
              <w:spacing w:lineRule="auto" w:line="285" w:before="0" w:after="0"/>
              <w:ind w:left="0" w:right="0" w:hanging="0"/>
              <w:jc w:val="left"/>
              <w:rPr>
                <w:rFonts w:ascii="Times New Roman;Times;serif" w:hAnsi="Times New Roman;Times;serif"/>
                <w:sz w:val="20"/>
              </w:rPr>
            </w:pPr>
            <w:r>
              <w:rPr>
                <w:rFonts w:ascii="Times New Roman;Times;serif" w:hAnsi="Times New Roman;Times;serif"/>
                <w:sz w:val="20"/>
              </w:rPr>
              <w:t>Senior Vice President, Chief Legal Officer</w:t>
            </w:r>
          </w:p>
        </w:tc>
      </w:tr>
    </w:tbl>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p>
      <w:pPr>
        <w:pStyle w:val="TextBody"/>
        <w:bidi w:val="0"/>
        <w:spacing w:lineRule="auto" w:line="285" w:before="0" w:after="0"/>
        <w:ind w:left="0" w:right="0" w:hanging="0"/>
        <w:jc w:val="left"/>
        <w:rPr/>
      </w:pPr>
      <w:r>
        <w:rPr/>
        <w:t>​</w:t>
      </w:r>
    </w:p>
    <w:p>
      <w:pPr>
        <w:pStyle w:val="TextBody"/>
        <w:bidi w:val="0"/>
        <w:spacing w:lineRule="auto" w:line="285" w:before="0" w:after="0"/>
        <w:ind w:left="0" w:right="0" w:hanging="0"/>
        <w:jc w:val="center"/>
        <w:rPr/>
      </w:pPr>
      <w:r>
        <w:rPr/>
        <w: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584</Words>
  <Characters>3352</Characters>
  <CharactersWithSpaces>3968</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