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lineRule="auto" w:line="285" w:before="0" w:after="0"/>
        <w:ind w:left="0" w:right="0" w:hanging="0"/>
        <w:jc w:val="left"/>
        <w:rPr/>
      </w:pPr>
      <w:bookmarkStart w:id="0" w:name="knsa-20260430x8k.htm"/>
      <w:bookmarkStart w:id="1" w:name="ksknsa20260430x8k"/>
      <w:bookmarkEnd w:id="0"/>
      <w:bookmarkEnd w:id="1"/>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32"/>
        </w:rPr>
      </w:pPr>
      <w:bookmarkStart w:id="2" w:name="_900a8a5b_f4e9_4437_8765_130ea9f3b076"/>
      <w:bookmarkEnd w:id="2"/>
      <w:r>
        <w:rPr>
          <w:rFonts w:ascii="Times New Roman;Times;serif" w:hAnsi="Times New Roman;Times;serif"/>
          <w:b/>
          <w:sz w:val="32"/>
        </w:rPr>
        <w:t>UNITED STATES</w:t>
        <w:br/>
        <w:t>SECURITIES AND EXCHANGE COMMISSION</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32"/>
        </w:rPr>
      </w:pPr>
      <w:r>
        <w:rPr>
          <w:rFonts w:ascii="Times New Roman;Times;serif" w:hAnsi="Times New Roman;Times;serif"/>
          <w:b/>
          <w:sz w:val="32"/>
        </w:rPr>
        <w:t>FORM 8-K</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16"/>
        </w:rPr>
        <w:t xml:space="preserve">Date of Report (Date of earliest event reported): </w:t>
      </w:r>
      <w:r>
        <w:rPr>
          <w:rFonts w:ascii="Times New Roman;Times;serif" w:hAnsi="Times New Roman;Times;serif"/>
          <w:b/>
          <w:sz w:val="16"/>
        </w:rPr>
        <w:t>April 30, 2026</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32"/>
        </w:rPr>
      </w:pPr>
      <w:r>
        <w:rPr>
          <w:rFonts w:ascii="Times New Roman;Times;serif" w:hAnsi="Times New Roman;Times;serif"/>
          <w:b/>
          <w:sz w:val="32"/>
        </w:rPr>
        <w:t>Kiniksa Pharmaceuticals International, plc</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3" w:name="Tc_30MHzm2CCE2to_j1qdUpIg_2_4"/>
      <w:bookmarkStart w:id="4" w:name="Tc_zhOmfpcx9kGoytUhr3CvuA_2_2"/>
      <w:bookmarkStart w:id="5" w:name="Tc_s0tWbWOqTEO6LTR1KFw8Tw_2_0"/>
      <w:bookmarkStart w:id="6" w:name="_e92f8f98_b357_48c5_ae95_2f154d80fd2e"/>
      <w:bookmarkStart w:id="7" w:name="Tc_30MHzm2CCE2to_j1qdUpIg_2_4"/>
      <w:bookmarkStart w:id="8" w:name="Tc_zhOmfpcx9kGoytUhr3CvuA_2_2"/>
      <w:bookmarkStart w:id="9" w:name="Tc_s0tWbWOqTEO6LTR1KFw8Tw_2_0"/>
      <w:bookmarkStart w:id="10" w:name="_e92f8f98_b357_48c5_ae95_2f154d80fd2e"/>
      <w:bookmarkEnd w:id="7"/>
      <w:bookmarkEnd w:id="8"/>
      <w:bookmarkEnd w:id="9"/>
      <w:bookmarkEnd w:id="10"/>
    </w:p>
    <w:tbl>
      <w:tblPr>
        <w:tblW w:w="5405" w:type="dxa"/>
        <w:jc w:val="left"/>
        <w:tblInd w:w="0" w:type="dxa"/>
        <w:tblLayout w:type="fixed"/>
        <w:tblCellMar>
          <w:top w:w="0" w:type="dxa"/>
          <w:left w:w="0" w:type="dxa"/>
          <w:bottom w:w="0" w:type="dxa"/>
          <w:right w:w="0" w:type="dxa"/>
        </w:tblCellMar>
      </w:tblPr>
      <w:tblGrid>
        <w:gridCol w:w="2236"/>
        <w:gridCol w:w="346"/>
        <w:gridCol w:w="1036"/>
        <w:gridCol w:w="346"/>
        <w:gridCol w:w="1441"/>
      </w:tblGrid>
      <w:tr>
        <w:trPr/>
        <w:tc>
          <w:tcPr>
            <w:tcW w:w="22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9710" cy="175260"/>
                      <wp:effectExtent l="0" t="0" r="0" b="0"/>
                      <wp:wrapNone/>
                      <wp:docPr id="1" name="Frame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lineRule="auto" w:line="285" w:before="0" w:after="0"/>
              <w:ind w:left="0" w:right="0" w:hanging="0"/>
              <w:jc w:val="left"/>
              <w:rPr/>
            </w:pPr>
            <w:r>
              <w:rPr/>
              <w:t>​</w:t>
            </w:r>
          </w:p>
        </w:tc>
      </w:tr>
      <w:tr>
        <w:trPr/>
        <w:tc>
          <w:tcPr>
            <w:tcW w:w="2236"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England and Wales</w:t>
            </w:r>
          </w:p>
        </w:tc>
        <w:tc>
          <w:tcPr>
            <w:tcW w:w="346" w:type="dxa"/>
            <w:tcBorders/>
            <w:vAlign w:val="center"/>
          </w:tcPr>
          <w:p>
            <w:pPr>
              <w:pStyle w:val="TableContents"/>
              <w:bidi w:val="0"/>
              <w:spacing w:lineRule="auto" w:line="285" w:before="0" w:after="0"/>
              <w:ind w:left="0" w:right="0" w:hanging="0"/>
              <w:jc w:val="left"/>
              <w:rPr/>
            </w:pPr>
            <w:r>
              <w:rPr/>
              <w:t>  ​ ​ ​</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001-730430</w:t>
            </w:r>
          </w:p>
        </w:tc>
        <w:tc>
          <w:tcPr>
            <w:tcW w:w="346" w:type="dxa"/>
            <w:tcBorders/>
            <w:vAlign w:val="center"/>
          </w:tcPr>
          <w:p>
            <w:pPr>
              <w:pStyle w:val="TableContents"/>
              <w:bidi w:val="0"/>
              <w:spacing w:lineRule="auto" w:line="285" w:before="0" w:after="0"/>
              <w:ind w:left="0" w:right="0" w:hanging="0"/>
              <w:jc w:val="left"/>
              <w:rPr/>
            </w:pPr>
            <w:r>
              <w:rPr/>
              <w:t>  ​ ​ ​</w:t>
            </w:r>
          </w:p>
        </w:tc>
        <w:tc>
          <w:tcPr>
            <w:tcW w:w="144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98-1795578</w:t>
            </w:r>
          </w:p>
        </w:tc>
      </w:tr>
      <w:tr>
        <w:trPr/>
        <w:tc>
          <w:tcPr>
            <w:tcW w:w="2236"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br/>
              <w:t>incorporation or organization)</w:t>
            </w:r>
          </w:p>
        </w:tc>
        <w:tc>
          <w:tcPr>
            <w:tcW w:w="346"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(Commission</w:t>
              <w:br/>
              <w:t>File Number)</w:t>
            </w:r>
          </w:p>
        </w:tc>
        <w:tc>
          <w:tcPr>
            <w:tcW w:w="346" w:type="dxa"/>
            <w:tcBorders/>
            <w:vAlign w:val="center"/>
          </w:tcPr>
          <w:p>
            <w:pPr>
              <w:pStyle w:val="TableContents"/>
              <w:bidi w:val="0"/>
              <w:spacing w:lineRule="auto" w:line="285" w:before="0" w:after="0"/>
              <w:ind w:left="0" w:right="0" w:hanging="0"/>
              <w:jc w:val="left"/>
              <w:rPr/>
            </w:pPr>
            <w:r>
              <w:rPr/>
              <w:t>​</w:t>
            </w:r>
          </w:p>
        </w:tc>
        <w:tc>
          <w:tcPr>
            <w:tcW w:w="1441"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(I.R.S. Employer</w:t>
              <w:br/>
              <w:t>Identification No.)</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105 Piccadilly, Second Floor</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London, W1J 7NJ</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sz w:val="16"/>
        </w:rPr>
        <w:t>England, United Kingdom</w:t>
      </w:r>
      <w:r>
        <w:rPr>
          <w:rFonts w:ascii="Times New Roman;Times;serif" w:hAnsi="Times New Roman;Times;serif"/>
          <w:sz w:val="20"/>
        </w:rPr>
        <w:t xml:space="preserve"> </w:t>
      </w:r>
      <w:r>
        <w:rPr>
          <w:rFonts w:ascii="Times New Roman;Times;serif" w:hAnsi="Times New Roman;Times;serif"/>
          <w:b/>
          <w:sz w:val="16"/>
        </w:rPr>
        <w:br/>
        <w:t>(781) 431-9100</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(Address, zip code and telephone number, including area code of principal executive offices)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Kiniksa Pharmaceuticals Corp.</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100 Hayden Avenue</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Lexington, MA, 02421</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(781) 431-9100</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(Address, zip code and telephone number, including area code of agent for service)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N/A</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(Former Name or Former Address, if Changed Since Last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Check the appropriate box below if the Form 8-K filing is intended to simultaneously satisfy the filing obligation of the registrant under any of the following provisions</w:t>
      </w:r>
    </w:p>
    <w:p>
      <w:pPr>
        <w:pStyle w:val="TextBody"/>
        <w:bidi w:val="0"/>
        <w:spacing w:lineRule="auto" w:line="285" w:before="0" w:after="0"/>
        <w:ind w:left="0" w:right="0" w:hanging="0"/>
        <w:jc w:val="left"/>
        <w:rPr/>
      </w:pPr>
      <w:r>
        <w:rPr/>
        <w:t>​</w:t>
      </w:r>
    </w:p>
    <w:p>
      <w:pPr>
        <w:pStyle w:val="TextBody"/>
        <w:bidi w:val="0"/>
        <w:spacing w:lineRule="auto" w:line="285" w:before="0" w:after="0"/>
        <w:ind w:left="360" w:right="0" w:hanging="0"/>
        <w:jc w:val="left"/>
        <w:rPr/>
      </w:pPr>
      <w:r>
        <w:rPr>
          <w:caps w:val="false"/>
          <w:smallCaps w:val="false"/>
        </w:rPr>
        <w:t>☐</w:t>
      </w:r>
      <w:r>
        <w:rPr>
          <w:rFonts w:ascii="Times New Roman;Times;serif" w:hAnsi="Times New Roman;Times;serif"/>
          <w:sz w:val="16"/>
        </w:rPr>
        <w:t>Written communications pursuant to Rule 425 under the Securities Act (17 CFR 230.425)</w:t>
      </w:r>
    </w:p>
    <w:p>
      <w:pPr>
        <w:pStyle w:val="TextBody"/>
        <w:bidi w:val="0"/>
        <w:spacing w:lineRule="auto" w:line="285" w:before="0" w:after="0"/>
        <w:ind w:left="360" w:right="0" w:hanging="0"/>
        <w:jc w:val="left"/>
        <w:rPr/>
      </w:pPr>
      <w:r>
        <w:rPr/>
        <w:t>​</w:t>
      </w:r>
    </w:p>
    <w:p>
      <w:pPr>
        <w:pStyle w:val="TextBody"/>
        <w:bidi w:val="0"/>
        <w:spacing w:lineRule="auto" w:line="285" w:before="0" w:after="0"/>
        <w:ind w:left="360" w:right="0" w:hanging="0"/>
        <w:jc w:val="left"/>
        <w:rPr/>
      </w:pPr>
      <w:r>
        <w:rPr>
          <w:caps w:val="false"/>
          <w:smallCaps w:val="false"/>
        </w:rPr>
        <w:t>☐</w:t>
      </w:r>
      <w:r>
        <w:rPr>
          <w:rFonts w:ascii="Times New Roman;Times;serif" w:hAnsi="Times New Roman;Times;serif"/>
          <w:sz w:val="16"/>
        </w:rPr>
        <w:t>Soliciting material pursuant to Rule 14a-12 under the Exchange Act (17 CFR 240.14a-12)</w:t>
      </w:r>
    </w:p>
    <w:p>
      <w:pPr>
        <w:pStyle w:val="TextBody"/>
        <w:bidi w:val="0"/>
        <w:spacing w:lineRule="auto" w:line="285" w:before="0" w:after="0"/>
        <w:ind w:left="360" w:right="0" w:hanging="0"/>
        <w:jc w:val="left"/>
        <w:rPr/>
      </w:pPr>
      <w:r>
        <w:rPr/>
        <w:t>​</w:t>
      </w:r>
    </w:p>
    <w:p>
      <w:pPr>
        <w:pStyle w:val="TextBody"/>
        <w:bidi w:val="0"/>
        <w:spacing w:lineRule="auto" w:line="285" w:before="0" w:after="0"/>
        <w:ind w:left="360" w:right="0" w:hanging="0"/>
        <w:jc w:val="left"/>
        <w:rPr/>
      </w:pPr>
      <w:r>
        <w:rPr>
          <w:caps w:val="false"/>
          <w:smallCaps w:val="false"/>
        </w:rPr>
        <w:t>☐</w:t>
      </w:r>
      <w:r>
        <w:rPr>
          <w:rFonts w:ascii="Times New Roman;Times;serif" w:hAnsi="Times New Roman;Times;serif"/>
          <w:sz w:val="16"/>
        </w:rPr>
        <w:t>Pre-commencement communications pursuant to Rule 14d-2(b) under the Exchange Act (17 CFR 240.14d-2(b))</w:t>
      </w:r>
    </w:p>
    <w:p>
      <w:pPr>
        <w:pStyle w:val="TextBody"/>
        <w:bidi w:val="0"/>
        <w:spacing w:lineRule="auto" w:line="285" w:before="0" w:after="0"/>
        <w:ind w:left="360" w:right="0" w:hanging="0"/>
        <w:jc w:val="left"/>
        <w:rPr/>
      </w:pPr>
      <w:r>
        <w:rPr/>
        <w:t>​</w:t>
      </w:r>
    </w:p>
    <w:p>
      <w:pPr>
        <w:pStyle w:val="TextBody"/>
        <w:bidi w:val="0"/>
        <w:spacing w:lineRule="auto" w:line="285" w:before="0" w:after="0"/>
        <w:ind w:left="360" w:right="0" w:hanging="0"/>
        <w:jc w:val="left"/>
        <w:rPr/>
      </w:pPr>
      <w:r>
        <w:rPr>
          <w:caps w:val="false"/>
          <w:smallCaps w:val="false"/>
        </w:rPr>
        <w:t>☐</w:t>
      </w:r>
      <w:r>
        <w:rPr>
          <w:rFonts w:ascii="Times New Roman;Times;serif" w:hAnsi="Times New Roman;Times;serif"/>
          <w:sz w:val="16"/>
        </w:rPr>
        <w:t>Pre-commencement communications pursuant to Rule 13e-4(c) under the Exchange Act (17 CFR 240.13e-4(c))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11" w:name="Tc_qmFGu11Y5k-SNQASDyfglw_3_4"/>
      <w:bookmarkStart w:id="12" w:name="Tc_1lbRQCNGfkqqkQKYDc3y-w_1_4"/>
      <w:bookmarkStart w:id="13" w:name="Tc_fi9wolul-kqygvdfHymJag_1_2"/>
      <w:bookmarkStart w:id="14" w:name="Tc_i-_sI0MzX0C8ONaG_VZR4g_1_0"/>
      <w:bookmarkStart w:id="15" w:name="_8e051091_ec8f_45f5_ab91_37fb713a878c"/>
      <w:bookmarkStart w:id="16" w:name="Tc_qmFGu11Y5k-SNQASDyfglw_3_4"/>
      <w:bookmarkStart w:id="17" w:name="Tc_1lbRQCNGfkqqkQKYDc3y-w_1_4"/>
      <w:bookmarkStart w:id="18" w:name="Tc_fi9wolul-kqygvdfHymJag_1_2"/>
      <w:bookmarkStart w:id="19" w:name="Tc_i-_sI0MzX0C8ONaG_VZR4g_1_0"/>
      <w:bookmarkStart w:id="20" w:name="_8e051091_ec8f_45f5_ab91_37fb713a878c"/>
      <w:bookmarkEnd w:id="16"/>
      <w:bookmarkEnd w:id="17"/>
      <w:bookmarkEnd w:id="18"/>
      <w:bookmarkEnd w:id="19"/>
      <w:bookmarkEnd w:id="20"/>
    </w:p>
    <w:tbl>
      <w:tblPr>
        <w:tblW w:w="7985" w:type="dxa"/>
        <w:jc w:val="left"/>
        <w:tblInd w:w="0" w:type="dxa"/>
        <w:tblLayout w:type="fixed"/>
        <w:tblCellMar>
          <w:top w:w="0" w:type="dxa"/>
          <w:left w:w="0" w:type="dxa"/>
          <w:bottom w:w="0" w:type="dxa"/>
          <w:right w:w="0" w:type="dxa"/>
        </w:tblCellMar>
      </w:tblPr>
      <w:tblGrid>
        <w:gridCol w:w="3916"/>
        <w:gridCol w:w="346"/>
        <w:gridCol w:w="826"/>
        <w:gridCol w:w="346"/>
        <w:gridCol w:w="2551"/>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285" w:before="0" w:after="0"/>
              <w:ind w:left="0" w:right="0" w:hanging="0"/>
              <w:jc w:val="left"/>
              <w:rPr/>
            </w:pPr>
            <w:r>
              <w:rPr/>
              <w:t>​</w:t>
            </w:r>
          </w:p>
        </w:tc>
        <w:tc>
          <w:tcPr>
            <w:tcW w:w="2551" w:type="dxa"/>
            <w:tcBorders/>
            <w:vAlign w:val="center"/>
          </w:tcPr>
          <w:p>
            <w:pPr>
              <w:pStyle w:val="TableContents"/>
              <w:bidi w:val="0"/>
              <w:spacing w:before="0" w:after="283"/>
              <w:ind w:left="0" w:right="0" w:hanging="0"/>
              <w:jc w:val="left"/>
              <w:rPr>
                <w:sz w:val="4"/>
                <w:szCs w:val="4"/>
              </w:rPr>
            </w:pPr>
            <w:r>
              <w:rPr>
                <w:sz w:val="4"/>
                <w:szCs w:val="4"/>
              </w:rPr>
            </w:r>
          </w:p>
        </w:tc>
      </w:tr>
      <w:tr>
        <w:trPr/>
        <w:tc>
          <w:tcPr>
            <w:tcW w:w="391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vAlign w:val="center"/>
          </w:tcPr>
          <w:p>
            <w:pPr>
              <w:pStyle w:val="TableContents"/>
              <w:bidi w:val="0"/>
              <w:spacing w:lineRule="auto" w:line="285" w:before="0" w:after="0"/>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Trading</w:t>
              <w:br/>
              <w:t>Symbol(s)</w:t>
            </w:r>
          </w:p>
        </w:tc>
        <w:tc>
          <w:tcPr>
            <w:tcW w:w="346" w:type="dxa"/>
            <w:tcBorders/>
            <w:vAlign w:val="center"/>
          </w:tcPr>
          <w:p>
            <w:pPr>
              <w:pStyle w:val="TableContents"/>
              <w:bidi w:val="0"/>
              <w:spacing w:lineRule="auto" w:line="285" w:before="0" w:after="0"/>
              <w:ind w:left="0" w:right="0" w:hanging="0"/>
              <w:jc w:val="center"/>
              <w:rPr/>
            </w:pPr>
            <w:r>
              <w:rPr/>
              <w:t>  ​ ​ ​</w:t>
            </w:r>
          </w:p>
        </w:tc>
        <w:tc>
          <w:tcPr>
            <w:tcW w:w="255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w:t>
              <w:br/>
              <w:t>registered</w:t>
            </w:r>
          </w:p>
        </w:tc>
      </w:tr>
      <w:tr>
        <w:trPr/>
        <w:tc>
          <w:tcPr>
            <w:tcW w:w="3916"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Class A Ordinary Shares $0.000273235 nominal value</w:t>
            </w:r>
          </w:p>
        </w:tc>
        <w:tc>
          <w:tcPr>
            <w:tcW w:w="346" w:type="dxa"/>
            <w:tcBorders/>
            <w:vAlign w:val="center"/>
          </w:tcPr>
          <w:p>
            <w:pPr>
              <w:pStyle w:val="TableContents"/>
              <w:bidi w:val="0"/>
              <w:spacing w:lineRule="auto" w:line="285" w:before="0" w:after="0"/>
              <w:ind w:left="0" w:right="0" w:hanging="0"/>
              <w:jc w:val="center"/>
              <w:rPr/>
            </w:pPr>
            <w:r>
              <w:rPr/>
              <w:t>​</w:t>
            </w:r>
          </w:p>
        </w:tc>
        <w:tc>
          <w:tcPr>
            <w:tcW w:w="826"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KNSA</w:t>
            </w:r>
          </w:p>
        </w:tc>
        <w:tc>
          <w:tcPr>
            <w:tcW w:w="346" w:type="dxa"/>
            <w:tcBorders/>
            <w:vAlign w:val="center"/>
          </w:tcPr>
          <w:p>
            <w:pPr>
              <w:pStyle w:val="TableContents"/>
              <w:bidi w:val="0"/>
              <w:spacing w:lineRule="auto" w:line="285" w:before="0" w:after="0"/>
              <w:ind w:left="0" w:right="0" w:hanging="0"/>
              <w:jc w:val="center"/>
              <w:rPr/>
            </w:pPr>
            <w:r>
              <w:rPr/>
              <w:t>​</w:t>
            </w:r>
          </w:p>
        </w:tc>
        <w:tc>
          <w:tcPr>
            <w:tcW w:w="2551"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The Nasdaq Stock Market LLC</w:t>
            </w:r>
          </w:p>
        </w:tc>
      </w:tr>
      <w:tr>
        <w:trPr/>
        <w:tc>
          <w:tcPr>
            <w:tcW w:w="3916" w:type="dxa"/>
            <w:tcBorders/>
            <w:vAlign w:val="center"/>
          </w:tcPr>
          <w:p>
            <w:pPr>
              <w:pStyle w:val="TableContents"/>
              <w:bidi w:val="0"/>
              <w:spacing w:lineRule="auto" w:line="285" w:before="0" w:after="0"/>
              <w:ind w:left="0" w:right="0" w:hanging="0"/>
              <w:jc w:val="center"/>
              <w:rPr>
                <w:shd w:fill="00FF00" w:val="clear"/>
              </w:rPr>
            </w:pPr>
            <w:r>
              <w:rPr>
                <w:shd w:fill="00FF00" w:val="clear"/>
              </w:rPr>
              <w:t>​</w:t>
            </w:r>
          </w:p>
        </w:tc>
        <w:tc>
          <w:tcPr>
            <w:tcW w:w="346" w:type="dxa"/>
            <w:tcBorders/>
            <w:vAlign w:val="center"/>
          </w:tcPr>
          <w:p>
            <w:pPr>
              <w:pStyle w:val="TableContents"/>
              <w:bidi w:val="0"/>
              <w:spacing w:lineRule="auto" w:line="285" w:before="0" w:after="0"/>
              <w:ind w:left="0" w:right="0" w:hanging="0"/>
              <w:jc w:val="center"/>
              <w:rPr>
                <w:shd w:fill="00FF00" w:val="clear"/>
              </w:rPr>
            </w:pPr>
            <w:r>
              <w:rPr>
                <w:shd w:fill="00FF00" w:val="clear"/>
              </w:rPr>
              <w:t>​</w:t>
            </w:r>
          </w:p>
        </w:tc>
        <w:tc>
          <w:tcPr>
            <w:tcW w:w="826" w:type="dxa"/>
            <w:tcBorders/>
            <w:vAlign w:val="center"/>
          </w:tcPr>
          <w:p>
            <w:pPr>
              <w:pStyle w:val="TableContents"/>
              <w:bidi w:val="0"/>
              <w:spacing w:lineRule="auto" w:line="285" w:before="0" w:after="0"/>
              <w:ind w:left="0" w:right="0" w:hanging="0"/>
              <w:jc w:val="center"/>
              <w:rPr>
                <w:shd w:fill="00FF00" w:val="clear"/>
              </w:rPr>
            </w:pPr>
            <w:r>
              <w:rPr>
                <w:shd w:fill="00FF00" w:val="clear"/>
              </w:rPr>
              <w:t>​</w:t>
            </w:r>
          </w:p>
        </w:tc>
        <w:tc>
          <w:tcPr>
            <w:tcW w:w="346" w:type="dxa"/>
            <w:tcBorders/>
            <w:vAlign w:val="center"/>
          </w:tcPr>
          <w:p>
            <w:pPr>
              <w:pStyle w:val="TableContents"/>
              <w:bidi w:val="0"/>
              <w:spacing w:lineRule="auto" w:line="285" w:before="0" w:after="0"/>
              <w:ind w:left="0" w:right="0" w:hanging="0"/>
              <w:jc w:val="center"/>
              <w:rPr/>
            </w:pPr>
            <w:r>
              <w:rPr/>
              <w:t>​</w:t>
            </w:r>
          </w:p>
        </w:tc>
        <w:tc>
          <w:tcPr>
            <w:tcW w:w="2551"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(Nasdaq Global Select Market)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5" w:before="0" w:after="0"/>
        <w:ind w:left="0" w:right="0" w:hanging="0"/>
        <w:jc w:val="left"/>
        <w:rPr/>
      </w:pPr>
      <w:r>
        <w:rPr/>
        <w:t>​</w:t>
      </w:r>
    </w:p>
    <w:p>
      <w:pPr>
        <w:pStyle w:val="TextBody"/>
        <w:pBdr>
          <w:top w:val="single" w:sz="8" w:space="1" w:color="000000"/>
          <w:bottom w:val="single" w:sz="24" w:space="1" w:color="000000"/>
        </w:pBdr>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280" w:after="0"/>
        <w:ind w:left="0" w:right="0" w:hanging="0"/>
        <w:jc w:val="left"/>
        <w:rPr>
          <w:rFonts w:ascii="Times New Roman;Times;serif" w:hAnsi="Times New Roman;Times;serif"/>
          <w:sz w:val="20"/>
        </w:rPr>
      </w:pPr>
      <w:bookmarkStart w:id="21" w:name="_9151f8ba_c5d7_4416_9121_8b105da6dc7c"/>
      <w:bookmarkEnd w:id="21"/>
      <w:r>
        <w:rPr>
          <w:rFonts w:ascii="Times New Roman;Times;serif" w:hAnsi="Times New Roman;Times;serif"/>
          <w:b/>
          <w:sz w:val="20"/>
        </w:rPr>
        <w:t>Item 5.02. Departure of Directors or Certain Officers; Election of Directors; Appointment of Certain Officers; Compensatory Arrangements of Certain Officers.</w:t>
      </w:r>
      <w:r>
        <w:rPr>
          <w:rFonts w:ascii="Times New Roman;Times;serif" w:hAnsi="Times New Roman;Times;serif"/>
          <w:sz w:val="20"/>
        </w:rPr>
        <w:t> </w:t>
      </w:r>
    </w:p>
    <w:p>
      <w:pPr>
        <w:pStyle w:val="TextBody"/>
        <w:bidi w:val="0"/>
        <w:spacing w:lineRule="auto" w:line="240" w:before="280" w:after="240"/>
        <w:ind w:left="0" w:right="0" w:hanging="0"/>
        <w:jc w:val="left"/>
        <w:rPr>
          <w:rFonts w:ascii="Times New Roman;Times;serif" w:hAnsi="Times New Roman;Times;serif"/>
          <w:sz w:val="20"/>
        </w:rPr>
      </w:pPr>
      <w:r>
        <w:rPr>
          <w:rFonts w:ascii="Times New Roman;Times;serif" w:hAnsi="Times New Roman;Times;serif"/>
          <w:sz w:val="20"/>
        </w:rPr>
        <w:t>On April 30, 2026, Eben Tessari informed Kiniksa Pharmaceuticals International, plc (the “Company”) of his decision to resign as Chief Strategy Officer of the Company to pursue another executive position within the life sciences industry. Mr. Tessari will leave the Company on May 15, 2026 and will become a consultant to the Company and an advisor to its Science and Research Committee. Mr. Tessari’s decision to resign was not the result of any disagreement with the Company on any matter relating to the Company’s operations, policies, or practices.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Pursuant to a Consulting Agreement (the “Consulting Agreement”) between Mr. Tessari and the Company, which will be effective as of May 15, 2026, Mr. Tessari will: (i) provide services to the Company related to strategic and operational matters and (ii) serve as a special advisor to the Company’s Science and Research Committee (together, the “Services”). The Consulting Agreement will have a term commencing on May 15, 2026 and ending on May 15, 2027, and may be renewed on the same terms and conditions for an additional one-year period if mutually agreed upon by the parties. The Consulting Agreement may be terminated by the Company or Mr. Tessari with prior written notice to the other party.</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Pursuant to the Consulting Agreement, Mr. Tessari will receive compensation of $450 per hour of Services performed, up to 20 hours per month, as well as reimbursement for reasonable pre-approved travel and out-of-pocket expenses incurred in performing the Services.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240"/>
        <w:ind w:left="0" w:right="0" w:hanging="0"/>
        <w:jc w:val="center"/>
        <w:rPr>
          <w:rFonts w:ascii="Times New Roman;Times;serif" w:hAnsi="Times New Roman;Times;serif"/>
          <w:b/>
          <w:sz w:val="20"/>
        </w:rPr>
      </w:pPr>
      <w:bookmarkStart w:id="22" w:name="_d4d7a2a3_c64a_4514_9fbd_714dfa9ad43d"/>
      <w:bookmarkEnd w:id="22"/>
      <w:r>
        <w:rPr>
          <w:rFonts w:ascii="Times New Roman;Times;serif" w:hAnsi="Times New Roman;Times;serif"/>
          <w:b/>
          <w:sz w:val="20"/>
        </w:rPr>
        <w:t>SIGNATURES</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5" w:before="0" w:after="0"/>
        <w:ind w:left="0" w:right="0" w:hanging="0"/>
        <w:jc w:val="left"/>
        <w:rPr/>
      </w:pPr>
      <w:r>
        <w:rPr/>
        <w:t>​</w:t>
      </w:r>
    </w:p>
    <w:tbl>
      <w:tblPr>
        <w:tblW w:w="6526" w:type="dxa"/>
        <w:jc w:val="left"/>
        <w:tblInd w:w="0" w:type="dxa"/>
        <w:tblLayout w:type="fixed"/>
        <w:tblCellMar>
          <w:top w:w="0" w:type="dxa"/>
          <w:left w:w="0" w:type="dxa"/>
          <w:bottom w:w="0" w:type="dxa"/>
          <w:right w:w="0" w:type="dxa"/>
        </w:tblCellMar>
      </w:tblPr>
      <w:tblGrid>
        <w:gridCol w:w="1636"/>
        <w:gridCol w:w="503"/>
        <w:gridCol w:w="4387"/>
      </w:tblGrid>
      <w:tr>
        <w:trPr/>
        <w:tc>
          <w:tcPr>
            <w:tcW w:w="1636" w:type="dxa"/>
            <w:tcBorders/>
            <w:vAlign w:val="center"/>
          </w:tcPr>
          <w:p>
            <w:pPr>
              <w:pStyle w:val="TableContents"/>
              <w:bidi w:val="0"/>
              <w:spacing w:lineRule="auto" w:line="285" w:before="0" w:after="0"/>
              <w:ind w:left="0" w:right="0" w:hanging="0"/>
              <w:jc w:val="left"/>
              <w:rPr/>
            </w:pPr>
            <w:r>
              <w:rPr/>
              <w:t>​</w:t>
            </w:r>
          </w:p>
        </w:tc>
        <w:tc>
          <w:tcPr>
            <w:tcW w:w="4890" w:type="dxa"/>
            <w:gridSpan w:val="2"/>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KINIKSA PHARMACEUTICALS INTERNATIONAL, PLC</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4890" w:type="dxa"/>
            <w:gridSpan w:val="2"/>
            <w:tcBorders/>
            <w:vAlign w:val="center"/>
          </w:tcPr>
          <w:p>
            <w:pPr>
              <w:pStyle w:val="TableContents"/>
              <w:bidi w:val="0"/>
              <w:spacing w:lineRule="auto" w:line="285" w:before="0" w:after="0"/>
              <w:ind w:left="0" w:right="0" w:hanging="0"/>
              <w:jc w:val="left"/>
              <w:rPr/>
            </w:pPr>
            <w:r>
              <w:rPr/>
              <w:t>​</w:t>
            </w:r>
          </w:p>
        </w:tc>
      </w:tr>
      <w:tr>
        <w:trPr/>
        <w:tc>
          <w:tcPr>
            <w:tcW w:w="163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May 1, 2026</w:t>
            </w:r>
          </w:p>
        </w:tc>
        <w:tc>
          <w:tcPr>
            <w:tcW w:w="50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8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Douglas Barry</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503" w:type="dxa"/>
            <w:tcBorders/>
            <w:vAlign w:val="center"/>
          </w:tcPr>
          <w:p>
            <w:pPr>
              <w:pStyle w:val="TableContents"/>
              <w:bidi w:val="0"/>
              <w:spacing w:lineRule="auto" w:line="285" w:before="0" w:after="0"/>
              <w:ind w:left="0" w:right="0" w:hanging="0"/>
              <w:jc w:val="left"/>
              <w:rPr/>
            </w:pPr>
            <w:r>
              <w:rPr/>
              <w:t>​</w:t>
            </w:r>
          </w:p>
        </w:tc>
        <w:tc>
          <w:tcPr>
            <w:tcW w:w="4387"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Douglas Barry</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503" w:type="dxa"/>
            <w:tcBorders/>
            <w:vAlign w:val="center"/>
          </w:tcPr>
          <w:p>
            <w:pPr>
              <w:pStyle w:val="TableContents"/>
              <w:bidi w:val="0"/>
              <w:spacing w:lineRule="auto" w:line="285" w:before="0" w:after="0"/>
              <w:ind w:left="0" w:right="0" w:hanging="0"/>
              <w:jc w:val="left"/>
              <w:rPr/>
            </w:pPr>
            <w:r>
              <w:rPr/>
              <w:t>​</w:t>
            </w:r>
          </w:p>
        </w:tc>
        <w:tc>
          <w:tcPr>
            <w:tcW w:w="438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Senior Vice President, Chief Legal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3594</Characters>
  <CharactersWithSpaces>4275</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