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13.xml.htm"/>
      <w:bookmarkStart w:id="1" w:name="ksform406022026_0806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McCain Tracey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KINIKSA PHARMACEUTICALS INT'L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PICCADILLY, 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W1J 7NJ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Kiniksa Pharmaceuticals International, plc</w:t>
              </w:r>
            </w:hyperlink>
            <w:r>
              <w:rPr/>
              <w:t xml:space="preserve"> [ </w:t>
            </w:r>
            <w:r>
              <w:rPr>
                <w:rFonts w:ascii="Times;serif" w:hAnsi="Times;serif"/>
                <w:color w:val="0000FF"/>
                <w:sz w:val="24"/>
                <w:shd w:fill="FFFFFF" w:val="clear"/>
              </w:rPr>
              <w:t>KNSA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15,345</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12,158</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a contingent right to receive one Class A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in twelve substantially equal monthly installments following the date of the grant with the final installment vesting on the earlier of a) the anniversary of the date of the grant and b) the date of the Issuer's annual meeting of shareholders in the following year. The date of the grant is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their entirety on the earlier of a) the anniversary of the date of the grant and b) the date of the Issuer's annual meeting of shareholders in the following year. The date of the grant is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vested in a single installment on May 29, 2026; there was no expiration date for the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Barry,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022026_080613.htm"/>
      <w:bookmarkStart w:id="3" w:name="ksex2406022026_080613"/>
      <w:bookmarkStart w:id="4" w:name="ex24-06022026_080613.htm"/>
      <w:bookmarkStart w:id="5" w:name="ksex2406022026_080613"/>
      <w:bookmarkEnd w:id="4"/>
      <w:bookmarkEnd w:id="5"/>
      <w:r>
        <w:br w:type="page"/>
      </w:r>
    </w:p>
    <w:p>
      <w:pPr>
        <w:pStyle w:val="TextBody"/>
        <w:pBdr/>
        <w:bidi w:val="0"/>
        <w:spacing w:before="75" w:after="0"/>
        <w:jc w:val="center"/>
        <w:rPr>
          <w:b/>
          <w:sz w:val="22"/>
        </w:rPr>
      </w:pPr>
      <w:r>
        <w:rPr>
          <w:b/>
          <w:sz w:val="22"/>
        </w:rPr>
        <w:t>POWER OF ATTORNEY</w:t>
      </w:r>
    </w:p>
    <w:p>
      <w:pPr>
        <w:pStyle w:val="TextBody"/>
        <w:pBdr/>
        <w:bidi w:val="0"/>
        <w:spacing w:before="240" w:after="0"/>
        <w:ind w:left="0" w:right="0" w:firstLine="705"/>
        <w:jc w:val="both"/>
        <w:rPr>
          <w:sz w:val="22"/>
        </w:rPr>
      </w:pPr>
      <w:r>
        <w:rPr>
          <w:sz w:val="22"/>
        </w:rPr>
        <w:t>With respect to holdings of and transactions in securities issued by Kiniksa Pharmaceuticals International, plc (the “</w:t>
      </w:r>
      <w:r>
        <w:rPr>
          <w:b/>
          <w:i/>
          <w:sz w:val="22"/>
        </w:rPr>
        <w:t>Company</w:t>
      </w:r>
      <w:r>
        <w:rPr>
          <w:sz w:val="22"/>
        </w:rPr>
        <w:t xml:space="preserve">”), the undersigned hereby constitutes and appoints the individuals named on </w:t>
      </w:r>
      <w:r>
        <w:rPr>
          <w:sz w:val="22"/>
          <w:u w:val="single"/>
        </w:rPr>
        <w:t>Schedule A</w:t>
      </w:r>
      <w:r>
        <w:rPr>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prepare, execute in the undersigned’s name and on the undersigned’s behalf, and submit to the United States Securities and Exchange Commission (the “</w:t>
      </w:r>
      <w:r>
        <w:rPr>
          <w:b/>
          <w:i/>
          <w:sz w:val="22"/>
        </w:rPr>
        <w:t>SEC</w:t>
      </w:r>
      <w:r>
        <w:rPr>
          <w:sz w:val="22"/>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execute for and on behalf of the undersigned, Forms 3, 4, and 5 in accordance with Section 16 of the Securities Exchange Act of 1934, as amended, and the rules thereunder;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60655"/>
                <wp:effectExtent l="0" t="0" r="0" b="0"/>
                <wp:wrapSquare wrapText="right"/>
                <wp:docPr id="8"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pBdr/>
        <w:bidi w:val="0"/>
        <w:spacing w:before="240" w:after="0"/>
        <w:ind w:left="0" w:right="0" w:firstLine="705"/>
        <w:jc w:val="both"/>
        <w:rPr>
          <w:sz w:val="22"/>
        </w:rPr>
      </w:pPr>
      <w:r>
        <w:rPr>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Kiniksa Pharmaceuticals International, plc, unless earlier revoked by the undersigned in a signed writing delivered to the foregoing attorneys-in-fact.</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75" w:after="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6858000" cy="160655"/>
                <wp:effectExtent l="0" t="0" r="0" b="0"/>
                <wp:wrapSquare wrapText="right"/>
                <wp:docPr id="9" name="Frame5"/>
                <a:graphic xmlns:a="http://schemas.openxmlformats.org/drawingml/2006/main">
                  <a:graphicData uri="http://schemas.microsoft.com/office/word/2010/wordprocessingShape">
                    <wps:wsp>
                      <wps:cNvSpPr txBox="1"/>
                      <wps:spPr>
                        <a:xfrm>
                          <a:off x="0" y="0"/>
                          <a:ext cx="6858000" cy="160655"/>
                        </a:xfrm>
                        <a:prstGeom prst="rect"/>
                        <a:solidFill>
                          <a:srgbClr val="FFFFFF"/>
                        </a:solidFill>
                      </wps:spPr>
                      <wps:txbx>
                        <w:txbxContent>
                          <w:p>
                            <w:pPr>
                              <w:pStyle w:val="TextBody"/>
                              <w:bidi w:val="0"/>
                              <w:spacing w:before="0" w:after="283"/>
                              <w:jc w:val="left"/>
                              <w:rPr>
                                <w:sz w:val="22"/>
                              </w:rPr>
                            </w:pPr>
                            <w:r>
                              <w:rPr>
                                <w:sz w:val="22"/>
                              </w:rPr>
                              <w:t>IN WITNESS WHEREOF, the undersigned has caused this Power of Attorney to be executed as of</w:t>
                            </w:r>
                            <w:r>
                              <w:rPr>
                                <w:sz w:val="22"/>
                                <w:u w:val="single"/>
                              </w:rPr>
                              <w:t xml:space="preserve"> 9/19/2025</w:t>
                            </w:r>
                          </w:p>
                        </w:txbxContent>
                      </wps:txbx>
                      <wps:bodyPr anchor="t" lIns="0" tIns="0" rIns="0" bIns="0">
                        <a:noAutofit/>
                      </wps:bodyPr>
                    </wps:wsp>
                  </a:graphicData>
                </a:graphic>
              </wp:anchor>
            </w:drawing>
          </mc:Choice>
          <mc:Fallback>
            <w:pict>
              <v:rect style="position:absolute;rotation:-0;width:540pt;height:12.65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bidi w:val="0"/>
                        <w:spacing w:before="0" w:after="283"/>
                        <w:jc w:val="left"/>
                        <w:rPr>
                          <w:sz w:val="22"/>
                        </w:rPr>
                      </w:pPr>
                      <w:r>
                        <w:rPr>
                          <w:sz w:val="22"/>
                        </w:rPr>
                        <w:t>IN WITNESS WHEREOF, the undersigned has caused this Power of Attorney to be executed as of</w:t>
                      </w:r>
                      <w:r>
                        <w:rPr>
                          <w:sz w:val="22"/>
                          <w:u w:val="single"/>
                        </w:rPr>
                        <w:t xml:space="preserve"> 9/19/2025</w:t>
                      </w:r>
                    </w:p>
                  </w:txbxContent>
                </v:textbox>
                <w10:wrap type="square" side="right"/>
              </v:rect>
            </w:pict>
          </mc:Fallback>
        </mc:AlternateContent>
      </w:r>
    </w:p>
    <w:p>
      <w:pPr>
        <w:pStyle w:val="TextBody"/>
        <w:pBdr/>
        <w:bidi w:val="0"/>
        <w:spacing w:before="150" w:after="0"/>
        <w:ind w:left="0" w:right="0" w:firstLine="720"/>
        <w:jc w:val="left"/>
        <w:rPr>
          <w:u w:val="single"/>
        </w:rPr>
      </w:pPr>
      <w:r>
        <w:rPr>
          <w:u w:val="single"/>
        </w:rPr>
        <w:t>       </w:t>
      </w:r>
      <w:r>
        <w:rPr>
          <w:sz w:val="22"/>
          <w:u w:val="single"/>
        </w:rPr>
        <w:t>/s/ Tracey L. McCain                </w:t>
      </w:r>
    </w:p>
    <w:p>
      <w:pPr>
        <w:pStyle w:val="TextBody"/>
        <w:bidi w:val="0"/>
        <w:spacing w:before="150" w:after="0"/>
        <w:jc w:val="left"/>
        <w:rPr/>
      </w:pPr>
      <w:r>
        <w:rPr/>
      </w:r>
    </w:p>
    <w:p>
      <w:pPr>
        <w:pStyle w:val="TextBody"/>
        <w:pBdr/>
        <w:bidi w:val="0"/>
        <w:spacing w:before="0" w:after="0"/>
        <w:ind w:left="0" w:right="0" w:hanging="0"/>
        <w:jc w:val="left"/>
        <w:rPr>
          <w:sz w:val="22"/>
        </w:rPr>
      </w:pPr>
      <w:r>
        <w:rPr>
          <w:sz w:val="22"/>
        </w:rPr>
        <w:t xml:space="preserve">Print Name: </w:t>
      </w:r>
      <w:r>
        <w:rPr>
          <w:sz w:val="22"/>
          <w:u w:val="single"/>
        </w:rPr>
        <w:t> Tracey L. McCain       </w:t>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before="150" w:after="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75" w:after="0"/>
        <w:jc w:val="center"/>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75" w:after="0"/>
        <w:jc w:val="center"/>
        <w:rPr>
          <w:b/>
          <w:sz w:val="22"/>
          <w:u w:val="single"/>
        </w:rPr>
      </w:pPr>
      <w:r>
        <w:rPr>
          <w:b/>
          <w:sz w:val="22"/>
          <w:u w:val="single"/>
        </w:rPr>
        <w:t>Schedule A</w:t>
      </w:r>
    </w:p>
    <w:p>
      <w:pPr>
        <w:pStyle w:val="TextBody"/>
        <w:pBdr/>
        <w:bidi w:val="0"/>
        <w:spacing w:lineRule="atLeast" w:line="506" w:before="45" w:after="0"/>
        <w:ind w:left="0" w:right="0" w:firstLine="540"/>
        <w:jc w:val="left"/>
        <w:rPr>
          <w:sz w:val="22"/>
        </w:rPr>
      </w:pPr>
      <w:r>
        <w:rPr>
          <w:sz w:val="22"/>
        </w:rPr>
        <w:t xml:space="preserve">Individuals Appointed as Attorney-in-Fact with Full Power of Substitution and Resubstitution </w:t>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Doug Barry</w:t>
      </w:r>
    </w:p>
    <w:p>
      <w:pPr>
        <w:pStyle w:val="TextBody"/>
        <w:pBdr/>
        <w:bidi w:val="0"/>
        <w:spacing w:before="0" w:after="0"/>
        <w:ind w:left="0" w:right="0" w:hanging="0"/>
        <w:jc w:val="left"/>
        <w:rPr>
          <w:sz w:val="22"/>
        </w:rPr>
      </w:pPr>
      <w:r>
        <w:rPr>
          <w:sz w:val="22"/>
        </w:rPr>
        <w:t xml:space="preserve">Michael Megna </w:t>
      </w:r>
    </w:p>
    <w:p>
      <w:pPr>
        <w:pStyle w:val="TextBody"/>
        <w:pBdr/>
        <w:bidi w:val="0"/>
        <w:spacing w:before="0" w:after="0"/>
        <w:ind w:left="0" w:right="0" w:hanging="0"/>
        <w:jc w:val="left"/>
        <w:rPr>
          <w:sz w:val="22"/>
        </w:rPr>
      </w:pPr>
      <w:r>
        <w:rPr>
          <w:sz w:val="22"/>
        </w:rPr>
        <w:t xml:space="preserve">Mark Ragosa </w:t>
      </w:r>
    </w:p>
    <w:p>
      <w:pPr>
        <w:pStyle w:val="TextBody"/>
        <w:pBdr/>
        <w:bidi w:val="0"/>
        <w:spacing w:before="0" w:after="0"/>
        <w:ind w:left="0" w:right="0" w:hanging="0"/>
        <w:jc w:val="left"/>
        <w:rPr>
          <w:sz w:val="22"/>
        </w:rPr>
      </w:pPr>
      <w:r>
        <w:rPr>
          <w:sz w:val="22"/>
        </w:rPr>
        <w:t>Timothy Perdew</w:t>
      </w:r>
    </w:p>
    <w:p>
      <w:pPr>
        <w:pStyle w:val="TextBody"/>
        <w:pBdr/>
        <w:bidi w:val="0"/>
        <w:spacing w:before="0" w:after="0"/>
        <w:ind w:left="0" w:right="0" w:hanging="0"/>
        <w:jc w:val="left"/>
        <w:rPr>
          <w:sz w:val="22"/>
        </w:rPr>
      </w:pPr>
      <w:r>
        <w:rPr>
          <w:sz w:val="22"/>
        </w:rPr>
        <w:t>Aaron Young</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3600" TargetMode="External"/><Relationship Id="rId5" Type="http://schemas.openxmlformats.org/officeDocument/2006/relationships/hyperlink" Target="http://www.sec.gov/cgi-bin/browse-edgar?action=getcompany&amp;CIK=00017304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1326</Words>
  <Characters>6938</Characters>
  <CharactersWithSpaces>8183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