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knsa-20260630x10q.htm"/>
        <w:bookmarkStart w:id="1" w:name="ksknsa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873813a8_933f_4637_baed_b4fc393228c7"/>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pBdr/>
        <w:bidi w:val="0"/>
        <w:spacing w:before="0" w:after="0"/>
        <w:ind w:left="0" w:right="0" w:hanging="504"/>
        <w:jc w:val="left"/>
        <w:rPr/>
      </w:pPr>
      <w:r>
        <w:rPr/>
        <w:t>☒     </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tLeast" w:line="142" w:before="0" w:after="0"/>
        <w:ind w:left="0" w:right="0" w:hanging="0"/>
        <w:jc w:val="center"/>
        <w:rPr/>
      </w:pPr>
      <w:r>
        <w:rPr/>
        <w:t>​</w:t>
      </w:r>
    </w:p>
    <w:p>
      <w:pPr>
        <w:pStyle w:val="TextBody"/>
        <w:pBdr/>
        <w:bidi w:val="0"/>
        <w:spacing w:before="0" w:after="0"/>
        <w:ind w:left="0" w:right="0" w:hanging="504"/>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001-38492</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Kiniksa Pharmaceuticals International, plc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TPTOa4_6H0uul6MojgZ8zw_2_2"/>
      <w:bookmarkStart w:id="4" w:name="Tc_tHW8CSQDIUWux2GMi4WHPg_2_0"/>
      <w:bookmarkStart w:id="5" w:name="Tc_vWSLzchC2k2PF7kFjSxrNg_1_2"/>
      <w:bookmarkStart w:id="6" w:name="Tc_gClvEaPKRUixPYMJYN1f1g_1_0"/>
      <w:bookmarkStart w:id="7" w:name="_37c9e407_d865_48a2_8fea_96e27c2e06ff"/>
      <w:bookmarkStart w:id="8" w:name="Tc_TPTOa4_6H0uul6MojgZ8zw_2_2"/>
      <w:bookmarkStart w:id="9" w:name="Tc_tHW8CSQDIUWux2GMi4WHPg_2_0"/>
      <w:bookmarkStart w:id="10" w:name="Tc_vWSLzchC2k2PF7kFjSxrNg_1_2"/>
      <w:bookmarkStart w:id="11" w:name="Tc_gClvEaPKRUixPYMJYN1f1g_1_0"/>
      <w:bookmarkStart w:id="12" w:name="_37c9e407_d865_48a2_8fea_96e27c2e06ff"/>
      <w:bookmarkEnd w:id="8"/>
      <w:bookmarkEnd w:id="9"/>
      <w:bookmarkEnd w:id="10"/>
      <w:bookmarkEnd w:id="11"/>
      <w:bookmarkEnd w:id="12"/>
    </w:p>
    <w:tbl>
      <w:tblPr>
        <w:tblW w:w="3831" w:type="dxa"/>
        <w:jc w:val="left"/>
        <w:tblInd w:w="0" w:type="dxa"/>
        <w:tblLayout w:type="fixed"/>
        <w:tblCellMar>
          <w:top w:w="0" w:type="dxa"/>
          <w:left w:w="0" w:type="dxa"/>
          <w:bottom w:w="0" w:type="dxa"/>
          <w:right w:w="0" w:type="dxa"/>
        </w:tblCellMar>
      </w:tblPr>
      <w:tblGrid>
        <w:gridCol w:w="2281"/>
        <w:gridCol w:w="109"/>
        <w:gridCol w:w="1441"/>
      </w:tblGrid>
      <w:tr>
        <w:trPr/>
        <w:tc>
          <w:tcPr>
            <w:tcW w:w="22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England and Wales</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98-1795578</w:t>
            </w:r>
          </w:p>
        </w:tc>
      </w:tr>
      <w:tr>
        <w:trPr/>
        <w:tc>
          <w:tcPr>
            <w:tcW w:w="22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105 Piccadilly, Second Floor</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London, W1J 7NJ</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England, United Kingdom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(781) 431-9100</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zip code and telephone number, including area code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Kiniksa Pharmaceuticals Corp.</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 Hayden Avenue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Lexington, MA, 02421</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(781) 431-9100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zip code and telephone number, including area code of agent for service)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former address and former fiscal year, if changed since last report)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9LQstcnomkSJ0f_HTttOQg_2_2"/>
      <w:bookmarkStart w:id="14" w:name="Tc__E9WZPhKJkCLMncCDdusmg_1_2"/>
      <w:bookmarkStart w:id="15" w:name="Tc_ET0kkiHejECuxB4FalpZDg_1_1"/>
      <w:bookmarkStart w:id="16" w:name="Tc_30exDLpS5EebOx8RymkoQQ_1_0"/>
      <w:bookmarkStart w:id="17" w:name="_4e361369_5f16_4c3c_a032_f9b62922b7e0"/>
      <w:bookmarkStart w:id="18" w:name="Tc_9LQstcnomkSJ0f_HTttOQg_2_2"/>
      <w:bookmarkStart w:id="19" w:name="Tc__E9WZPhKJkCLMncCDdusmg_1_2"/>
      <w:bookmarkStart w:id="20" w:name="Tc_ET0kkiHejECuxB4FalpZDg_1_1"/>
      <w:bookmarkStart w:id="21" w:name="Tc_30exDLpS5EebOx8RymkoQQ_1_0"/>
      <w:bookmarkStart w:id="22" w:name="_4e361369_5f16_4c3c_a032_f9b62922b7e0"/>
      <w:bookmarkEnd w:id="18"/>
      <w:bookmarkEnd w:id="19"/>
      <w:bookmarkEnd w:id="20"/>
      <w:bookmarkEnd w:id="21"/>
      <w:bookmarkEnd w:id="22"/>
    </w:p>
    <w:tbl>
      <w:tblPr>
        <w:tblW w:w="4818" w:type="dxa"/>
        <w:jc w:val="left"/>
        <w:tblInd w:w="0" w:type="dxa"/>
        <w:tblLayout w:type="fixed"/>
        <w:tblCellMar>
          <w:top w:w="0" w:type="dxa"/>
          <w:left w:w="0" w:type="dxa"/>
          <w:bottom w:w="0" w:type="dxa"/>
          <w:right w:w="0" w:type="dxa"/>
        </w:tblCellMar>
      </w:tblPr>
      <w:tblGrid>
        <w:gridCol w:w="1336"/>
        <w:gridCol w:w="1051"/>
        <w:gridCol w:w="2431"/>
      </w:tblGrid>
      <w:tr>
        <w:trPr/>
        <w:tc>
          <w:tcPr>
            <w:tcW w:w="133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r>
      <w:tr>
        <w:trPr/>
        <w:tc>
          <w:tcPr>
            <w:tcW w:w="1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10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1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Class A Ordinary Shares</w:t>
            </w:r>
          </w:p>
        </w:tc>
        <w:tc>
          <w:tcPr>
            <w:tcW w:w="10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KNSA</w:t>
            </w:r>
          </w:p>
        </w:tc>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2"/>
              </w:rPr>
              <w:t>The Nasdaq</w:t>
            </w:r>
            <w:r>
              <w:rPr>
                <w:rFonts w:ascii="Times New Roman;Times;serif" w:hAnsi="Times New Roman;Times;serif"/>
                <w:sz w:val="20"/>
              </w:rPr>
              <w:t xml:space="preserve"> </w:t>
            </w:r>
            <w:r>
              <w:rPr>
                <w:rFonts w:ascii="Times New Roman;Times;serif" w:hAnsi="Times New Roman;Times;serif"/>
                <w:sz w:val="12"/>
              </w:rPr>
              <w:t xml:space="preserve">Stock Market LLC </w:t>
            </w:r>
          </w:p>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(Nasdaq Global Select Market)</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EKZXh_MvJES6vUfQMi0CLA_6_5"/>
      <w:bookmarkStart w:id="24" w:name="Tc_y8Bh-jOdwUOJVSLfjP_d-g_4_5"/>
      <w:bookmarkStart w:id="25" w:name="Tc_cq8IMVaBhEaruZetHTbcog_4_2"/>
      <w:bookmarkStart w:id="26" w:name="Tc_cOvvKSsCdUOCd_vHl_Ow5A_4_0"/>
      <w:bookmarkStart w:id="27" w:name="Tc_bsJh8WaztEe8cNWBME545g_2_7"/>
      <w:bookmarkStart w:id="28" w:name="Tc_lltChd7pWEmyhoqmf2DWAg_2_5"/>
      <w:bookmarkStart w:id="29" w:name="Tc_mDAM_qceVEykKVlZ9yvMZg_2_2"/>
      <w:bookmarkStart w:id="30" w:name="_c0af2a07_3d9d_4c83_8331_4bc40ff3bc65"/>
      <w:bookmarkStart w:id="31" w:name="Tc_EKZXh_MvJES6vUfQMi0CLA_6_5"/>
      <w:bookmarkStart w:id="32" w:name="Tc_y8Bh-jOdwUOJVSLfjP_d-g_4_5"/>
      <w:bookmarkStart w:id="33" w:name="Tc_cq8IMVaBhEaruZetHTbcog_4_2"/>
      <w:bookmarkStart w:id="34" w:name="Tc_cOvvKSsCdUOCd_vHl_Ow5A_4_0"/>
      <w:bookmarkStart w:id="35" w:name="Tc_bsJh8WaztEe8cNWBME545g_2_7"/>
      <w:bookmarkStart w:id="36" w:name="Tc_lltChd7pWEmyhoqmf2DWAg_2_5"/>
      <w:bookmarkStart w:id="37" w:name="Tc_mDAM_qceVEykKVlZ9yvMZg_2_2"/>
      <w:bookmarkStart w:id="38" w:name="_c0af2a07_3d9d_4c83_8331_4bc40ff3bc65"/>
      <w:bookmarkEnd w:id="31"/>
      <w:bookmarkEnd w:id="32"/>
      <w:bookmarkEnd w:id="33"/>
      <w:bookmarkEnd w:id="34"/>
      <w:bookmarkEnd w:id="35"/>
      <w:bookmarkEnd w:id="36"/>
      <w:bookmarkEnd w:id="37"/>
      <w:bookmarkEnd w:id="38"/>
    </w:p>
    <w:tbl>
      <w:tblPr>
        <w:tblW w:w="5165" w:type="dxa"/>
        <w:jc w:val="left"/>
        <w:tblInd w:w="0" w:type="dxa"/>
        <w:tblLayout w:type="fixed"/>
        <w:tblCellMar>
          <w:top w:w="0" w:type="dxa"/>
          <w:left w:w="0" w:type="dxa"/>
          <w:bottom w:w="0" w:type="dxa"/>
          <w:right w:w="0" w:type="dxa"/>
        </w:tblCellMar>
      </w:tblPr>
      <w:tblGrid>
        <w:gridCol w:w="1741"/>
        <w:gridCol w:w="109"/>
        <w:gridCol w:w="376"/>
        <w:gridCol w:w="109"/>
        <w:gridCol w:w="109"/>
        <w:gridCol w:w="2131"/>
        <w:gridCol w:w="109"/>
        <w:gridCol w:w="481"/>
      </w:tblGrid>
      <w:tr>
        <w:trPr/>
        <w:tc>
          <w:tcPr>
            <w:tcW w:w="174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Emerging Growth Company </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July 24, 2026, there were 78,024,013 ordinary shares outstanding in aggregate, comprised 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48,289,273 Class A ordinary shares, nominal value $0.000273235 per share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895,158 Class B ordinary shares, nominal value $0.000273235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12,781,964 Class A1 ordinary shares, nominal value $0.000273235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16,057,618 Class B1 ordinary shares, nominal value $0.000273235 per share</w:t>
      </w:r>
    </w:p>
    <w:p>
      <w:pPr>
        <w:pStyle w:val="TextBody"/>
        <w:bidi w:val="0"/>
        <w:spacing w:lineRule="atLeast" w:line="142"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 w:name="_3a145937_b053_4ba8_ba51_99881a916744"/>
      <w:bookmarkStart w:id="40" w:name="TOC"/>
      <w:bookmarkEnd w:id="39"/>
      <w:bookmarkEnd w:id="40"/>
      <w:r>
        <w:rPr>
          <w:rFonts w:ascii="Times New Roman;Times;serif" w:hAnsi="Times New Roman;Times;serif"/>
          <w:b/>
          <w:sz w:val="20"/>
        </w:rPr>
        <w:t>Kiniksa Pharmaceuticals International, plc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MONTHS ENDED JUNE 30,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bidi w:val="0"/>
              <w:spacing w:before="0" w:after="0"/>
              <w:ind w:left="0" w:right="0" w:hanging="0"/>
              <w:jc w:val="center"/>
              <w:rPr/>
            </w:pPr>
            <w:hyperlink w:anchor="PartIFinancialInformation_40229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94" w:type="dxa"/>
            <w:tcBorders/>
            <w:vAlign w:val="center"/>
          </w:tcPr>
          <w:p>
            <w:pPr>
              <w:pStyle w:val="TableContents"/>
              <w:bidi w:val="0"/>
              <w:spacing w:before="0" w:after="0"/>
              <w:ind w:left="0" w:right="0" w:hanging="0"/>
              <w:jc w:val="left"/>
              <w:rPr/>
            </w:pPr>
            <w:hyperlink w:anchor="Item1FinancialStatementsunaudited_945731">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94" w:type="dxa"/>
            <w:tcBorders/>
            <w:vAlign w:val="center"/>
          </w:tcPr>
          <w:p>
            <w:pPr>
              <w:pStyle w:val="TableContents"/>
              <w:pBdr/>
              <w:bidi w:val="0"/>
              <w:spacing w:before="0" w:after="0"/>
              <w:ind w:left="0" w:right="0" w:hanging="0"/>
              <w:jc w:val="left"/>
              <w:rPr/>
            </w:pPr>
            <w:hyperlink w:anchor="CONSOLIDATEDBALANCESHEETS_783498">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94" w:type="dxa"/>
            <w:tcBorders/>
            <w:vAlign w:val="center"/>
          </w:tcPr>
          <w:p>
            <w:pPr>
              <w:pStyle w:val="TableContents"/>
              <w:pBdr/>
              <w:bidi w:val="0"/>
              <w:spacing w:before="0" w:after="0"/>
              <w:ind w:left="0" w:right="0" w:hanging="0"/>
              <w:jc w:val="left"/>
              <w:rPr/>
            </w:pPr>
            <w:hyperlink w:anchor="CONSOLIDATEDSTATEMENTOFOPERATIONS">
              <w:r>
                <w:rPr>
                  <w:rStyle w:val="InternetLink"/>
                  <w:rFonts w:ascii="Times New Roman;Times;serif" w:hAnsi="Times New Roman;Times;serif"/>
                  <w:b w:val="false"/>
                  <w:i w:val="false"/>
                  <w:caps w:val="false"/>
                  <w:smallCaps w:val="false"/>
                  <w:sz w:val="20"/>
                </w:rPr>
                <w:t>Condensed Consolidated Statements of Operations and Comprehensive Income for the three and six months ended June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pBdr/>
              <w:bidi w:val="0"/>
              <w:spacing w:before="0" w:after="0"/>
              <w:ind w:left="0" w:right="0" w:hanging="0"/>
              <w:jc w:val="left"/>
              <w:rPr/>
            </w:pPr>
            <w:hyperlink w:anchor="CONSOLIDATEDSTATEMENTSOFCONVERTIBLEPREFE">
              <w:r>
                <w:rPr>
                  <w:rStyle w:val="InternetLink"/>
                  <w:rFonts w:ascii="Times New Roman;Times;serif" w:hAnsi="Times New Roman;Times;serif"/>
                  <w:b w:val="false"/>
                  <w:i w:val="false"/>
                  <w:caps w:val="false"/>
                  <w:smallCaps w:val="false"/>
                  <w:sz w:val="20"/>
                </w:rPr>
                <w:t>Condensed Consolidated Statements of Shareholders’ Equity for the three and six months ended June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94" w:type="dxa"/>
            <w:tcBorders/>
            <w:vAlign w:val="center"/>
          </w:tcPr>
          <w:p>
            <w:pPr>
              <w:pStyle w:val="TableContents"/>
              <w:pBdr/>
              <w:bidi w:val="0"/>
              <w:spacing w:before="0" w:after="0"/>
              <w:ind w:left="0" w:right="0" w:hanging="0"/>
              <w:jc w:val="left"/>
              <w:rPr/>
            </w:pPr>
            <w:hyperlink w:anchor="CONSOLIDATEDSTATEMENTSOFCASHFLOWS_539083">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94" w:type="dxa"/>
            <w:tcBorders/>
            <w:vAlign w:val="center"/>
          </w:tcPr>
          <w:p>
            <w:pPr>
              <w:pStyle w:val="TableContents"/>
              <w:pBdr/>
              <w:bidi w:val="0"/>
              <w:spacing w:before="0" w:after="0"/>
              <w:ind w:left="0" w:right="0" w:hanging="0"/>
              <w:jc w:val="left"/>
              <w:rPr/>
            </w:pPr>
            <w:hyperlink w:anchor="NOTESTOCONSOLIDATEDFINANCIALSTATEMENTS_4">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69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94" w:type="dxa"/>
            <w:tcBorders/>
            <w:vAlign w:val="center"/>
          </w:tcPr>
          <w:p>
            <w:pPr>
              <w:pStyle w:val="TableContents"/>
              <w:bidi w:val="0"/>
              <w:spacing w:before="0" w:after="0"/>
              <w:ind w:left="0" w:right="0" w:hanging="0"/>
              <w:jc w:val="left"/>
              <w:rPr/>
            </w:pPr>
            <w:hyperlink w:anchor="Item4ControlsandProcedures_73951">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center"/>
              <w:rPr/>
            </w:pPr>
            <w:hyperlink w:anchor="PARTIIOTHERINFORMATION_115360">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tcBorders/>
            <w:vAlign w:val="center"/>
          </w:tcPr>
          <w:p>
            <w:pPr>
              <w:pStyle w:val="TableContents"/>
              <w:bidi w:val="0"/>
              <w:spacing w:before="0" w:after="0"/>
              <w:ind w:left="0" w:right="0" w:hanging="0"/>
              <w:jc w:val="left"/>
              <w:rPr/>
            </w:pPr>
            <w:hyperlink w:anchor="Item1LegalProceedings_791855">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tcBorders/>
            <w:vAlign w:val="center"/>
          </w:tcPr>
          <w:p>
            <w:pPr>
              <w:pStyle w:val="TableContents"/>
              <w:bidi w:val="0"/>
              <w:spacing w:before="0" w:after="0"/>
              <w:ind w:left="0" w:right="0" w:hanging="0"/>
              <w:jc w:val="left"/>
              <w:rPr/>
            </w:pPr>
            <w:hyperlink w:anchor="Risk_Factors">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Use of Proceeds and Issuer Purchases of Equity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tcBorders/>
            <w:vAlign w:val="center"/>
          </w:tcPr>
          <w:p>
            <w:pPr>
              <w:pStyle w:val="TableContents"/>
              <w:bidi w:val="0"/>
              <w:spacing w:before="0" w:after="0"/>
              <w:ind w:left="0" w:right="0" w:hanging="0"/>
              <w:jc w:val="left"/>
              <w:rPr/>
            </w:pPr>
            <w:hyperlink w:anchor="Item3DefaultsUponSeniorSecurities_443955">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tcBorders/>
            <w:vAlign w:val="center"/>
          </w:tcPr>
          <w:p>
            <w:pPr>
              <w:pStyle w:val="TableContents"/>
              <w:bidi w:val="0"/>
              <w:spacing w:before="0" w:after="0"/>
              <w:ind w:left="0" w:right="0" w:hanging="0"/>
              <w:jc w:val="left"/>
              <w:rPr/>
            </w:pPr>
            <w:hyperlink w:anchor="Item4MineSafetyDisclosures_69924">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tcBorders/>
            <w:vAlign w:val="center"/>
          </w:tcPr>
          <w:p>
            <w:pPr>
              <w:pStyle w:val="TableContents"/>
              <w:bidi w:val="0"/>
              <w:spacing w:before="0" w:after="0"/>
              <w:ind w:left="0" w:right="0" w:hanging="0"/>
              <w:jc w:val="left"/>
              <w:rPr/>
            </w:pPr>
            <w:hyperlink w:anchor="Item5OtherInformation_655701">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tcBorders/>
            <w:vAlign w:val="center"/>
          </w:tcPr>
          <w:p>
            <w:pPr>
              <w:pStyle w:val="TableContents"/>
              <w:bidi w:val="0"/>
              <w:spacing w:before="0" w:after="0"/>
              <w:ind w:left="0" w:right="0" w:hanging="0"/>
              <w:jc w:val="left"/>
              <w:rPr/>
            </w:pPr>
            <w:hyperlink w:anchor="Item6Exhibits_424431">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SIGNATURES_66347">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1" w:name="_e2fc5fd6_9358_424e_9fd9_747af229acac"/>
      <w:bookmarkEnd w:id="41"/>
      <w:r>
        <w:rPr>
          <w:rFonts w:ascii="Times New Roman;Times;serif" w:hAnsi="Times New Roman;Times;serif"/>
          <w:b/>
          <w:sz w:val="20"/>
        </w:rPr>
        <w:t>SPECIAL NOTE REGARDING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“Quarterly Report”) contains forward-looking statements. All statements other than statements of historical facts contained in this Quarterly Report should be considered forward-looking statements, including statements regarding: our beliefs that KPL-387 will expand the recurrent pericarditis market and provide additional treatment options for patients; our beliefs about dosing and administration for our product candidates, including that KPL-387 has the potential for monthly subcutaneous self-administration in a liquid formulation and that KPL-1161 has the potential for quarterly subcutaneous dosing; our expectation to begin commercializing KPL-387 in 2028 or 2029; our plan to initiate a Phase 1 first-in-human clinical trial of KPL-1161 by the end of 2026; our expectation that our cash balance and our expected cash inflows from operations will allow us to meet our current operating plan and that our existing cash, cash equivalents and short-term investments will enable us to fund our operating expenses and capital expenditure requirements for at least the next 12 months; statements regarding our expected near-term expenditures and revenue; and other similar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some cases, you can identify forward-looking statements by terms such as “may,” “will,” “should,” “expect,” “plan,” “anticipate,” “could,” “intend,” “goal,” “design,” “target,” “project,” “contemplate,” “believe,” “estimate,” “predict,” “potential” or “continue” or the negative of these terms or other similar expressions, although not all forward-looking statements contain these identifying words.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described in this Quarterly Report and Part I, Item 1A of our Annual Report on Form 10-K for the year ended December 31, 2025 (the “Annual Report”), as updated by any information appearing in Part II, Item 1A of any of our subsequent Quarterly Reports on Form 10-Q, including this Quarterly Report.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Because forward-looking statements are inherently subject to risks and uncertainties, some of which cannot be predicted or quantified and some of which are beyond our control, you should not place undue reliance on our forward-looking statements. Except as required by applicable law, we do not assume and specifically disclaim any obligation to update any forward-looking statements, whether as a result of any new information, future events, changed circumstances or otherwise.</w:t>
      </w:r>
    </w:p>
    <w:p>
      <w:pPr>
        <w:pStyle w:val="TextBody"/>
        <w:bidi w:val="0"/>
        <w:spacing w:before="0" w:after="200"/>
        <w:ind w:left="0" w:right="0" w:hanging="0"/>
        <w:jc w:val="center"/>
        <w:rPr>
          <w:rFonts w:ascii="Times New Roman;Times;serif" w:hAnsi="Times New Roman;Times;serif"/>
          <w:b/>
          <w:caps/>
          <w:sz w:val="20"/>
        </w:rPr>
      </w:pPr>
      <w:r>
        <w:rPr>
          <w:rFonts w:ascii="Times New Roman;Times;serif" w:hAnsi="Times New Roman;Times;serif"/>
          <w:b/>
          <w:caps/>
          <w:sz w:val="20"/>
        </w:rPr>
        <w:t>Industry and other data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Unless otherwise indicated, certain industry data and market data included in this Quarterly Report were obtained from independent third party surveys, market research, publicly available information, reports of governmental agencies and industry publications and surveys. All of the market data used in this Quarterly Report involves a number of assumptions and limitations, and you are cautioned not to give undue weight to such estimates. We believe that the information from these industry publications and surveys included in this Quarterly Report is reliable.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ARCALYST is a registered trademark of Regeneron. Solely for convenience, trademarks, service marks, and trade names referred to in this Quarterly Report may be listed without identifying symbols.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2" w:name="PartIFinancialInformation_402294"/>
      <w:bookmarkStart w:id="43" w:name="_094f3dea_7a70_44dc_b7a2_5abe6ed721e2"/>
      <w:bookmarkEnd w:id="42"/>
      <w:bookmarkEnd w:id="4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4" w:name="Item1FinancialStatementsunaudited_945731"/>
      <w:bookmarkEnd w:id="44"/>
      <w:r>
        <w:rPr>
          <w:rFonts w:ascii="Times New Roman;Times;serif" w:hAnsi="Times New Roman;Times;serif"/>
          <w:b/>
          <w:sz w:val="20"/>
        </w:rPr>
        <w:t>Item 1.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KINIKSA PHARMACEUTICALS INTERNATIONAL, PLC </w:t>
      </w:r>
    </w:p>
    <w:p>
      <w:pPr>
        <w:pStyle w:val="TextBody"/>
        <w:bidi w:val="0"/>
        <w:spacing w:before="0" w:after="0"/>
        <w:ind w:left="0" w:right="0" w:hanging="0"/>
        <w:jc w:val="center"/>
        <w:rPr>
          <w:rFonts w:ascii="Times New Roman;Times;serif" w:hAnsi="Times New Roman;Times;serif"/>
          <w:b/>
          <w:sz w:val="20"/>
        </w:rPr>
      </w:pPr>
      <w:bookmarkStart w:id="45" w:name="CONSOLIDATEDBALANCESHEETS_783498"/>
      <w:bookmarkEnd w:id="45"/>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6" w:name="Tc_xq0TJcMppU-mETGB9GHhfg_41_5"/>
      <w:bookmarkStart w:id="47" w:name="Tc_ALd3wsoXjEi4L4ChWGwkig_41_2"/>
      <w:bookmarkStart w:id="48" w:name="Tc_p0wz9WO5j0u3JxZTivr2yw_41_0"/>
      <w:bookmarkStart w:id="49" w:name="Tc_35S2VtMHC0ebv1_TxUIgpg_40_0"/>
      <w:bookmarkStart w:id="50" w:name="Tc_WCFBlO2aiUSCbDg-IwAwig_39_0"/>
      <w:bookmarkStart w:id="51" w:name="Tc_HKbMmU01CUmF07x8SofhRw_38_0"/>
      <w:bookmarkStart w:id="52" w:name="Tc_AE3Qm-4pdUSmEyKS8PGqdg_37_0"/>
      <w:bookmarkStart w:id="53" w:name="Tc_HeWBENf7i0OiPeIPy4FdLA_36_0"/>
      <w:bookmarkStart w:id="54" w:name="Tc_AROxnI_I5U2Pn0pp1V0OuQ_35_0"/>
      <w:bookmarkStart w:id="55" w:name="Tc_u2FYnBV-9kiJBnQIIuHtsA_34_0"/>
      <w:bookmarkStart w:id="56" w:name="Tc_pM38Y_kyXE6kI8gm9FBDVA_33_0"/>
      <w:bookmarkStart w:id="57" w:name="Tc_WipYT7mLjU6nzxOqdvydNg_32_0"/>
      <w:bookmarkStart w:id="58" w:name="Tc_mtNEYojeGEGdi0coe6WjOw_31_0"/>
      <w:bookmarkStart w:id="59" w:name="Tc_gQCIU7zDZUmnwtpk-F-Gzw_30_0"/>
      <w:bookmarkStart w:id="60" w:name="Tc_a2FeI4C_rE6_Z8G929kJoA_29_0"/>
      <w:bookmarkStart w:id="61" w:name="Tc_mHDZ8oHu4EGTGeL7ZghgvQ_28_0"/>
      <w:bookmarkStart w:id="62" w:name="Tc_0x_gUosdEU-5kmghpSymww_27_0"/>
      <w:bookmarkStart w:id="63" w:name="Tc_BlSvQ6_9uEKBwdI6wWfy1g_26_0"/>
      <w:bookmarkStart w:id="64" w:name="Tc_8xFSdst140myBpGkGiU64g_25_0"/>
      <w:bookmarkStart w:id="65" w:name="Tc_TRQ-SQ6TB0unt11gqwEKhw_24_0"/>
      <w:bookmarkStart w:id="66" w:name="Tc_pVBk-RUx40Gk0Hqn8TA_6g_23_0"/>
      <w:bookmarkStart w:id="67" w:name="Tc_cgpluXBgFUG5Jlk364a8Mw_22_0"/>
      <w:bookmarkStart w:id="68" w:name="Tc_DZRQo9CL002QzrDbQd6DIA_21_0"/>
      <w:bookmarkStart w:id="69" w:name="Tc_VnXOlRwc9E2cDuFtR6kPQQ_20_5"/>
      <w:bookmarkStart w:id="70" w:name="Tc_aY3-qb22Ok6sMI2vPBWoGQ_20_2"/>
      <w:bookmarkStart w:id="71" w:name="Tc_mY_78NKUo029t7Dh5_uLKA_20_0"/>
      <w:bookmarkStart w:id="72" w:name="Tc_Sq7ph3qqHkKsl8_3cZ_Pvg_19_0"/>
      <w:bookmarkStart w:id="73" w:name="Tc_q6DVeh-G4Uamqs0f75OkQA_18_0"/>
      <w:bookmarkStart w:id="74" w:name="Tc_w1SJ0xG0bU6DHUUFoQLIrA_16_5"/>
      <w:bookmarkStart w:id="75" w:name="Tc_wzl1-L7hLkuMrJKRKQzJtg_16_2"/>
      <w:bookmarkStart w:id="76" w:name="Tc_sveUD_Dfn0aeTSQtV3DWvQ_16_0"/>
      <w:bookmarkStart w:id="77" w:name="Tc_m_XdUuAfwkuWGbpsDHG0NA_15_0"/>
      <w:bookmarkStart w:id="78" w:name="Tc_v0uAKUdFg0CVXfxeRapbYg_14_0"/>
      <w:bookmarkStart w:id="79" w:name="Tc_6bJgAHfM2kuTc3gyOFeGIA_13_0"/>
      <w:bookmarkStart w:id="80" w:name="Tc_6gEC0vIKi0qDByrhp-aUNA_12_0"/>
      <w:bookmarkStart w:id="81" w:name="Tc_ZCXE9pquUkCesobyqhk67A_11_0"/>
      <w:bookmarkStart w:id="82" w:name="Tc_euicpwa95ECaH437kDLaig_10_0"/>
      <w:bookmarkStart w:id="83" w:name="Tc_LgXcMgdqlkqh4ArYFNk_8Q_9_0"/>
      <w:bookmarkStart w:id="84" w:name="Tc_M9m3QABMfUmPQ2CCiTo8fA_8_0"/>
      <w:bookmarkStart w:id="85" w:name="Tc_X3dHhgr6JUKlHKfWFd1GfA_7_0"/>
      <w:bookmarkStart w:id="86" w:name="Tc_u4lvZHzI8Uez7rIW8t1JlQ_6_0"/>
      <w:bookmarkStart w:id="87" w:name="Tc_vIvS1t44uUS5QuUD8NdwnA_5_5"/>
      <w:bookmarkStart w:id="88" w:name="Tc_5Ubtx0rJEU6SkDxkuWJKRA_5_2"/>
      <w:bookmarkStart w:id="89" w:name="Tc_g5IriezGYU6WIozf0PSrLQ_5_0"/>
      <w:bookmarkStart w:id="90" w:name="Tc_78rYNy9U0EeSoFIgiAWZmw_4_0"/>
      <w:bookmarkStart w:id="91" w:name="Tc_KctUA4QZhkuEvdfAouODfQ_3_0"/>
      <w:bookmarkStart w:id="92" w:name="Tc_tcuNxA-tFkGtaoSVc2uzxg_2_5"/>
      <w:bookmarkStart w:id="93" w:name="Tc_Fpcl0pixDU6bXuU6S4PvIQ_2_2"/>
      <w:bookmarkStart w:id="94" w:name="Tc_ETppA-ZVsUiVRCTkOjvDjw_1_5"/>
      <w:bookmarkStart w:id="95" w:name="Tc_g7HNuCf1KEC1cA3g85y-fw_1_2"/>
      <w:bookmarkStart w:id="96" w:name="_a8b7e180_c47d_40af_bbfe_9666271796b2"/>
      <w:bookmarkStart w:id="97" w:name="Tc_xq0TJcMppU-mETGB9GHhfg_41_5"/>
      <w:bookmarkStart w:id="98" w:name="Tc_ALd3wsoXjEi4L4ChWGwkig_41_2"/>
      <w:bookmarkStart w:id="99" w:name="Tc_p0wz9WO5j0u3JxZTivr2yw_41_0"/>
      <w:bookmarkStart w:id="100" w:name="Tc_35S2VtMHC0ebv1_TxUIgpg_40_0"/>
      <w:bookmarkStart w:id="101" w:name="Tc_WCFBlO2aiUSCbDg-IwAwig_39_0"/>
      <w:bookmarkStart w:id="102" w:name="Tc_HKbMmU01CUmF07x8SofhRw_38_0"/>
      <w:bookmarkStart w:id="103" w:name="Tc_AE3Qm-4pdUSmEyKS8PGqdg_37_0"/>
      <w:bookmarkStart w:id="104" w:name="Tc_HeWBENf7i0OiPeIPy4FdLA_36_0"/>
      <w:bookmarkStart w:id="105" w:name="Tc_AROxnI_I5U2Pn0pp1V0OuQ_35_0"/>
      <w:bookmarkStart w:id="106" w:name="Tc_u2FYnBV-9kiJBnQIIuHtsA_34_0"/>
      <w:bookmarkStart w:id="107" w:name="Tc_pM38Y_kyXE6kI8gm9FBDVA_33_0"/>
      <w:bookmarkStart w:id="108" w:name="Tc_WipYT7mLjU6nzxOqdvydNg_32_0"/>
      <w:bookmarkStart w:id="109" w:name="Tc_mtNEYojeGEGdi0coe6WjOw_31_0"/>
      <w:bookmarkStart w:id="110" w:name="Tc_gQCIU7zDZUmnwtpk-F-Gzw_30_0"/>
      <w:bookmarkStart w:id="111" w:name="Tc_a2FeI4C_rE6_Z8G929kJoA_29_0"/>
      <w:bookmarkStart w:id="112" w:name="Tc_mHDZ8oHu4EGTGeL7ZghgvQ_28_0"/>
      <w:bookmarkStart w:id="113" w:name="Tc_0x_gUosdEU-5kmghpSymww_27_0"/>
      <w:bookmarkStart w:id="114" w:name="Tc_BlSvQ6_9uEKBwdI6wWfy1g_26_0"/>
      <w:bookmarkStart w:id="115" w:name="Tc_8xFSdst140myBpGkGiU64g_25_0"/>
      <w:bookmarkStart w:id="116" w:name="Tc_TRQ-SQ6TB0unt11gqwEKhw_24_0"/>
      <w:bookmarkStart w:id="117" w:name="Tc_pVBk-RUx40Gk0Hqn8TA_6g_23_0"/>
      <w:bookmarkStart w:id="118" w:name="Tc_cgpluXBgFUG5Jlk364a8Mw_22_0"/>
      <w:bookmarkStart w:id="119" w:name="Tc_DZRQo9CL002QzrDbQd6DIA_21_0"/>
      <w:bookmarkStart w:id="120" w:name="Tc_VnXOlRwc9E2cDuFtR6kPQQ_20_5"/>
      <w:bookmarkStart w:id="121" w:name="Tc_aY3-qb22Ok6sMI2vPBWoGQ_20_2"/>
      <w:bookmarkStart w:id="122" w:name="Tc_mY_78NKUo029t7Dh5_uLKA_20_0"/>
      <w:bookmarkStart w:id="123" w:name="Tc_Sq7ph3qqHkKsl8_3cZ_Pvg_19_0"/>
      <w:bookmarkStart w:id="124" w:name="Tc_q6DVeh-G4Uamqs0f75OkQA_18_0"/>
      <w:bookmarkStart w:id="125" w:name="Tc_w1SJ0xG0bU6DHUUFoQLIrA_16_5"/>
      <w:bookmarkStart w:id="126" w:name="Tc_wzl1-L7hLkuMrJKRKQzJtg_16_2"/>
      <w:bookmarkStart w:id="127" w:name="Tc_sveUD_Dfn0aeTSQtV3DWvQ_16_0"/>
      <w:bookmarkStart w:id="128" w:name="Tc_m_XdUuAfwkuWGbpsDHG0NA_15_0"/>
      <w:bookmarkStart w:id="129" w:name="Tc_v0uAKUdFg0CVXfxeRapbYg_14_0"/>
      <w:bookmarkStart w:id="130" w:name="Tc_6bJgAHfM2kuTc3gyOFeGIA_13_0"/>
      <w:bookmarkStart w:id="131" w:name="Tc_6gEC0vIKi0qDByrhp-aUNA_12_0"/>
      <w:bookmarkStart w:id="132" w:name="Tc_ZCXE9pquUkCesobyqhk67A_11_0"/>
      <w:bookmarkStart w:id="133" w:name="Tc_euicpwa95ECaH437kDLaig_10_0"/>
      <w:bookmarkStart w:id="134" w:name="Tc_LgXcMgdqlkqh4ArYFNk_8Q_9_0"/>
      <w:bookmarkStart w:id="135" w:name="Tc_M9m3QABMfUmPQ2CCiTo8fA_8_0"/>
      <w:bookmarkStart w:id="136" w:name="Tc_X3dHhgr6JUKlHKfWFd1GfA_7_0"/>
      <w:bookmarkStart w:id="137" w:name="Tc_u4lvZHzI8Uez7rIW8t1JlQ_6_0"/>
      <w:bookmarkStart w:id="138" w:name="Tc_vIvS1t44uUS5QuUD8NdwnA_5_5"/>
      <w:bookmarkStart w:id="139" w:name="Tc_5Ubtx0rJEU6SkDxkuWJKRA_5_2"/>
      <w:bookmarkStart w:id="140" w:name="Tc_g5IriezGYU6WIozf0PSrLQ_5_0"/>
      <w:bookmarkStart w:id="141" w:name="Tc_78rYNy9U0EeSoFIgiAWZmw_4_0"/>
      <w:bookmarkStart w:id="142" w:name="Tc_KctUA4QZhkuEvdfAouODfQ_3_0"/>
      <w:bookmarkStart w:id="143" w:name="Tc_tcuNxA-tFkGtaoSVc2uzxg_2_5"/>
      <w:bookmarkStart w:id="144" w:name="Tc_Fpcl0pixDU6bXuU6S4PvIQ_2_2"/>
      <w:bookmarkStart w:id="145" w:name="Tc_ETppA-ZVsUiVRCTkOjvDjw_1_5"/>
      <w:bookmarkStart w:id="146" w:name="Tc_g7HNuCf1KEC1cA3g85y-fw_1_2"/>
      <w:bookmarkStart w:id="147" w:name="_a8b7e180_c47d_40af_bbfe_9666271796b2"/>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10205" w:type="dxa"/>
        <w:jc w:val="left"/>
        <w:tblInd w:w="0" w:type="dxa"/>
        <w:tblLayout w:type="fixed"/>
        <w:tblCellMar>
          <w:top w:w="0" w:type="dxa"/>
          <w:left w:w="0" w:type="dxa"/>
          <w:bottom w:w="0" w:type="dxa"/>
          <w:right w:w="0" w:type="dxa"/>
        </w:tblCellMar>
      </w:tblPr>
      <w:tblGrid>
        <w:gridCol w:w="7352"/>
        <w:gridCol w:w="346"/>
        <w:gridCol w:w="196"/>
        <w:gridCol w:w="826"/>
        <w:gridCol w:w="346"/>
        <w:gridCol w:w="208"/>
        <w:gridCol w:w="931"/>
      </w:tblGrid>
      <w:tr>
        <w:trPr/>
        <w:tc>
          <w:tcPr>
            <w:tcW w:w="73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2080" cy="175260"/>
                      <wp:effectExtent l="0" t="0" r="0" b="0"/>
                      <wp:wrapNone/>
                      <wp:docPr id="5" name="Frame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1185" cy="175260"/>
                      <wp:effectExtent l="0" t="0" r="0" b="0"/>
                      <wp:wrapNone/>
                      <wp:docPr id="6" name="Frame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175,677</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165,596</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350,251</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248,478</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23,490</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15,594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70,930</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54,895</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48,285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42,614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668,633</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527,177</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1,943</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8,353</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9,807</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10,834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11,307</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14,750</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15,250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190,965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198,149</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896,110</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763,633</w:t>
            </w:r>
          </w:p>
        </w:tc>
      </w:tr>
      <w:tr>
        <w:trPr/>
        <w:tc>
          <w:tcPr>
            <w:tcW w:w="73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12,404</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collaboration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88,049</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70,015</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46,730</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42,020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4,012</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2,987</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20,052</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22,134</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171,247</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139,184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31,811</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31,811</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34,018</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18,522</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241,961</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196,027</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ordinary shares, nominal value of $0.000273235 per share; 48,244,934 shares and 45,659,424 shares issued and outstanding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B ordinary shares, nominal value of $0.000273235 per share; 895,158 shares and 1,795,158 shares issued and outstanding as of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A1 ordinary shares, nominal value of $0.000273235 per share; 12,781,964 shares issued and outstanding as of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B1 ordinary shares, $0.000273235 nominal value; 16,057,618 shares issued and outstanding as of June 30, 2026 and December 31,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1,069,622</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1,029,748</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(414,114)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(462,138)</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654,149</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567,606</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liabilities and shareholders’ equity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896,110</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763,633</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8" w:name="_821208a5_dc41_4a48_868b_338c384e32c9"/>
      <w:bookmarkEnd w:id="148"/>
      <w:r>
        <w:rPr>
          <w:rFonts w:ascii="Times New Roman;Times;serif" w:hAnsi="Times New Roman;Times;serif"/>
          <w:b/>
          <w:sz w:val="20"/>
        </w:rPr>
        <w:t xml:space="preserve">KINIKSA PHARMACEUTICALS INTERNATIONAL, PLC </w:t>
      </w:r>
    </w:p>
    <w:p>
      <w:pPr>
        <w:pStyle w:val="TextBody"/>
        <w:bidi w:val="0"/>
        <w:spacing w:before="0" w:after="0"/>
        <w:ind w:left="0" w:right="0" w:hanging="0"/>
        <w:jc w:val="center"/>
        <w:rPr>
          <w:rFonts w:ascii="Times New Roman;Times;serif" w:hAnsi="Times New Roman;Times;serif"/>
          <w:b/>
          <w:sz w:val="20"/>
        </w:rPr>
      </w:pPr>
      <w:bookmarkStart w:id="149" w:name="CONSOLIDATEDSTATEMENTOFOPERATIONS"/>
      <w:bookmarkEnd w:id="149"/>
      <w:r>
        <w:rPr>
          <w:rFonts w:ascii="Times New Roman;Times;serif" w:hAnsi="Times New Roman;Times;serif"/>
          <w:b/>
          <w:sz w:val="20"/>
        </w:rPr>
        <w:t>CONDENSED CONSOLIDATED STATEMENTS OF OPERATIONS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0" w:name="Tc_-oyti_ls_UaTiq_GN6l_gA_28_11"/>
      <w:bookmarkStart w:id="151" w:name="Tc_VLHIHlP9wEOoK2vwRyOHjA_28_8"/>
      <w:bookmarkStart w:id="152" w:name="Tc_zkT6q7Q3sESvP1zbYsBLTQ_28_5"/>
      <w:bookmarkStart w:id="153" w:name="Tc_2JUiK7ATpka7b0AJBcecDg_28_2"/>
      <w:bookmarkStart w:id="154" w:name="Tc_Kcejt8D9NkaPWzaliyN1ig_28_0"/>
      <w:bookmarkStart w:id="155" w:name="Tc_9MiuYrQBGkOmL5YeWj0WnQ_27_0"/>
      <w:bookmarkStart w:id="156" w:name="Tc_TPsxEageFkeWNdrtGXGxUw_26_0"/>
      <w:bookmarkStart w:id="157" w:name="Tc_Hs7c_S0l0UOVq46G6sWP6g_25_0"/>
      <w:bookmarkStart w:id="158" w:name="Tc_yJw_ljCqLU-Ez6eXxtb_0w_24_11"/>
      <w:bookmarkStart w:id="159" w:name="Tc_7d2yQf2PbEaoMlQnYKpzSA_24_8"/>
      <w:bookmarkStart w:id="160" w:name="Tc_RnicFormIU-IReEkDGsiOw_24_5"/>
      <w:bookmarkStart w:id="161" w:name="Tc_pIzkyP2P302eJu_S-hHbPA_24_2"/>
      <w:bookmarkStart w:id="162" w:name="Tc_QpkxpZi9DkC-NLh8K5RSWg_24_0"/>
      <w:bookmarkStart w:id="163" w:name="Tc_2NiX4wXb9UO3dbDOOO6OsA_23_0"/>
      <w:bookmarkStart w:id="164" w:name="Tc_44Gpgy3My0eCKZ-l4Yq1NA_22_0"/>
      <w:bookmarkStart w:id="165" w:name="Tc_ytrhNXOk4UuaDYmB5FeM4w_21_0"/>
      <w:bookmarkStart w:id="166" w:name="Tc_NioJ5DyDLEeyq4nc-RHvdg_20_11"/>
      <w:bookmarkStart w:id="167" w:name="Tc_HsKR-ju2PkW0BHMf5Lk56Q_20_8"/>
      <w:bookmarkStart w:id="168" w:name="Tc_zxEcWsuxiEa_uc4q9IZ81g_20_5"/>
      <w:bookmarkStart w:id="169" w:name="Tc_WcSW-U0sQ0SqN37JPNumoA_20_2"/>
      <w:bookmarkStart w:id="170" w:name="Tc_BeYpJKLzkUuT2T84gxX0Bg_20_0"/>
      <w:bookmarkStart w:id="171" w:name="Tc_-cuMIGEkhEmBoduED9e0ig_19_11"/>
      <w:bookmarkStart w:id="172" w:name="Tc_aBRE8WZ4w0eIdcxjGmQ-ZQ_19_8"/>
      <w:bookmarkStart w:id="173" w:name="Tc_OA9ASgjeNkKXE3cePabYsA_19_5"/>
      <w:bookmarkStart w:id="174" w:name="Tc_LhTXd5Tr302yWn2MzjDFxQ_19_2"/>
      <w:bookmarkStart w:id="175" w:name="Tc_4KpXjmwoukClKKbLOfzY_w_19_0"/>
      <w:bookmarkStart w:id="176" w:name="Tc_A_4ZzZtFSEy8tKljtiebPw_18_11"/>
      <w:bookmarkStart w:id="177" w:name="Tc_JC3FHRCWHESp3kLP9TNKuA_18_8"/>
      <w:bookmarkStart w:id="178" w:name="Tc_pk7oEwgXm0qd7MF8zwZkzw_18_5"/>
      <w:bookmarkStart w:id="179" w:name="Tc_RCbdZ62cHUSZhH51iq8zQw_18_2"/>
      <w:bookmarkStart w:id="180" w:name="Tc_etC2vT0R7UavOxVfIiCf6Q_18_0"/>
      <w:bookmarkStart w:id="181" w:name="Tc_fV1EASx350Sb7C9H_G3Baw_17_0"/>
      <w:bookmarkStart w:id="182" w:name="Tc_tIp7VWitv0ibWPfNSP1ISg_16_0"/>
      <w:bookmarkStart w:id="183" w:name="Tc_d64KYvbIT06QOTt2pPUzBw_15_0"/>
      <w:bookmarkStart w:id="184" w:name="Tc_3YkuVcqFzUu6fP_vO4mtJQ_14_0"/>
      <w:bookmarkStart w:id="185" w:name="Tc_k7HyJX1kY0CdO2EL4ieQnw_13_0"/>
      <w:bookmarkStart w:id="186" w:name="Tc_OgAQ3aMtaEmkT1CC62Z3rQ_12_0"/>
      <w:bookmarkStart w:id="187" w:name="Tc_9LJRBFEeOkKLceoeJlE_2A_11_0"/>
      <w:bookmarkStart w:id="188" w:name="Tc_pfiSOVxZvUiwQmn36yo1VA_10_0"/>
      <w:bookmarkStart w:id="189" w:name="Tc__GmO0ynBqEas6C8Dt_Wynw_9_0"/>
      <w:bookmarkStart w:id="190" w:name="Tc_EUVOUVwfMkKTkkj-FO2s8Q_8_0"/>
      <w:bookmarkStart w:id="191" w:name="Tc_hSW1UW1sjkOOGbbcCzItHA_7_0"/>
      <w:bookmarkStart w:id="192" w:name="Tc_OF-1wkkfzEyBofG4xfmxkQ_6_12"/>
      <w:bookmarkStart w:id="193" w:name="Tc_hkMLyVkx70GzYlFI8LA5Dw_6_9"/>
      <w:bookmarkStart w:id="194" w:name="Tc_KQ3o9JScFE-kV84d1n6sFA_6_6"/>
      <w:bookmarkStart w:id="195" w:name="Tc_qLCA4Jcc2kKn7wXQu4LgTw_6_3"/>
      <w:bookmarkStart w:id="196" w:name="Tc_IvJnhDPf7kaLceEi8DCE_g_6_0"/>
      <w:bookmarkStart w:id="197" w:name="Tc_9LSophjhUkWBMjb-UTKIgA_5_11"/>
      <w:bookmarkStart w:id="198" w:name="Tc_pyD7fade9UuSeT-NI8GqGw_5_8"/>
      <w:bookmarkStart w:id="199" w:name="Tc_G868EnxMxUGOXDTd2K3qIw_5_5"/>
      <w:bookmarkStart w:id="200" w:name="Tc_BJRz8_8nQEOo6VUL4KuI4Q_5_2"/>
      <w:bookmarkStart w:id="201" w:name="Tc_30dM8hi4zEqhwIG2ucEbZw_5_0"/>
      <w:bookmarkStart w:id="202" w:name="Tc_A5Dtp0vlt0-FaMoWir8g4Q_4_0"/>
      <w:bookmarkStart w:id="203" w:name="Tc_gXHkLvMS7kmHx4bzPORUsQ_3_11"/>
      <w:bookmarkStart w:id="204" w:name="Tc_pjWCUXNCe0uI1ZxCdpap-w_3_8"/>
      <w:bookmarkStart w:id="205" w:name="Tc_E7Dy-9C14U6fu2ZN_LOwQA_3_5"/>
      <w:bookmarkStart w:id="206" w:name="Tc_OXbUlVJETU2iOlKBGVh_bA_3_2"/>
      <w:bookmarkStart w:id="207" w:name="Tc_oBy5OgQ00UCJV9tqZ4kIWA_2_8"/>
      <w:bookmarkStart w:id="208" w:name="Tc_PsBFZB046kOThX4Yg4XhKQ_2_2"/>
      <w:bookmarkStart w:id="209" w:name="Tc_hrJXA5bVukSaC884b3lITQ_1_8"/>
      <w:bookmarkStart w:id="210" w:name="Tc_FuvOWbuhlEmEElYozcUIsA_1_2"/>
      <w:bookmarkStart w:id="211" w:name="_4b5978d2_4699_46d4_9f40_6b0d20f6cbb8"/>
      <w:bookmarkStart w:id="212" w:name="Tc_-oyti_ls_UaTiq_GN6l_gA_28_11"/>
      <w:bookmarkStart w:id="213" w:name="Tc_VLHIHlP9wEOoK2vwRyOHjA_28_8"/>
      <w:bookmarkStart w:id="214" w:name="Tc_zkT6q7Q3sESvP1zbYsBLTQ_28_5"/>
      <w:bookmarkStart w:id="215" w:name="Tc_2JUiK7ATpka7b0AJBcecDg_28_2"/>
      <w:bookmarkStart w:id="216" w:name="Tc_Kcejt8D9NkaPWzaliyN1ig_28_0"/>
      <w:bookmarkStart w:id="217" w:name="Tc_9MiuYrQBGkOmL5YeWj0WnQ_27_0"/>
      <w:bookmarkStart w:id="218" w:name="Tc_TPsxEageFkeWNdrtGXGxUw_26_0"/>
      <w:bookmarkStart w:id="219" w:name="Tc_Hs7c_S0l0UOVq46G6sWP6g_25_0"/>
      <w:bookmarkStart w:id="220" w:name="Tc_yJw_ljCqLU-Ez6eXxtb_0w_24_11"/>
      <w:bookmarkStart w:id="221" w:name="Tc_7d2yQf2PbEaoMlQnYKpzSA_24_8"/>
      <w:bookmarkStart w:id="222" w:name="Tc_RnicFormIU-IReEkDGsiOw_24_5"/>
      <w:bookmarkStart w:id="223" w:name="Tc_pIzkyP2P302eJu_S-hHbPA_24_2"/>
      <w:bookmarkStart w:id="224" w:name="Tc_QpkxpZi9DkC-NLh8K5RSWg_24_0"/>
      <w:bookmarkStart w:id="225" w:name="Tc_2NiX4wXb9UO3dbDOOO6OsA_23_0"/>
      <w:bookmarkStart w:id="226" w:name="Tc_44Gpgy3My0eCKZ-l4Yq1NA_22_0"/>
      <w:bookmarkStart w:id="227" w:name="Tc_ytrhNXOk4UuaDYmB5FeM4w_21_0"/>
      <w:bookmarkStart w:id="228" w:name="Tc_NioJ5DyDLEeyq4nc-RHvdg_20_11"/>
      <w:bookmarkStart w:id="229" w:name="Tc_HsKR-ju2PkW0BHMf5Lk56Q_20_8"/>
      <w:bookmarkStart w:id="230" w:name="Tc_zxEcWsuxiEa_uc4q9IZ81g_20_5"/>
      <w:bookmarkStart w:id="231" w:name="Tc_WcSW-U0sQ0SqN37JPNumoA_20_2"/>
      <w:bookmarkStart w:id="232" w:name="Tc_BeYpJKLzkUuT2T84gxX0Bg_20_0"/>
      <w:bookmarkStart w:id="233" w:name="Tc_-cuMIGEkhEmBoduED9e0ig_19_11"/>
      <w:bookmarkStart w:id="234" w:name="Tc_aBRE8WZ4w0eIdcxjGmQ-ZQ_19_8"/>
      <w:bookmarkStart w:id="235" w:name="Tc_OA9ASgjeNkKXE3cePabYsA_19_5"/>
      <w:bookmarkStart w:id="236" w:name="Tc_LhTXd5Tr302yWn2MzjDFxQ_19_2"/>
      <w:bookmarkStart w:id="237" w:name="Tc_4KpXjmwoukClKKbLOfzY_w_19_0"/>
      <w:bookmarkStart w:id="238" w:name="Tc_A_4ZzZtFSEy8tKljtiebPw_18_11"/>
      <w:bookmarkStart w:id="239" w:name="Tc_JC3FHRCWHESp3kLP9TNKuA_18_8"/>
      <w:bookmarkStart w:id="240" w:name="Tc_pk7oEwgXm0qd7MF8zwZkzw_18_5"/>
      <w:bookmarkStart w:id="241" w:name="Tc_RCbdZ62cHUSZhH51iq8zQw_18_2"/>
      <w:bookmarkStart w:id="242" w:name="Tc_etC2vT0R7UavOxVfIiCf6Q_18_0"/>
      <w:bookmarkStart w:id="243" w:name="Tc_fV1EASx350Sb7C9H_G3Baw_17_0"/>
      <w:bookmarkStart w:id="244" w:name="Tc_tIp7VWitv0ibWPfNSP1ISg_16_0"/>
      <w:bookmarkStart w:id="245" w:name="Tc_d64KYvbIT06QOTt2pPUzBw_15_0"/>
      <w:bookmarkStart w:id="246" w:name="Tc_3YkuVcqFzUu6fP_vO4mtJQ_14_0"/>
      <w:bookmarkStart w:id="247" w:name="Tc_k7HyJX1kY0CdO2EL4ieQnw_13_0"/>
      <w:bookmarkStart w:id="248" w:name="Tc_OgAQ3aMtaEmkT1CC62Z3rQ_12_0"/>
      <w:bookmarkStart w:id="249" w:name="Tc_9LJRBFEeOkKLceoeJlE_2A_11_0"/>
      <w:bookmarkStart w:id="250" w:name="Tc_pfiSOVxZvUiwQmn36yo1VA_10_0"/>
      <w:bookmarkStart w:id="251" w:name="Tc__GmO0ynBqEas6C8Dt_Wynw_9_0"/>
      <w:bookmarkStart w:id="252" w:name="Tc_EUVOUVwfMkKTkkj-FO2s8Q_8_0"/>
      <w:bookmarkStart w:id="253" w:name="Tc_hSW1UW1sjkOOGbbcCzItHA_7_0"/>
      <w:bookmarkStart w:id="254" w:name="Tc_OF-1wkkfzEyBofG4xfmxkQ_6_12"/>
      <w:bookmarkStart w:id="255" w:name="Tc_hkMLyVkx70GzYlFI8LA5Dw_6_9"/>
      <w:bookmarkStart w:id="256" w:name="Tc_KQ3o9JScFE-kV84d1n6sFA_6_6"/>
      <w:bookmarkStart w:id="257" w:name="Tc_qLCA4Jcc2kKn7wXQu4LgTw_6_3"/>
      <w:bookmarkStart w:id="258" w:name="Tc_IvJnhDPf7kaLceEi8DCE_g_6_0"/>
      <w:bookmarkStart w:id="259" w:name="Tc_9LSophjhUkWBMjb-UTKIgA_5_11"/>
      <w:bookmarkStart w:id="260" w:name="Tc_pyD7fade9UuSeT-NI8GqGw_5_8"/>
      <w:bookmarkStart w:id="261" w:name="Tc_G868EnxMxUGOXDTd2K3qIw_5_5"/>
      <w:bookmarkStart w:id="262" w:name="Tc_BJRz8_8nQEOo6VUL4KuI4Q_5_2"/>
      <w:bookmarkStart w:id="263" w:name="Tc_30dM8hi4zEqhwIG2ucEbZw_5_0"/>
      <w:bookmarkStart w:id="264" w:name="Tc_A5Dtp0vlt0-FaMoWir8g4Q_4_0"/>
      <w:bookmarkStart w:id="265" w:name="Tc_gXHkLvMS7kmHx4bzPORUsQ_3_11"/>
      <w:bookmarkStart w:id="266" w:name="Tc_pjWCUXNCe0uI1ZxCdpap-w_3_8"/>
      <w:bookmarkStart w:id="267" w:name="Tc_E7Dy-9C14U6fu2ZN_LOwQA_3_5"/>
      <w:bookmarkStart w:id="268" w:name="Tc_OXbUlVJETU2iOlKBGVh_bA_3_2"/>
      <w:bookmarkStart w:id="269" w:name="Tc_oBy5OgQ00UCJV9tqZ4kIWA_2_8"/>
      <w:bookmarkStart w:id="270" w:name="Tc_PsBFZB046kOThX4Yg4XhKQ_2_2"/>
      <w:bookmarkStart w:id="271" w:name="Tc_hrJXA5bVukSaC884b3lITQ_1_8"/>
      <w:bookmarkStart w:id="272" w:name="Tc_FuvOWbuhlEmEElYozcUIsA_1_2"/>
      <w:bookmarkStart w:id="273" w:name="_4b5978d2_4699_46d4_9f40_6b0d20f6cbb8"/>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405380" cy="175260"/>
                      <wp:effectExtent l="0" t="0" r="0" b="0"/>
                      <wp:wrapNone/>
                      <wp:docPr id="7" name="Frame7"/>
                      <a:graphic xmlns:a="http://schemas.openxmlformats.org/drawingml/2006/main">
                        <a:graphicData uri="http://schemas.microsoft.com/office/word/2010/wordprocessingShape">
                          <wps:wsp>
                            <wps:cNvSpPr txBox="1"/>
                            <wps:spPr>
                              <a:xfrm>
                                <a:off x="0" y="0"/>
                                <a:ext cx="2405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10" name="Frame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175260"/>
                      <wp:effectExtent l="0" t="0" r="0" b="0"/>
                      <wp:wrapNone/>
                      <wp:docPr id="13"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86435" cy="175260"/>
                      <wp:effectExtent l="0" t="0" r="0" b="0"/>
                      <wp:wrapNone/>
                      <wp:docPr id="19" name="Frame1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294,582</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294,582</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36,471</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96,208</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38,078</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46,863</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90,393</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261,150</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33,432</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5,010</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38,442</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(12,071)</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26,371</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ordinary shareholders—basic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ordinary shareholders—diluted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77,577,675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73,438,530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77,050,036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73,041,920</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83,398,051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77,942,082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82,902,904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76,984,393</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26,371</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short-term investments and currency translation adjustments,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46,669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26,481</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4" w:name="_cc83333c_260a_44ba_9c1f_183e1aa03bc8"/>
      <w:bookmarkEnd w:id="274"/>
      <w:r>
        <w:rPr>
          <w:rFonts w:ascii="Times New Roman;Times;serif" w:hAnsi="Times New Roman;Times;serif"/>
          <w:b/>
          <w:sz w:val="20"/>
        </w:rPr>
        <w:t xml:space="preserve">KINIKSA PHARMACEUTICALS INTERNATIONAL, PLC </w:t>
      </w:r>
    </w:p>
    <w:p>
      <w:pPr>
        <w:pStyle w:val="TextBody"/>
        <w:bidi w:val="0"/>
        <w:spacing w:before="0" w:after="0"/>
        <w:ind w:left="0" w:right="0" w:hanging="0"/>
        <w:jc w:val="center"/>
        <w:rPr>
          <w:rFonts w:ascii="Times New Roman;Times;serif" w:hAnsi="Times New Roman;Times;serif"/>
          <w:b/>
          <w:sz w:val="20"/>
        </w:rPr>
      </w:pPr>
      <w:bookmarkStart w:id="275" w:name="CONSOLIDATEDSTATEMENTSOFCONVERTIBLEPREFE"/>
      <w:bookmarkEnd w:id="275"/>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40"/>
        <w:ind w:left="0" w:right="0" w:hanging="0"/>
        <w:jc w:val="center"/>
        <w:rPr/>
      </w:pPr>
      <w:r>
        <w:rPr/>
        <w:t>​</w:t>
      </w:r>
    </w:p>
    <w:p>
      <w:pPr>
        <w:pStyle w:val="Normal"/>
        <w:bidi w:val="0"/>
        <w:spacing w:before="0" w:after="0"/>
        <w:jc w:val="left"/>
        <w:rPr>
          <w:sz w:val="4"/>
          <w:szCs w:val="4"/>
        </w:rPr>
      </w:pPr>
      <w:r>
        <w:rPr>
          <w:sz w:val="4"/>
          <w:szCs w:val="4"/>
        </w:rPr>
      </w:r>
      <w:bookmarkStart w:id="276" w:name="Tc_Q_PfXNl9Q0mu3stmJqUFTA_29_17"/>
      <w:bookmarkStart w:id="277" w:name="Tc_qnhEdvpTHkqj1fE44UZ4yA_29_14"/>
      <w:bookmarkStart w:id="278" w:name="Tc_JV1NPA6S6k28ccN1afM7fw_29_11"/>
      <w:bookmarkStart w:id="279" w:name="Tc_yafwJNKRhEWpwUg2Yf3arA_29_8"/>
      <w:bookmarkStart w:id="280" w:name="Tc_Dxegx56OLUm1FfQ8XJvyPg_29_5"/>
      <w:bookmarkStart w:id="281" w:name="Tc_Zvm1XldgmU6BQVZuQFWNDA_29_0"/>
      <w:bookmarkStart w:id="282" w:name="Tc_KK1XN7H9EUyR2sH3vXV-yg_28_12"/>
      <w:bookmarkStart w:id="283" w:name="Tc_4ALctlAm-UaCayXb_p8AfA_28_9"/>
      <w:bookmarkStart w:id="284" w:name="Tc_W15lv3TmXUyInbYqY5qYNg_28_6"/>
      <w:bookmarkStart w:id="285" w:name="Tc_vOM---8cRE2walBdx-IXoQ_28_3"/>
      <w:bookmarkStart w:id="286" w:name="Tc__0O6vFRlN0OD1OR-tXYCLA_28_0"/>
      <w:bookmarkStart w:id="287" w:name="Tc_69adGp7mZECllcKmZ99Cjg_27_15"/>
      <w:bookmarkStart w:id="288" w:name="Tc_hCIKyDC69Ei1capKXG2cQQ_27_9"/>
      <w:bookmarkStart w:id="289" w:name="Tc_QpkGMw9lAUagX00GpGLOPw_27_6"/>
      <w:bookmarkStart w:id="290" w:name="Tc_HDvSCHBfBUS2H_MvjTuJsQ_27_3"/>
      <w:bookmarkStart w:id="291" w:name="Tc_MuEfxEkb80uC-rBHLRhcpg_27_0"/>
      <w:bookmarkStart w:id="292" w:name="Tc_ydB_ScPz5Ui9OG6XmGMPhA_26_15"/>
      <w:bookmarkStart w:id="293" w:name="Tc_kdALuo4jdUKB6q4gaOIQyQ_26_12"/>
      <w:bookmarkStart w:id="294" w:name="Tc_suKy6dXw9UqD64BEQVjguw_26_6"/>
      <w:bookmarkStart w:id="295" w:name="Tc_dy9_1LithEaPDkFOFitQ9A_26_3"/>
      <w:bookmarkStart w:id="296" w:name="Tc_gQMKx5qDyUO15m4nbXyNzQ_26_0"/>
      <w:bookmarkStart w:id="297" w:name="Tc_R4ILdq_zr0ewcThmFUxy_Q_25_15"/>
      <w:bookmarkStart w:id="298" w:name="Tc_BThgROvdJUurXlJrnrDuTg_25_12"/>
      <w:bookmarkStart w:id="299" w:name="Tc_db2-HfTAmUyjl63YeJJ1Ww_25_0"/>
      <w:bookmarkStart w:id="300" w:name="Tc_szqgddbvlEqL0xVRepL6nA_24_17"/>
      <w:bookmarkStart w:id="301" w:name="Tc_7U_to2Icv0qXhm0xb_FAIw_24_14"/>
      <w:bookmarkStart w:id="302" w:name="Tc_9EjccFGl30KOlb1qe90SCA_24_11"/>
      <w:bookmarkStart w:id="303" w:name="Tc_b3pBORNOkEGie3Ef9e74eQ_24_8"/>
      <w:bookmarkStart w:id="304" w:name="Tc_wQhrkROvfEyb3b9ecx3VkQ_24_5"/>
      <w:bookmarkStart w:id="305" w:name="Tc_IXmCd19wiU-NV5Mqit2FaQ_24_0"/>
      <w:bookmarkStart w:id="306" w:name="Tc_Q19w2Ij7H020j-CB5K4Hxg_23_12"/>
      <w:bookmarkStart w:id="307" w:name="Tc_DsfHA9Z_HkqXArMEnwqbDQ_23_9"/>
      <w:bookmarkStart w:id="308" w:name="Tc_6mcap3iHs02fFVI-wrWKvA_23_6"/>
      <w:bookmarkStart w:id="309" w:name="Tc_CX4I7vDG9UqyAqTx2wK7sw_23_3"/>
      <w:bookmarkStart w:id="310" w:name="Tc_wkSa_y5POU2Gt_sX0H-YXw_23_0"/>
      <w:bookmarkStart w:id="311" w:name="Tc_EF3CwwIl_Uqe8USNjczyiw_22_15"/>
      <w:bookmarkStart w:id="312" w:name="Tc_B3SAipL9CkS0pd1IQlnpug_22_9"/>
      <w:bookmarkStart w:id="313" w:name="Tc_scOMNJoe90aq1J4pszWcHQ_22_6"/>
      <w:bookmarkStart w:id="314" w:name="Tc_RlzuTucbSEeDkS8SrtnZsA_22_3"/>
      <w:bookmarkStart w:id="315" w:name="Tc__w9yDpcqAUWxeigkzR0XrA_22_0"/>
      <w:bookmarkStart w:id="316" w:name="Tc_Rz9mqNeKI0ylb72hD1IV-Q_21_15"/>
      <w:bookmarkStart w:id="317" w:name="Tc__e2p-YtxMUSXU_yH-YIGoQ_21_12"/>
      <w:bookmarkStart w:id="318" w:name="Tc_Q4Xq3N4Ql0i1HvO8LYDKhw_21_6"/>
      <w:bookmarkStart w:id="319" w:name="Tc_tWB9_z_DbEmNzS1Z-TmOPA_21_3"/>
      <w:bookmarkStart w:id="320" w:name="Tc_Q1M_MOjpmkmatG_YhVIt3g_21_0"/>
      <w:bookmarkStart w:id="321" w:name="Tc_B4KL_Lum3Uu9xtgTHROCmQ_20_15"/>
      <w:bookmarkStart w:id="322" w:name="Tc_D_m-5YRKg0eMR7i15FbeCQ_20_12"/>
      <w:bookmarkStart w:id="323" w:name="Tc_l7k81l1VIUmb_zbmGXzIqw_20_6"/>
      <w:bookmarkStart w:id="324" w:name="Tc_XK7MkK6rJECFTNknD4RiIQ_20_0"/>
      <w:bookmarkStart w:id="325" w:name="Tc_hZxwXjBxake20DdD30-IIA_19_17"/>
      <w:bookmarkStart w:id="326" w:name="Tc_R_F4rMxtcUSBcaFSaOErtw_19_14"/>
      <w:bookmarkStart w:id="327" w:name="Tc_BYH57FQj10OFIzJRUH677Q_19_11"/>
      <w:bookmarkStart w:id="328" w:name="Tc_cQd6eYZJCU-VodvEgX9leg_19_8"/>
      <w:bookmarkStart w:id="329" w:name="Tc_HknbB0u7EUu3GsibHR8zAg_19_5"/>
      <w:bookmarkStart w:id="330" w:name="Tc_DrH5GjhJhkavLjQ68W5tnw_19_0"/>
      <w:bookmarkStart w:id="331" w:name="Tc_2rFadQjvj0mu4cveUnHAfA_18_17"/>
      <w:bookmarkStart w:id="332" w:name="Tc_3abPeEj5zEOT24Lkm49BRA_18_14"/>
      <w:bookmarkStart w:id="333" w:name="Tc_m-Zp2iC3BU-kKoayXm0ZTQ_18_11"/>
      <w:bookmarkStart w:id="334" w:name="Tc_HcKOP6Wd7kaBUW5xr_OCyA_18_8"/>
      <w:bookmarkStart w:id="335" w:name="Tc_uO2xpJdeEUCmWNm7fJrXPA_18_5"/>
      <w:bookmarkStart w:id="336" w:name="Tc_dhqCBAhrbkOUGCv0MdZdEg_18_3"/>
      <w:bookmarkStart w:id="337" w:name="Tc_oMdWpmFEaUSqENEyCX2BqQ_17_17"/>
      <w:bookmarkStart w:id="338" w:name="Tc_pdLFaYzIyEmmwDzgscQvpA_17_14"/>
      <w:bookmarkStart w:id="339" w:name="Tc_OEI7x6raY0eushXug4vvMA_17_11"/>
      <w:bookmarkStart w:id="340" w:name="Tc_TrtZbiM0ZESnhFtUWxddOw_17_8"/>
      <w:bookmarkStart w:id="341" w:name="Tc_tnFmaD2R2kymi_9AlKQDEw_17_3"/>
      <w:bookmarkStart w:id="342" w:name="Tc_HDWvu_T2rkqonqQZ8BT-kA_16_17"/>
      <w:bookmarkStart w:id="343" w:name="Tc_3YnBbea8f0ODT1sFLGY_4Q_16_11"/>
      <w:bookmarkStart w:id="344" w:name="Tc_lEqR0pNAlkK07RTTXB4Y0Q_16_8"/>
      <w:bookmarkStart w:id="345" w:name="Tc_hPDCxAlfuUSOiYTQkMIqLA_16_3"/>
      <w:bookmarkStart w:id="346" w:name="Tc_TMs2mC6RVk2eYrXeqApV6Q_14_17"/>
      <w:bookmarkStart w:id="347" w:name="Tc_iEwekJET0Um7FSNKnx-OTw_14_14"/>
      <w:bookmarkStart w:id="348" w:name="Tc_f-4uaHB5S0unZB105uCPzQ_14_11"/>
      <w:bookmarkStart w:id="349" w:name="Tc_6jv5Qa3o6EyHVNqqYa205Q_14_8"/>
      <w:bookmarkStart w:id="350" w:name="Tc_8bDxFu1B_0mWuHcTS-505w_14_5"/>
      <w:bookmarkStart w:id="351" w:name="Tc_g0635FvU7keQ-PQkPpFeaw_14_0"/>
      <w:bookmarkStart w:id="352" w:name="Tc_N3c-jR6kM0CIoceENs-N8g_13_12"/>
      <w:bookmarkStart w:id="353" w:name="Tc_lDWJCH_NIUm_-rbRwOif3Q_13_9"/>
      <w:bookmarkStart w:id="354" w:name="Tc_SMzg9SM-z0KNVouv-V_GaA_13_6"/>
      <w:bookmarkStart w:id="355" w:name="Tc_WiK84b_pm06H2VhEVNtwTg_13_3"/>
      <w:bookmarkStart w:id="356" w:name="Tc_Rvsae1czMUqO5yrdoSMbnA_13_0"/>
      <w:bookmarkStart w:id="357" w:name="Tc_ehB2iuO_jUaJB6QH9Geg9Q_12_15"/>
      <w:bookmarkStart w:id="358" w:name="Tc_T1f79pxDdEWpezu86O8yqg_12_9"/>
      <w:bookmarkStart w:id="359" w:name="Tc_V6LdU6WAj0ybTNyhJOSpHQ_12_6"/>
      <w:bookmarkStart w:id="360" w:name="Tc_QJrbjefWqEGvAABv0HSBcg_12_3"/>
      <w:bookmarkStart w:id="361" w:name="Tc_zJsqZlkSv0Gic_cWpD9j1g_12_0"/>
      <w:bookmarkStart w:id="362" w:name="Tc_V674II5MrkiFiF-_3DTveQ_11_15"/>
      <w:bookmarkStart w:id="363" w:name="Tc_-ceypguTl0mX3pFemp1Ufg_11_12"/>
      <w:bookmarkStart w:id="364" w:name="Tc_nrZg8kYJ1kmZvtgy3jbALg_11_6"/>
      <w:bookmarkStart w:id="365" w:name="Tc_qEZB22BwLUOxMk8IdUUAig_11_3"/>
      <w:bookmarkStart w:id="366" w:name="Tc_3siHGe33a0GWCE9grIQrmQ_11_0"/>
      <w:bookmarkStart w:id="367" w:name="Tc_VP063uxQMUqyWQjAsCtMuA_10_15"/>
      <w:bookmarkStart w:id="368" w:name="Tc_2Ejny8864Eqr7BZTC4K1eg_10_12"/>
      <w:bookmarkStart w:id="369" w:name="Tc_79fnqaCHmE2kbhiz96niJQ_10_6"/>
      <w:bookmarkStart w:id="370" w:name="Tc_dgHSWOvSrkuFwBWh6RZZ9g_10_0"/>
      <w:bookmarkStart w:id="371" w:name="Tc_GIkHWGZF3U2bFLLp-ltx-g_9_17"/>
      <w:bookmarkStart w:id="372" w:name="Tc_-L-t0x2uSUGXneY_rubXDQ_9_14"/>
      <w:bookmarkStart w:id="373" w:name="Tc_vzlpNq1blE2KyxkCx5GhZg_9_11"/>
      <w:bookmarkStart w:id="374" w:name="Tc_VrGyjAf4HUGbZSie5VzeRQ_9_8"/>
      <w:bookmarkStart w:id="375" w:name="Tc_OYedCU9WKkGrOs3RTrT4YQ_9_5"/>
      <w:bookmarkStart w:id="376" w:name="Tc_kgA0ZZAOQUWEbvk79Epkjg_9_0"/>
      <w:bookmarkStart w:id="377" w:name="Tc_r1_d5F9lG0qLFWASH-wIZA_8_12"/>
      <w:bookmarkStart w:id="378" w:name="Tc_cTUx6i8HWEiDxYdDWWRceg_8_9"/>
      <w:bookmarkStart w:id="379" w:name="Tc_XIv-ug5Y3UeFmLHH1VO7rQ_8_6"/>
      <w:bookmarkStart w:id="380" w:name="Tc_i2mtD_DgGESo5PRt3HzIxg_8_3"/>
      <w:bookmarkStart w:id="381" w:name="Tc_Au42FNgyMUK3p1X-Znu3cg_8_0"/>
      <w:bookmarkStart w:id="382" w:name="Tc_K6wtLuh_sUaR851esC2wWw_7_15"/>
      <w:bookmarkStart w:id="383" w:name="Tc_LA32y0sNW0O6I0JvPizEpQ_7_9"/>
      <w:bookmarkStart w:id="384" w:name="Tc__x8CIo7MUkCW_UxUbEuTEA_7_6"/>
      <w:bookmarkStart w:id="385" w:name="Tc_8CHsJsS1HEKnybyNqNjGhA_7_3"/>
      <w:bookmarkStart w:id="386" w:name="Tc_n1lMaOUlyUCoRCZ0RIPh-g_7_0"/>
      <w:bookmarkStart w:id="387" w:name="Tc_WeiH4guEBUey68QLGMefaA_6_15"/>
      <w:bookmarkStart w:id="388" w:name="Tc_N87jGvjUjkmXCme5-78mMw_6_12"/>
      <w:bookmarkStart w:id="389" w:name="Tc_W4ZyIgR_1kq72Pw7mqryzg_6_6"/>
      <w:bookmarkStart w:id="390" w:name="Tc_uf8AKstMq0y6a3ZIvKc_ng_6_3"/>
      <w:bookmarkStart w:id="391" w:name="Tc_qgzOwJOdxkug6YPBiXo3DQ_6_0"/>
      <w:bookmarkStart w:id="392" w:name="Tc_HUUXAA9y5UeGrI1fLIIDMg_5_15"/>
      <w:bookmarkStart w:id="393" w:name="Tc_AaawIFrRkkGQNZwZqjSiWA_5_12"/>
      <w:bookmarkStart w:id="394" w:name="Tc_FD99Tc1NeEOIfjema7Zd1g_5_6"/>
      <w:bookmarkStart w:id="395" w:name="Tc_XFm6jibCuEG5yNAEqtXnuQ_5_0"/>
      <w:bookmarkStart w:id="396" w:name="Tc_gzXRRmnPI0602ICDzlEoCA_4_17"/>
      <w:bookmarkStart w:id="397" w:name="Tc_DItX_D9IQkuY89hX_T5pEQ_4_14"/>
      <w:bookmarkStart w:id="398" w:name="Tc_k-fZNuKum0y7Yi81aRtgpw_4_11"/>
      <w:bookmarkStart w:id="399" w:name="Tc_4I0VdqC93EiZzVtBjj_nGg_4_8"/>
      <w:bookmarkStart w:id="400" w:name="Tc_clugN4_yEUmXssHBxQ8Dag_4_5"/>
      <w:bookmarkStart w:id="401" w:name="Tc_py9nmFap20Kp5od2TNQvaA_4_0"/>
      <w:bookmarkStart w:id="402" w:name="Tc_PLkXo4pmNkKHIcCX1xd8NQ_3_17"/>
      <w:bookmarkStart w:id="403" w:name="Tc_GONHgbIxvUSsv4v-KdUR4A_3_14"/>
      <w:bookmarkStart w:id="404" w:name="Tc_wBG-Roi5t0-LBQayOIrcMg_3_11"/>
      <w:bookmarkStart w:id="405" w:name="Tc_5_ZNjWFIC0qzCMt__IbDmg_3_8"/>
      <w:bookmarkStart w:id="406" w:name="Tc_2m1gwI1apE-2JyaVXq1HZQ_3_5"/>
      <w:bookmarkStart w:id="407" w:name="Tc__POaacE9BEGyMicTDMuAaA_3_3"/>
      <w:bookmarkStart w:id="408" w:name="Tc_064EQTZDpUeio_2Y_l6OlA_2_17"/>
      <w:bookmarkStart w:id="409" w:name="Tc_yASha5SlI0amgWjg5eHb9g_2_14"/>
      <w:bookmarkStart w:id="410" w:name="Tc_cybo_Uol80qexeWnA6uzNw_2_11"/>
      <w:bookmarkStart w:id="411" w:name="Tc_Ca5gjug0j0KIOjGrU4MHZw_2_8"/>
      <w:bookmarkStart w:id="412" w:name="Tc_y6T8D4Q01kKw88697WMIcA_2_3"/>
      <w:bookmarkStart w:id="413" w:name="Tc_le5UVcM0kESXFiooSIwKaQ_1_17"/>
      <w:bookmarkStart w:id="414" w:name="Tc_j21dOAEFZ0-6hRcz0nAF0A_1_11"/>
      <w:bookmarkStart w:id="415" w:name="Tc_PK_oU6CtB0GF0Syma5JT6g_1_8"/>
      <w:bookmarkStart w:id="416" w:name="Tc_CD1BwgCwlkO5TEnzq50yBg_1_3"/>
      <w:bookmarkStart w:id="417" w:name="_aef5e2ed_642f_43da_8953_d038aa4bdd6e"/>
      <w:bookmarkStart w:id="418" w:name="Tc_Q_PfXNl9Q0mu3stmJqUFTA_29_17"/>
      <w:bookmarkStart w:id="419" w:name="Tc_qnhEdvpTHkqj1fE44UZ4yA_29_14"/>
      <w:bookmarkStart w:id="420" w:name="Tc_JV1NPA6S6k28ccN1afM7fw_29_11"/>
      <w:bookmarkStart w:id="421" w:name="Tc_yafwJNKRhEWpwUg2Yf3arA_29_8"/>
      <w:bookmarkStart w:id="422" w:name="Tc_Dxegx56OLUm1FfQ8XJvyPg_29_5"/>
      <w:bookmarkStart w:id="423" w:name="Tc_Zvm1XldgmU6BQVZuQFWNDA_29_0"/>
      <w:bookmarkStart w:id="424" w:name="Tc_KK1XN7H9EUyR2sH3vXV-yg_28_12"/>
      <w:bookmarkStart w:id="425" w:name="Tc_4ALctlAm-UaCayXb_p8AfA_28_9"/>
      <w:bookmarkStart w:id="426" w:name="Tc_W15lv3TmXUyInbYqY5qYNg_28_6"/>
      <w:bookmarkStart w:id="427" w:name="Tc_vOM---8cRE2walBdx-IXoQ_28_3"/>
      <w:bookmarkStart w:id="428" w:name="Tc__0O6vFRlN0OD1OR-tXYCLA_28_0"/>
      <w:bookmarkStart w:id="429" w:name="Tc_69adGp7mZECllcKmZ99Cjg_27_15"/>
      <w:bookmarkStart w:id="430" w:name="Tc_hCIKyDC69Ei1capKXG2cQQ_27_9"/>
      <w:bookmarkStart w:id="431" w:name="Tc_QpkGMw9lAUagX00GpGLOPw_27_6"/>
      <w:bookmarkStart w:id="432" w:name="Tc_HDvSCHBfBUS2H_MvjTuJsQ_27_3"/>
      <w:bookmarkStart w:id="433" w:name="Tc_MuEfxEkb80uC-rBHLRhcpg_27_0"/>
      <w:bookmarkStart w:id="434" w:name="Tc_ydB_ScPz5Ui9OG6XmGMPhA_26_15"/>
      <w:bookmarkStart w:id="435" w:name="Tc_kdALuo4jdUKB6q4gaOIQyQ_26_12"/>
      <w:bookmarkStart w:id="436" w:name="Tc_suKy6dXw9UqD64BEQVjguw_26_6"/>
      <w:bookmarkStart w:id="437" w:name="Tc_dy9_1LithEaPDkFOFitQ9A_26_3"/>
      <w:bookmarkStart w:id="438" w:name="Tc_gQMKx5qDyUO15m4nbXyNzQ_26_0"/>
      <w:bookmarkStart w:id="439" w:name="Tc_R4ILdq_zr0ewcThmFUxy_Q_25_15"/>
      <w:bookmarkStart w:id="440" w:name="Tc_BThgROvdJUurXlJrnrDuTg_25_12"/>
      <w:bookmarkStart w:id="441" w:name="Tc_db2-HfTAmUyjl63YeJJ1Ww_25_0"/>
      <w:bookmarkStart w:id="442" w:name="Tc_szqgddbvlEqL0xVRepL6nA_24_17"/>
      <w:bookmarkStart w:id="443" w:name="Tc_7U_to2Icv0qXhm0xb_FAIw_24_14"/>
      <w:bookmarkStart w:id="444" w:name="Tc_9EjccFGl30KOlb1qe90SCA_24_11"/>
      <w:bookmarkStart w:id="445" w:name="Tc_b3pBORNOkEGie3Ef9e74eQ_24_8"/>
      <w:bookmarkStart w:id="446" w:name="Tc_wQhrkROvfEyb3b9ecx3VkQ_24_5"/>
      <w:bookmarkStart w:id="447" w:name="Tc_IXmCd19wiU-NV5Mqit2FaQ_24_0"/>
      <w:bookmarkStart w:id="448" w:name="Tc_Q19w2Ij7H020j-CB5K4Hxg_23_12"/>
      <w:bookmarkStart w:id="449" w:name="Tc_DsfHA9Z_HkqXArMEnwqbDQ_23_9"/>
      <w:bookmarkStart w:id="450" w:name="Tc_6mcap3iHs02fFVI-wrWKvA_23_6"/>
      <w:bookmarkStart w:id="451" w:name="Tc_CX4I7vDG9UqyAqTx2wK7sw_23_3"/>
      <w:bookmarkStart w:id="452" w:name="Tc_wkSa_y5POU2Gt_sX0H-YXw_23_0"/>
      <w:bookmarkStart w:id="453" w:name="Tc_EF3CwwIl_Uqe8USNjczyiw_22_15"/>
      <w:bookmarkStart w:id="454" w:name="Tc_B3SAipL9CkS0pd1IQlnpug_22_9"/>
      <w:bookmarkStart w:id="455" w:name="Tc_scOMNJoe90aq1J4pszWcHQ_22_6"/>
      <w:bookmarkStart w:id="456" w:name="Tc_RlzuTucbSEeDkS8SrtnZsA_22_3"/>
      <w:bookmarkStart w:id="457" w:name="Tc__w9yDpcqAUWxeigkzR0XrA_22_0"/>
      <w:bookmarkStart w:id="458" w:name="Tc_Rz9mqNeKI0ylb72hD1IV-Q_21_15"/>
      <w:bookmarkStart w:id="459" w:name="Tc__e2p-YtxMUSXU_yH-YIGoQ_21_12"/>
      <w:bookmarkStart w:id="460" w:name="Tc_Q4Xq3N4Ql0i1HvO8LYDKhw_21_6"/>
      <w:bookmarkStart w:id="461" w:name="Tc_tWB9_z_DbEmNzS1Z-TmOPA_21_3"/>
      <w:bookmarkStart w:id="462" w:name="Tc_Q1M_MOjpmkmatG_YhVIt3g_21_0"/>
      <w:bookmarkStart w:id="463" w:name="Tc_B4KL_Lum3Uu9xtgTHROCmQ_20_15"/>
      <w:bookmarkStart w:id="464" w:name="Tc_D_m-5YRKg0eMR7i15FbeCQ_20_12"/>
      <w:bookmarkStart w:id="465" w:name="Tc_l7k81l1VIUmb_zbmGXzIqw_20_6"/>
      <w:bookmarkStart w:id="466" w:name="Tc_XK7MkK6rJECFTNknD4RiIQ_20_0"/>
      <w:bookmarkStart w:id="467" w:name="Tc_hZxwXjBxake20DdD30-IIA_19_17"/>
      <w:bookmarkStart w:id="468" w:name="Tc_R_F4rMxtcUSBcaFSaOErtw_19_14"/>
      <w:bookmarkStart w:id="469" w:name="Tc_BYH57FQj10OFIzJRUH677Q_19_11"/>
      <w:bookmarkStart w:id="470" w:name="Tc_cQd6eYZJCU-VodvEgX9leg_19_8"/>
      <w:bookmarkStart w:id="471" w:name="Tc_HknbB0u7EUu3GsibHR8zAg_19_5"/>
      <w:bookmarkStart w:id="472" w:name="Tc_DrH5GjhJhkavLjQ68W5tnw_19_0"/>
      <w:bookmarkStart w:id="473" w:name="Tc_2rFadQjvj0mu4cveUnHAfA_18_17"/>
      <w:bookmarkStart w:id="474" w:name="Tc_3abPeEj5zEOT24Lkm49BRA_18_14"/>
      <w:bookmarkStart w:id="475" w:name="Tc_m-Zp2iC3BU-kKoayXm0ZTQ_18_11"/>
      <w:bookmarkStart w:id="476" w:name="Tc_HcKOP6Wd7kaBUW5xr_OCyA_18_8"/>
      <w:bookmarkStart w:id="477" w:name="Tc_uO2xpJdeEUCmWNm7fJrXPA_18_5"/>
      <w:bookmarkStart w:id="478" w:name="Tc_dhqCBAhrbkOUGCv0MdZdEg_18_3"/>
      <w:bookmarkStart w:id="479" w:name="Tc_oMdWpmFEaUSqENEyCX2BqQ_17_17"/>
      <w:bookmarkStart w:id="480" w:name="Tc_pdLFaYzIyEmmwDzgscQvpA_17_14"/>
      <w:bookmarkStart w:id="481" w:name="Tc_OEI7x6raY0eushXug4vvMA_17_11"/>
      <w:bookmarkStart w:id="482" w:name="Tc_TrtZbiM0ZESnhFtUWxddOw_17_8"/>
      <w:bookmarkStart w:id="483" w:name="Tc_tnFmaD2R2kymi_9AlKQDEw_17_3"/>
      <w:bookmarkStart w:id="484" w:name="Tc_HDWvu_T2rkqonqQZ8BT-kA_16_17"/>
      <w:bookmarkStart w:id="485" w:name="Tc_3YnBbea8f0ODT1sFLGY_4Q_16_11"/>
      <w:bookmarkStart w:id="486" w:name="Tc_lEqR0pNAlkK07RTTXB4Y0Q_16_8"/>
      <w:bookmarkStart w:id="487" w:name="Tc_hPDCxAlfuUSOiYTQkMIqLA_16_3"/>
      <w:bookmarkStart w:id="488" w:name="Tc_TMs2mC6RVk2eYrXeqApV6Q_14_17"/>
      <w:bookmarkStart w:id="489" w:name="Tc_iEwekJET0Um7FSNKnx-OTw_14_14"/>
      <w:bookmarkStart w:id="490" w:name="Tc_f-4uaHB5S0unZB105uCPzQ_14_11"/>
      <w:bookmarkStart w:id="491" w:name="Tc_6jv5Qa3o6EyHVNqqYa205Q_14_8"/>
      <w:bookmarkStart w:id="492" w:name="Tc_8bDxFu1B_0mWuHcTS-505w_14_5"/>
      <w:bookmarkStart w:id="493" w:name="Tc_g0635FvU7keQ-PQkPpFeaw_14_0"/>
      <w:bookmarkStart w:id="494" w:name="Tc_N3c-jR6kM0CIoceENs-N8g_13_12"/>
      <w:bookmarkStart w:id="495" w:name="Tc_lDWJCH_NIUm_-rbRwOif3Q_13_9"/>
      <w:bookmarkStart w:id="496" w:name="Tc_SMzg9SM-z0KNVouv-V_GaA_13_6"/>
      <w:bookmarkStart w:id="497" w:name="Tc_WiK84b_pm06H2VhEVNtwTg_13_3"/>
      <w:bookmarkStart w:id="498" w:name="Tc_Rvsae1czMUqO5yrdoSMbnA_13_0"/>
      <w:bookmarkStart w:id="499" w:name="Tc_ehB2iuO_jUaJB6QH9Geg9Q_12_15"/>
      <w:bookmarkStart w:id="500" w:name="Tc_T1f79pxDdEWpezu86O8yqg_12_9"/>
      <w:bookmarkStart w:id="501" w:name="Tc_V6LdU6WAj0ybTNyhJOSpHQ_12_6"/>
      <w:bookmarkStart w:id="502" w:name="Tc_QJrbjefWqEGvAABv0HSBcg_12_3"/>
      <w:bookmarkStart w:id="503" w:name="Tc_zJsqZlkSv0Gic_cWpD9j1g_12_0"/>
      <w:bookmarkStart w:id="504" w:name="Tc_V674II5MrkiFiF-_3DTveQ_11_15"/>
      <w:bookmarkStart w:id="505" w:name="Tc_-ceypguTl0mX3pFemp1Ufg_11_12"/>
      <w:bookmarkStart w:id="506" w:name="Tc_nrZg8kYJ1kmZvtgy3jbALg_11_6"/>
      <w:bookmarkStart w:id="507" w:name="Tc_qEZB22BwLUOxMk8IdUUAig_11_3"/>
      <w:bookmarkStart w:id="508" w:name="Tc_3siHGe33a0GWCE9grIQrmQ_11_0"/>
      <w:bookmarkStart w:id="509" w:name="Tc_VP063uxQMUqyWQjAsCtMuA_10_15"/>
      <w:bookmarkStart w:id="510" w:name="Tc_2Ejny8864Eqr7BZTC4K1eg_10_12"/>
      <w:bookmarkStart w:id="511" w:name="Tc_79fnqaCHmE2kbhiz96niJQ_10_6"/>
      <w:bookmarkStart w:id="512" w:name="Tc_dgHSWOvSrkuFwBWh6RZZ9g_10_0"/>
      <w:bookmarkStart w:id="513" w:name="Tc_GIkHWGZF3U2bFLLp-ltx-g_9_17"/>
      <w:bookmarkStart w:id="514" w:name="Tc_-L-t0x2uSUGXneY_rubXDQ_9_14"/>
      <w:bookmarkStart w:id="515" w:name="Tc_vzlpNq1blE2KyxkCx5GhZg_9_11"/>
      <w:bookmarkStart w:id="516" w:name="Tc_VrGyjAf4HUGbZSie5VzeRQ_9_8"/>
      <w:bookmarkStart w:id="517" w:name="Tc_OYedCU9WKkGrOs3RTrT4YQ_9_5"/>
      <w:bookmarkStart w:id="518" w:name="Tc_kgA0ZZAOQUWEbvk79Epkjg_9_0"/>
      <w:bookmarkStart w:id="519" w:name="Tc_r1_d5F9lG0qLFWASH-wIZA_8_12"/>
      <w:bookmarkStart w:id="520" w:name="Tc_cTUx6i8HWEiDxYdDWWRceg_8_9"/>
      <w:bookmarkStart w:id="521" w:name="Tc_XIv-ug5Y3UeFmLHH1VO7rQ_8_6"/>
      <w:bookmarkStart w:id="522" w:name="Tc_i2mtD_DgGESo5PRt3HzIxg_8_3"/>
      <w:bookmarkStart w:id="523" w:name="Tc_Au42FNgyMUK3p1X-Znu3cg_8_0"/>
      <w:bookmarkStart w:id="524" w:name="Tc_K6wtLuh_sUaR851esC2wWw_7_15"/>
      <w:bookmarkStart w:id="525" w:name="Tc_LA32y0sNW0O6I0JvPizEpQ_7_9"/>
      <w:bookmarkStart w:id="526" w:name="Tc__x8CIo7MUkCW_UxUbEuTEA_7_6"/>
      <w:bookmarkStart w:id="527" w:name="Tc_8CHsJsS1HEKnybyNqNjGhA_7_3"/>
      <w:bookmarkStart w:id="528" w:name="Tc_n1lMaOUlyUCoRCZ0RIPh-g_7_0"/>
      <w:bookmarkStart w:id="529" w:name="Tc_WeiH4guEBUey68QLGMefaA_6_15"/>
      <w:bookmarkStart w:id="530" w:name="Tc_N87jGvjUjkmXCme5-78mMw_6_12"/>
      <w:bookmarkStart w:id="531" w:name="Tc_W4ZyIgR_1kq72Pw7mqryzg_6_6"/>
      <w:bookmarkStart w:id="532" w:name="Tc_uf8AKstMq0y6a3ZIvKc_ng_6_3"/>
      <w:bookmarkStart w:id="533" w:name="Tc_qgzOwJOdxkug6YPBiXo3DQ_6_0"/>
      <w:bookmarkStart w:id="534" w:name="Tc_HUUXAA9y5UeGrI1fLIIDMg_5_15"/>
      <w:bookmarkStart w:id="535" w:name="Tc_AaawIFrRkkGQNZwZqjSiWA_5_12"/>
      <w:bookmarkStart w:id="536" w:name="Tc_FD99Tc1NeEOIfjema7Zd1g_5_6"/>
      <w:bookmarkStart w:id="537" w:name="Tc_XFm6jibCuEG5yNAEqtXnuQ_5_0"/>
      <w:bookmarkStart w:id="538" w:name="Tc_gzXRRmnPI0602ICDzlEoCA_4_17"/>
      <w:bookmarkStart w:id="539" w:name="Tc_DItX_D9IQkuY89hX_T5pEQ_4_14"/>
      <w:bookmarkStart w:id="540" w:name="Tc_k-fZNuKum0y7Yi81aRtgpw_4_11"/>
      <w:bookmarkStart w:id="541" w:name="Tc_4I0VdqC93EiZzVtBjj_nGg_4_8"/>
      <w:bookmarkStart w:id="542" w:name="Tc_clugN4_yEUmXssHBxQ8Dag_4_5"/>
      <w:bookmarkStart w:id="543" w:name="Tc_py9nmFap20Kp5od2TNQvaA_4_0"/>
      <w:bookmarkStart w:id="544" w:name="Tc_PLkXo4pmNkKHIcCX1xd8NQ_3_17"/>
      <w:bookmarkStart w:id="545" w:name="Tc_GONHgbIxvUSsv4v-KdUR4A_3_14"/>
      <w:bookmarkStart w:id="546" w:name="Tc_wBG-Roi5t0-LBQayOIrcMg_3_11"/>
      <w:bookmarkStart w:id="547" w:name="Tc_5_ZNjWFIC0qzCMt__IbDmg_3_8"/>
      <w:bookmarkStart w:id="548" w:name="Tc_2m1gwI1apE-2JyaVXq1HZQ_3_5"/>
      <w:bookmarkStart w:id="549" w:name="Tc__POaacE9BEGyMicTDMuAaA_3_3"/>
      <w:bookmarkStart w:id="550" w:name="Tc_064EQTZDpUeio_2Y_l6OlA_2_17"/>
      <w:bookmarkStart w:id="551" w:name="Tc_yASha5SlI0amgWjg5eHb9g_2_14"/>
      <w:bookmarkStart w:id="552" w:name="Tc_cybo_Uol80qexeWnA6uzNw_2_11"/>
      <w:bookmarkStart w:id="553" w:name="Tc_Ca5gjug0j0KIOjGrU4MHZw_2_8"/>
      <w:bookmarkStart w:id="554" w:name="Tc_y6T8D4Q01kKw88697WMIcA_2_3"/>
      <w:bookmarkStart w:id="555" w:name="Tc_le5UVcM0kESXFiooSIwKaQ_1_17"/>
      <w:bookmarkStart w:id="556" w:name="Tc_j21dOAEFZ0-6hRcz0nAF0A_1_11"/>
      <w:bookmarkStart w:id="557" w:name="Tc_PK_oU6CtB0GF0Syma5JT6g_1_8"/>
      <w:bookmarkStart w:id="558" w:name="Tc_CD1BwgCwlkO5TEnzq50yBg_1_3"/>
      <w:bookmarkStart w:id="559" w:name="_aef5e2ed_642f_43da_8953_d038aa4bdd6e"/>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tbl>
      <w:tblPr>
        <w:tblW w:w="10205" w:type="dxa"/>
        <w:jc w:val="left"/>
        <w:tblInd w:w="0" w:type="dxa"/>
        <w:tblLayout w:type="fixed"/>
        <w:tblCellMar>
          <w:top w:w="0" w:type="dxa"/>
          <w:left w:w="0" w:type="dxa"/>
          <w:bottom w:w="0" w:type="dxa"/>
          <w:right w:w="0" w:type="dxa"/>
        </w:tblCellMar>
      </w:tblPr>
      <w:tblGrid>
        <w:gridCol w:w="3935"/>
        <w:gridCol w:w="226"/>
        <w:gridCol w:w="146"/>
        <w:gridCol w:w="646"/>
        <w:gridCol w:w="226"/>
        <w:gridCol w:w="170"/>
        <w:gridCol w:w="356"/>
        <w:gridCol w:w="226"/>
        <w:gridCol w:w="166"/>
        <w:gridCol w:w="586"/>
        <w:gridCol w:w="226"/>
        <w:gridCol w:w="337"/>
        <w:gridCol w:w="860"/>
        <w:gridCol w:w="226"/>
        <w:gridCol w:w="186"/>
        <w:gridCol w:w="610"/>
        <w:gridCol w:w="226"/>
        <w:gridCol w:w="186"/>
        <w:gridCol w:w="665"/>
      </w:tblGrid>
      <w:tr>
        <w:trPr/>
        <w:tc>
          <w:tcPr>
            <w:tcW w:w="3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498725" cy="175260"/>
                      <wp:effectExtent l="0" t="0" r="0" b="0"/>
                      <wp:wrapNone/>
                      <wp:docPr id="20" name="Frame20"/>
                      <a:graphic xmlns:a="http://schemas.openxmlformats.org/drawingml/2006/main">
                        <a:graphicData uri="http://schemas.microsoft.com/office/word/2010/wordprocessingShape">
                          <wps:wsp>
                            <wps:cNvSpPr txBox="1"/>
                            <wps:spPr>
                              <a:xfrm>
                                <a:off x="0" y="0"/>
                                <a:ext cx="2498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710" cy="175260"/>
                      <wp:effectExtent l="0" t="0" r="0" b="0"/>
                      <wp:wrapNone/>
                      <wp:docPr id="22" name="Frame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10210" cy="175260"/>
                      <wp:effectExtent l="0" t="0" r="0" b="0"/>
                      <wp:wrapNone/>
                      <wp:docPr id="23" name="Frame2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3510" cy="175260"/>
                      <wp:effectExtent l="0" t="0" r="0" b="0"/>
                      <wp:wrapNone/>
                      <wp:docPr id="24" name="Frame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07950" cy="175260"/>
                      <wp:effectExtent l="0" t="0" r="0" b="0"/>
                      <wp:wrapNone/>
                      <wp:docPr id="25" name="Frame2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26060" cy="175260"/>
                      <wp:effectExtent l="0" t="0" r="0" b="0"/>
                      <wp:wrapNone/>
                      <wp:docPr id="26" name="Frame2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3510" cy="175260"/>
                      <wp:effectExtent l="0" t="0" r="0" b="0"/>
                      <wp:wrapNone/>
                      <wp:docPr id="27"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5410" cy="175260"/>
                      <wp:effectExtent l="0" t="0" r="0" b="0"/>
                      <wp:wrapNone/>
                      <wp:docPr id="28" name="Frame2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3995" cy="175260"/>
                      <wp:effectExtent l="0" t="0" r="0" b="0"/>
                      <wp:wrapNone/>
                      <wp:docPr id="31" name="Frame3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46100" cy="175260"/>
                      <wp:effectExtent l="0" t="0" r="0" b="0"/>
                      <wp:wrapNone/>
                      <wp:docPr id="32" name="Frame32"/>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18110" cy="175260"/>
                      <wp:effectExtent l="0" t="0" r="0" b="0"/>
                      <wp:wrapNone/>
                      <wp:docPr id="34" name="Frame34"/>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87350" cy="175260"/>
                      <wp:effectExtent l="0" t="0" r="0" b="0"/>
                      <wp:wrapNone/>
                      <wp:docPr id="35" name="Frame35"/>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18110" cy="175260"/>
                      <wp:effectExtent l="0" t="0" r="0" b="0"/>
                      <wp:wrapNone/>
                      <wp:docPr id="37" name="Frame37"/>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2275" cy="175260"/>
                      <wp:effectExtent l="0" t="0" r="0" b="0"/>
                      <wp:wrapNone/>
                      <wp:docPr id="38" name="Frame38"/>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98"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22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226" w:type="dxa"/>
            <w:tcBorders/>
            <w:vAlign w:val="center"/>
          </w:tcPr>
          <w:p>
            <w:pPr>
              <w:pStyle w:val="TableContents"/>
              <w:bidi w:val="0"/>
              <w:spacing w:before="0" w:after="0"/>
              <w:ind w:left="0" w:right="0" w:hanging="0"/>
              <w:jc w:val="left"/>
              <w:rPr/>
            </w:pPr>
            <w:r>
              <w:rPr/>
              <w:t>​</w:t>
            </w:r>
          </w:p>
        </w:tc>
        <w:tc>
          <w:tcPr>
            <w:tcW w:w="119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Accumulated </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393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 B, A1 and B1)</w:t>
            </w:r>
          </w:p>
        </w:tc>
        <w:tc>
          <w:tcPr>
            <w:tcW w:w="22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226" w:type="dxa"/>
            <w:tcBorders/>
            <w:vAlign w:val="center"/>
          </w:tcPr>
          <w:p>
            <w:pPr>
              <w:pStyle w:val="TableContents"/>
              <w:bidi w:val="0"/>
              <w:spacing w:before="0" w:after="0"/>
              <w:ind w:left="0" w:right="0" w:hanging="0"/>
              <w:jc w:val="left"/>
              <w:rPr/>
            </w:pPr>
            <w:r>
              <w:rPr/>
              <w:t>​</w:t>
            </w:r>
          </w:p>
        </w:tc>
        <w:tc>
          <w:tcPr>
            <w:tcW w:w="119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 Comprehensive</w:t>
            </w:r>
          </w:p>
        </w:tc>
        <w:tc>
          <w:tcPr>
            <w:tcW w:w="22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Shareholders'</w:t>
            </w:r>
          </w:p>
        </w:tc>
      </w:tr>
      <w:tr>
        <w:trPr/>
        <w:tc>
          <w:tcPr>
            <w:tcW w:w="393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before="0" w:after="0"/>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226" w:type="dxa"/>
            <w:tcBorders/>
            <w:vAlign w:val="center"/>
          </w:tcPr>
          <w:p>
            <w:pPr>
              <w:pStyle w:val="TableContents"/>
              <w:bidi w:val="0"/>
              <w:spacing w:before="0" w:after="0"/>
              <w:ind w:left="0" w:right="0" w:hanging="0"/>
              <w:jc w:val="left"/>
              <w:rPr/>
            </w:pPr>
            <w:r>
              <w:rPr/>
              <w:t>  ​</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2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226" w:type="dxa"/>
            <w:tcBorders/>
            <w:vAlign w:val="center"/>
          </w:tcPr>
          <w:p>
            <w:pPr>
              <w:pStyle w:val="TableContents"/>
              <w:bidi w:val="0"/>
              <w:spacing w:before="0" w:after="0"/>
              <w:ind w:left="0" w:right="0" w:hanging="0"/>
              <w:jc w:val="left"/>
              <w:rPr/>
            </w:pPr>
            <w:r>
              <w:rPr/>
              <w:t>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Balances at December 31, 2025</w:t>
            </w:r>
          </w:p>
        </w:tc>
        <w:tc>
          <w:tcPr>
            <w:tcW w:w="22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76,294,164</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1,029,748</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(462,138)</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567,606</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Issuance of Class A ordinary shares under incentive award plans </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395,296</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6,073</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6,073</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10,056</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10,056</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Unrealized loss on short-term investments and currency translation adjustments, net of tax</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(640)</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(640)</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22,592</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22,592</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Balances at March 31, 2026</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76,689,460</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1,045,877</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(665)</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(439,546)</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605,687</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Issuance of Class A ordinary shares under incentive award plans </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1,290,214</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12,109</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12,109</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 expense</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11,636</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11,636</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Unrealized loss on short-term investments and currency translation adjustments, net of tax</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(715)</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(715)</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25,432</w:t>
            </w:r>
          </w:p>
        </w:tc>
        <w:tc>
          <w:tcPr>
            <w:tcW w:w="22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25,432</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Balances at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77,979,674</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1,069,622</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(1,380)</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(414,114)</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654,149</w:t>
            </w:r>
          </w:p>
        </w:tc>
      </w:tr>
      <w:tr>
        <w:trPr/>
        <w:tc>
          <w:tcPr>
            <w:tcW w:w="393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pPr>
            <w:r>
              <w:rPr/>
              <w:t>​</w:t>
            </w:r>
          </w:p>
        </w:tc>
      </w:tr>
      <w:tr>
        <w:trPr/>
        <w:tc>
          <w:tcPr>
            <w:tcW w:w="393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98"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22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226" w:type="dxa"/>
            <w:tcBorders/>
            <w:vAlign w:val="center"/>
          </w:tcPr>
          <w:p>
            <w:pPr>
              <w:pStyle w:val="TableContents"/>
              <w:bidi w:val="0"/>
              <w:spacing w:before="0" w:after="0"/>
              <w:ind w:left="0" w:right="0" w:hanging="0"/>
              <w:jc w:val="left"/>
              <w:rPr/>
            </w:pPr>
            <w:r>
              <w:rPr/>
              <w:t>​</w:t>
            </w:r>
          </w:p>
        </w:tc>
        <w:tc>
          <w:tcPr>
            <w:tcW w:w="119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Accumulated </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393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 B, A1 and B1)</w:t>
            </w:r>
          </w:p>
        </w:tc>
        <w:tc>
          <w:tcPr>
            <w:tcW w:w="22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226" w:type="dxa"/>
            <w:tcBorders/>
            <w:vAlign w:val="center"/>
          </w:tcPr>
          <w:p>
            <w:pPr>
              <w:pStyle w:val="TableContents"/>
              <w:bidi w:val="0"/>
              <w:spacing w:before="0" w:after="0"/>
              <w:ind w:left="0" w:right="0" w:hanging="0"/>
              <w:jc w:val="left"/>
              <w:rPr/>
            </w:pPr>
            <w:r>
              <w:rPr/>
              <w:t>​</w:t>
            </w:r>
          </w:p>
        </w:tc>
        <w:tc>
          <w:tcPr>
            <w:tcW w:w="119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 Comprehensive</w:t>
            </w:r>
          </w:p>
        </w:tc>
        <w:tc>
          <w:tcPr>
            <w:tcW w:w="22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Shareholders'</w:t>
            </w:r>
          </w:p>
        </w:tc>
      </w:tr>
      <w:tr>
        <w:trPr/>
        <w:tc>
          <w:tcPr>
            <w:tcW w:w="393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before="0" w:after="0"/>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226" w:type="dxa"/>
            <w:tcBorders/>
            <w:vAlign w:val="center"/>
          </w:tcPr>
          <w:p>
            <w:pPr>
              <w:pStyle w:val="TableContents"/>
              <w:bidi w:val="0"/>
              <w:spacing w:before="0" w:after="0"/>
              <w:ind w:left="0" w:right="0" w:hanging="0"/>
              <w:jc w:val="left"/>
              <w:rPr/>
            </w:pPr>
            <w:r>
              <w:rPr/>
              <w:t>  ​</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2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226" w:type="dxa"/>
            <w:tcBorders/>
            <w:vAlign w:val="center"/>
          </w:tcPr>
          <w:p>
            <w:pPr>
              <w:pStyle w:val="TableContents"/>
              <w:bidi w:val="0"/>
              <w:spacing w:before="0" w:after="0"/>
              <w:ind w:left="0" w:right="0" w:hanging="0"/>
              <w:jc w:val="left"/>
              <w:rPr/>
            </w:pPr>
            <w:r>
              <w:rPr/>
              <w:t>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Balances at December 31, 2024</w:t>
            </w:r>
          </w:p>
        </w:tc>
        <w:tc>
          <w:tcPr>
            <w:tcW w:w="22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72,516,059</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959,722</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(163)</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(521,143)</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438,436</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Issuance of Class A ordinary shares under incentive award plans </w:t>
            </w:r>
          </w:p>
        </w:tc>
        <w:tc>
          <w:tcPr>
            <w:tcW w:w="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281,273</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2,768</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2,768</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 expense</w:t>
            </w:r>
          </w:p>
        </w:tc>
        <w:tc>
          <w:tcPr>
            <w:tcW w:w="22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7,748</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7,748</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Unrealized loss on short-term investments and currency translation adjustments, net of tax</w:t>
            </w:r>
          </w:p>
        </w:tc>
        <w:tc>
          <w:tcPr>
            <w:tcW w:w="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22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8,539</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8,539</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Balances at March 31, 2025</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72,797,332</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970,238</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(165)</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(512,604)</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457,489</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Issuance of Class A ordinary shares under incentive award plans </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1,235,031</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10,697</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10,698</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 expense</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8,876</w:t>
            </w:r>
          </w:p>
        </w:tc>
        <w:tc>
          <w:tcPr>
            <w:tcW w:w="2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8,876</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Unrealized gain on short-term investments and currency translation adjustments, net of tax</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17,832</w:t>
            </w:r>
          </w:p>
        </w:tc>
        <w:tc>
          <w:tcPr>
            <w:tcW w:w="22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17,832</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Balances at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74,032,363</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989,811</w:t>
            </w:r>
          </w:p>
        </w:tc>
        <w:tc>
          <w:tcPr>
            <w:tcW w:w="22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(494,772)</w:t>
            </w:r>
          </w:p>
        </w:tc>
        <w:tc>
          <w:tcPr>
            <w:tcW w:w="226" w:type="dxa"/>
            <w:tcBorders/>
            <w:shd w:fill="CCEE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495,007</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The accompanying notes are an integral part of these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60" w:name="_274a62ea_8eaf_49b0_bb97_917d5bd7d766"/>
      <w:bookmarkEnd w:id="560"/>
      <w:r>
        <w:rPr>
          <w:rFonts w:ascii="Times New Roman;Times;serif" w:hAnsi="Times New Roman;Times;serif"/>
          <w:b/>
          <w:sz w:val="20"/>
        </w:rPr>
        <w:t xml:space="preserve">KINIKSA PHARMACEUTICALS INTERNATIONAL, PLC </w:t>
      </w:r>
    </w:p>
    <w:p>
      <w:pPr>
        <w:pStyle w:val="TextBody"/>
        <w:bidi w:val="0"/>
        <w:spacing w:before="0" w:after="0"/>
        <w:ind w:left="0" w:right="0" w:hanging="0"/>
        <w:jc w:val="center"/>
        <w:rPr>
          <w:rFonts w:ascii="Times New Roman;Times;serif" w:hAnsi="Times New Roman;Times;serif"/>
          <w:b/>
          <w:sz w:val="20"/>
        </w:rPr>
      </w:pPr>
      <w:bookmarkStart w:id="561" w:name="CONSOLIDATEDSTATEMENTSOFCASHFLOWS_539083"/>
      <w:bookmarkEnd w:id="56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62" w:name="Tc_WRneNbIrkUODq-NMg1MnOw_41_0"/>
      <w:bookmarkStart w:id="563" w:name="Tc_GSkuJ2MaykmAiFQuMYK-_Q_40_5"/>
      <w:bookmarkStart w:id="564" w:name="Tc_Ecv9rL7bW0C7-neMbx4-_A_40_2"/>
      <w:bookmarkStart w:id="565" w:name="Tc_Ll1knwu4V0GlhkkG3JivKw_40_0"/>
      <w:bookmarkStart w:id="566" w:name="Tc_yHT9JjmRuke-btMFkHHAhw_39_0"/>
      <w:bookmarkStart w:id="567" w:name="Tc_g8yaRSOdD0ieh2bW5BnuHA_37_5"/>
      <w:bookmarkStart w:id="568" w:name="Tc_46LzAYIJ80maSV8e_F0ijQ_37_2"/>
      <w:bookmarkStart w:id="569" w:name="Tc_2lOra0X4o0KjFWF2fXvfPg_37_0"/>
      <w:bookmarkStart w:id="570" w:name="Tc_EYz8OryWOk6JPN03aX1ozQ_36_0"/>
      <w:bookmarkStart w:id="571" w:name="Tc_Df9PNv8U7E-EMFzaZZHnHA_34_5"/>
      <w:bookmarkStart w:id="572" w:name="Tc_FkfplwuAFk6E1ER0LY92fQ_34_2"/>
      <w:bookmarkStart w:id="573" w:name="Tc_ukkdLy1_lkOrowg9UWDUNA_34_0"/>
      <w:bookmarkStart w:id="574" w:name="Tc_NGdN_oOHBEqdPRgxqwa3Hw_33_0"/>
      <w:bookmarkStart w:id="575" w:name="Tc_NiksPZsN8UmEvozbdtG2GA_32_0"/>
      <w:bookmarkStart w:id="576" w:name="Tc_DzjN83rlVkyPzyVdT4yEqA_31_0"/>
      <w:bookmarkStart w:id="577" w:name="Tc_Z3YBY4xOmEq0wyUYImuJyg_30_0"/>
      <w:bookmarkStart w:id="578" w:name="Tc_FilclaYIpkGu9KtMYKomfQ_29_0"/>
      <w:bookmarkStart w:id="579" w:name="Tc_vXldWGYCvE-k4-BZQz8LDw_28_0"/>
      <w:bookmarkStart w:id="580" w:name="Tc_feDSMiwQuEqdv_vbeqACbQ_27_0"/>
      <w:bookmarkStart w:id="581" w:name="Tc_0GyZtI5yPE-8LVpKN9yy1A_26_0"/>
      <w:bookmarkStart w:id="582" w:name="Tc_uKszoxUDi0mOzGRfQNWKhQ_25_0"/>
      <w:bookmarkStart w:id="583" w:name="Tc_qCEK44EXMUC4wpOshyJWWw_24_0"/>
      <w:bookmarkStart w:id="584" w:name="Tc_ms_utKOaDUuvhzntjcToyg_23_0"/>
      <w:bookmarkStart w:id="585" w:name="Tc_yfIjZ2-DLk-iC8yE-dLPVg_22_0"/>
      <w:bookmarkStart w:id="586" w:name="Tc_NyT_a4Hx3EW6Vepa7K_xUg_21_0"/>
      <w:bookmarkStart w:id="587" w:name="Tc_EwJY2uE5b0mhhmPOSVatww_20_0"/>
      <w:bookmarkStart w:id="588" w:name="Tc_nVg4Ngby80-cCWnSoY1k8g_19_0"/>
      <w:bookmarkStart w:id="589" w:name="Tc_nDe7kKDACEy6LI5BSgk-xg_18_0"/>
      <w:bookmarkStart w:id="590" w:name="Tc_VVoSLWytVESpTiofpfslFg_17_0"/>
      <w:bookmarkStart w:id="591" w:name="Tc_Z9Tt4SGqsUCipQtTueiH9Q_16_0"/>
      <w:bookmarkStart w:id="592" w:name="Tc_PDJ6Zn1tZEaYqM6taoV0Hw_15_0"/>
      <w:bookmarkStart w:id="593" w:name="Tc_Fny7DVTcpUKkxz20latcKw_14_0"/>
      <w:bookmarkStart w:id="594" w:name="Tc_TdQPjBQjPkqYtp6GHUyfQA_13_0"/>
      <w:bookmarkStart w:id="595" w:name="Tc_BwmfKxFskU-oaWicb0K0Hw_12_0"/>
      <w:bookmarkStart w:id="596" w:name="Tc_ZkwCeKV-0ECBG765vxXWDA_11_0"/>
      <w:bookmarkStart w:id="597" w:name="Tc_Bz0l2viH2Ea5MYhZNaryZQ_10_0"/>
      <w:bookmarkStart w:id="598" w:name="Tc_Rw6nSim6g0m6UiAou4PRrQ_9_0"/>
      <w:bookmarkStart w:id="599" w:name="Tc_KcRrQuqHMUaAs9PM2Cs3Qg_8_0"/>
      <w:bookmarkStart w:id="600" w:name="Tc_f9v-AQpnjUeVkcB5dvfPCQ_7_0"/>
      <w:bookmarkStart w:id="601" w:name="Tc_NQzVLlC_v0mJJaX9vUmhFA_6_0"/>
      <w:bookmarkStart w:id="602" w:name="Tc_M38OvNR0nka6RztbjvZTJw_5_5"/>
      <w:bookmarkStart w:id="603" w:name="Tc_Brrnm65uRE2rNU9U2IvbfQ_5_2"/>
      <w:bookmarkStart w:id="604" w:name="Tc_i1C2diPCNUGWxUPAS0gBhw_5_0"/>
      <w:bookmarkStart w:id="605" w:name="Tc_3EVm8lQBNUyz5ft4kI54nQ_4_0"/>
      <w:bookmarkStart w:id="606" w:name="Tc_USe78_XMOE-gRn1fHtvLqg_3_5"/>
      <w:bookmarkStart w:id="607" w:name="Tc_QQTCo9fEG0yfhi4JgTLGWg_3_2"/>
      <w:bookmarkStart w:id="608" w:name="Tc_P7crq2rK2kyZizt6eOUj6A_2_2"/>
      <w:bookmarkStart w:id="609" w:name="Tc_21p-zpkrb0SKCXxAXulH9w_1_2"/>
      <w:bookmarkStart w:id="610" w:name="_126e60de_cdd0_4195_b17a_6db051716218"/>
      <w:bookmarkStart w:id="611" w:name="Tc_WRneNbIrkUODq-NMg1MnOw_41_0"/>
      <w:bookmarkStart w:id="612" w:name="Tc_GSkuJ2MaykmAiFQuMYK-_Q_40_5"/>
      <w:bookmarkStart w:id="613" w:name="Tc_Ecv9rL7bW0C7-neMbx4-_A_40_2"/>
      <w:bookmarkStart w:id="614" w:name="Tc_Ll1knwu4V0GlhkkG3JivKw_40_0"/>
      <w:bookmarkStart w:id="615" w:name="Tc_yHT9JjmRuke-btMFkHHAhw_39_0"/>
      <w:bookmarkStart w:id="616" w:name="Tc_g8yaRSOdD0ieh2bW5BnuHA_37_5"/>
      <w:bookmarkStart w:id="617" w:name="Tc_46LzAYIJ80maSV8e_F0ijQ_37_2"/>
      <w:bookmarkStart w:id="618" w:name="Tc_2lOra0X4o0KjFWF2fXvfPg_37_0"/>
      <w:bookmarkStart w:id="619" w:name="Tc_EYz8OryWOk6JPN03aX1ozQ_36_0"/>
      <w:bookmarkStart w:id="620" w:name="Tc_Df9PNv8U7E-EMFzaZZHnHA_34_5"/>
      <w:bookmarkStart w:id="621" w:name="Tc_FkfplwuAFk6E1ER0LY92fQ_34_2"/>
      <w:bookmarkStart w:id="622" w:name="Tc_ukkdLy1_lkOrowg9UWDUNA_34_0"/>
      <w:bookmarkStart w:id="623" w:name="Tc_NGdN_oOHBEqdPRgxqwa3Hw_33_0"/>
      <w:bookmarkStart w:id="624" w:name="Tc_NiksPZsN8UmEvozbdtG2GA_32_0"/>
      <w:bookmarkStart w:id="625" w:name="Tc_DzjN83rlVkyPzyVdT4yEqA_31_0"/>
      <w:bookmarkStart w:id="626" w:name="Tc_Z3YBY4xOmEq0wyUYImuJyg_30_0"/>
      <w:bookmarkStart w:id="627" w:name="Tc_FilclaYIpkGu9KtMYKomfQ_29_0"/>
      <w:bookmarkStart w:id="628" w:name="Tc_vXldWGYCvE-k4-BZQz8LDw_28_0"/>
      <w:bookmarkStart w:id="629" w:name="Tc_feDSMiwQuEqdv_vbeqACbQ_27_0"/>
      <w:bookmarkStart w:id="630" w:name="Tc_0GyZtI5yPE-8LVpKN9yy1A_26_0"/>
      <w:bookmarkStart w:id="631" w:name="Tc_uKszoxUDi0mOzGRfQNWKhQ_25_0"/>
      <w:bookmarkStart w:id="632" w:name="Tc_qCEK44EXMUC4wpOshyJWWw_24_0"/>
      <w:bookmarkStart w:id="633" w:name="Tc_ms_utKOaDUuvhzntjcToyg_23_0"/>
      <w:bookmarkStart w:id="634" w:name="Tc_yfIjZ2-DLk-iC8yE-dLPVg_22_0"/>
      <w:bookmarkStart w:id="635" w:name="Tc_NyT_a4Hx3EW6Vepa7K_xUg_21_0"/>
      <w:bookmarkStart w:id="636" w:name="Tc_EwJY2uE5b0mhhmPOSVatww_20_0"/>
      <w:bookmarkStart w:id="637" w:name="Tc_nVg4Ngby80-cCWnSoY1k8g_19_0"/>
      <w:bookmarkStart w:id="638" w:name="Tc_nDe7kKDACEy6LI5BSgk-xg_18_0"/>
      <w:bookmarkStart w:id="639" w:name="Tc_VVoSLWytVESpTiofpfslFg_17_0"/>
      <w:bookmarkStart w:id="640" w:name="Tc_Z9Tt4SGqsUCipQtTueiH9Q_16_0"/>
      <w:bookmarkStart w:id="641" w:name="Tc_PDJ6Zn1tZEaYqM6taoV0Hw_15_0"/>
      <w:bookmarkStart w:id="642" w:name="Tc_Fny7DVTcpUKkxz20latcKw_14_0"/>
      <w:bookmarkStart w:id="643" w:name="Tc_TdQPjBQjPkqYtp6GHUyfQA_13_0"/>
      <w:bookmarkStart w:id="644" w:name="Tc_BwmfKxFskU-oaWicb0K0Hw_12_0"/>
      <w:bookmarkStart w:id="645" w:name="Tc_ZkwCeKV-0ECBG765vxXWDA_11_0"/>
      <w:bookmarkStart w:id="646" w:name="Tc_Bz0l2viH2Ea5MYhZNaryZQ_10_0"/>
      <w:bookmarkStart w:id="647" w:name="Tc_Rw6nSim6g0m6UiAou4PRrQ_9_0"/>
      <w:bookmarkStart w:id="648" w:name="Tc_KcRrQuqHMUaAs9PM2Cs3Qg_8_0"/>
      <w:bookmarkStart w:id="649" w:name="Tc_f9v-AQpnjUeVkcB5dvfPCQ_7_0"/>
      <w:bookmarkStart w:id="650" w:name="Tc_NQzVLlC_v0mJJaX9vUmhFA_6_0"/>
      <w:bookmarkStart w:id="651" w:name="Tc_M38OvNR0nka6RztbjvZTJw_5_5"/>
      <w:bookmarkStart w:id="652" w:name="Tc_Brrnm65uRE2rNU9U2IvbfQ_5_2"/>
      <w:bookmarkStart w:id="653" w:name="Tc_i1C2diPCNUGWxUPAS0gBhw_5_0"/>
      <w:bookmarkStart w:id="654" w:name="Tc_3EVm8lQBNUyz5ft4kI54nQ_4_0"/>
      <w:bookmarkStart w:id="655" w:name="Tc_USe78_XMOE-gRn1fHtvLqg_3_5"/>
      <w:bookmarkStart w:id="656" w:name="Tc_QQTCo9fEG0yfhi4JgTLGWg_3_2"/>
      <w:bookmarkStart w:id="657" w:name="Tc_P7crq2rK2kyZizt6eOUj6A_2_2"/>
      <w:bookmarkStart w:id="658" w:name="Tc_21p-zpkrb0SKCXxAXulH9w_1_2"/>
      <w:bookmarkStart w:id="659" w:name="_126e60de_cdd0_4195_b17a_6db051716218"/>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tbl>
      <w:tblPr>
        <w:tblW w:w="10205" w:type="dxa"/>
        <w:jc w:val="left"/>
        <w:tblInd w:w="0" w:type="dxa"/>
        <w:tblLayout w:type="fixed"/>
        <w:tblCellMar>
          <w:top w:w="0" w:type="dxa"/>
          <w:left w:w="0" w:type="dxa"/>
          <w:bottom w:w="0" w:type="dxa"/>
          <w:right w:w="0" w:type="dxa"/>
        </w:tblCellMar>
      </w:tblPr>
      <w:tblGrid>
        <w:gridCol w:w="7696"/>
        <w:gridCol w:w="346"/>
        <w:gridCol w:w="196"/>
        <w:gridCol w:w="808"/>
        <w:gridCol w:w="109"/>
        <w:gridCol w:w="196"/>
        <w:gridCol w:w="854"/>
      </w:tblGrid>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13080" cy="175260"/>
                      <wp:effectExtent l="0" t="0" r="0" b="0"/>
                      <wp:wrapNone/>
                      <wp:docPr id="41" name="Frame41"/>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42290" cy="175260"/>
                      <wp:effectExtent l="0" t="0" r="0" b="0"/>
                      <wp:wrapNone/>
                      <wp:docPr id="44" name="Frame4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48,024</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26,371</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703</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21,692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16,624</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1,759</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amortization of premiums and accretion of discounts on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gain on disposal of property and equipment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5,637</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(12,195)</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9,814</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(16,035)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(21,817)</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1,975</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6,992</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accrued collaboration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20,744</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9,502</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(1,777)</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7,439</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97,394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50,414</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short-term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(287,031)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(129,793)</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maturities of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182,359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74,633</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(105,496)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(55,424)</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Class A ordinary shares under incentive award plans and employee share purchase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23,967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15,925</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in connection with ordinary shares tendered for employee tax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(2,459)</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18,183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13,466</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8,456</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165,596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183,581</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175,677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192,037</w:t>
            </w:r>
          </w:p>
        </w:tc>
      </w:tr>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3,009</w:t>
            </w:r>
          </w:p>
        </w:tc>
      </w:tr>
      <w:tr>
        <w:trPr/>
        <w:tc>
          <w:tcPr>
            <w:tcW w:w="76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right-of-use asset as a result of new, modified, and terminated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1,687</w:t>
            </w:r>
          </w:p>
        </w:tc>
      </w:tr>
      <w:tr>
        <w:trPr/>
        <w:tc>
          <w:tcPr>
            <w:tcW w:w="7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property and equipment included in 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338</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660" w:name="NOTESTOCONSOLIDATEDFINANCIALSTATEMENTS_4"/>
      <w:bookmarkEnd w:id="660"/>
      <w:r>
        <w:rPr>
          <w:rFonts w:ascii="Times New Roman;Times;serif" w:hAnsi="Times New Roman;Times;serif"/>
          <w:b/>
          <w:sz w:val="20"/>
        </w:rPr>
        <w:t>1.           Nature of the Business and Basis of Presentation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Kiniksa Pharmaceuticals International, plc (the “Company”) is a biopharmaceutical company developing and commercializing novel therapies for diseases with unmet need, with a focus on cardiovascular indications. The Company’s portfolio of immune-modulating assets is based on strong biologic rationale or validated mechanisms, targets a spectrum of underserved cardiovascular and autoimmune conditions and offers the potential for differentiation.</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risks common to companies in the biopharmaceuticals industry including, but not limited to, commercialization of existing and new products, conducting clinical research and development, its current and future products and product candidates, risks from existing or new competition, protection of proprietary intellectual and other technology and compliance with United States and foreign regulations and approval requirements.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 xml:space="preserve">Unaudited Interim Condensed Consolidated Financial Information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accounting principles generally accepted in the United States of America (“GAAP”) for interim financial information. The accompanying unaudited condensed consolidated financial statements do not include all of the information and footnotes required by GAAP for complete consolidated financial statements. The information included in this Quarterly Report on Form 10-Q should be read in conjunction with the Company’s audited consolidated financial statements and the accompanying notes included in the Company’s Annual Report on Form 10-K for the year ended December 31, 2025 (the “2025 Form 10-K”). The Company’s accounting policies are described in the Notes to Consolidated Financial Statements included in the Company’s 2025 Form 10-K and updated, as necessary, in this report. The accompanying year-end condensed consolidated balance sheet was derived from audited financial statements but does not include all disclosures required by GAAP.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2026 and the results of its operations for the three and six months ended June 30, 2026 and 2025, the changes in its shareholders’ equity for the three and six months ended June 30, 2026 and 2025 and its cash flows for the six months ended June 30, 2026 and 2025. The results for the three and six months ended June 30, 2026 are not necessarily indicative of results to be expected for the year ending December 31, 2026, any other interim periods or any future year or period.</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FASB issued Accounting Standards Update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Intangibles—Goodwill and Other—Internal-Use Software (Subtopic 350-40): Targeted Improvements to the Accounting for Internal-Use Software</w:t>
      </w:r>
      <w:r>
        <w:rPr>
          <w:rFonts w:ascii="Times New Roman;Times;serif" w:hAnsi="Times New Roman;Times;serif"/>
          <w:sz w:val="20"/>
        </w:rPr>
        <w:t>. ASU 2025-06 modernizes and simplifies the accounting for software development costs by establishing a single capitalization framework for all internally developed or acquired software, regardless of whether the software is intended for internal use, to be sold, or to be used in delivering products and services. The new guidance retains the concept of project stages but eliminates the historical distinction between internal-use software and software to be sold or marketed. ASU 2025-06 is effective for fiscal years beginning after December 15, 2027, including interim periods within those fiscal years, with early adoption permitted. The guidance is required to be applied prospectively, with optional retrospective or modified retrospective transition methods. The Company is currently evaluating the impact of ASU 2025-06 on its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w:t>
      </w:r>
      <w:r>
        <w:rPr>
          <w:rFonts w:ascii="Times New Roman;Times;serif" w:hAnsi="Times New Roman;Times;serif"/>
          <w:i/>
          <w:sz w:val="20"/>
        </w:rPr>
        <w:t>2025-07</w:t>
      </w:r>
      <w:r>
        <w:rPr>
          <w:rFonts w:ascii="Times New Roman;Times;serif" w:hAnsi="Times New Roman;Times;serif"/>
          <w:sz w:val="20"/>
        </w:rPr>
        <w:t xml:space="preserve">, </w:t>
      </w:r>
      <w:r>
        <w:rPr>
          <w:rFonts w:ascii="Times New Roman;Times;serif" w:hAnsi="Times New Roman;Times;serif"/>
          <w:i/>
          <w:sz w:val="20"/>
        </w:rPr>
        <w:t>Derivatives and Hedging (Topic 815) and Revenue from Contracts with Customers (Topic 606): Derivatives Scope Refinements and Scope Clarification for Share-Based Noncash Consideration from a Customer in a Revenue Contract</w:t>
      </w:r>
      <w:r>
        <w:rPr>
          <w:rFonts w:ascii="Times New Roman;Times;serif" w:hAnsi="Times New Roman;Times;serif"/>
          <w:sz w:val="20"/>
        </w:rPr>
        <w:t>, which refines the scope of derivative accounting and clarifies the treatment of certain share-based noncash consideration in revenue contracts. The Company adopted this ASU in the first quarter of 2026, prospectively. The adoption of this ASU did not have a material effect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rFonts w:ascii="Times New Roman;Times;serif" w:hAnsi="Times New Roman;Times;serif"/>
          <w:b/>
          <w:sz w:val="20"/>
        </w:rPr>
      </w:pPr>
      <w:bookmarkStart w:id="661" w:name="_4ce61ee6_a787_4aea_9dc3_436e56e3c367_3"/>
      <w:bookmarkStart w:id="662" w:name="_4ce61ee6_a787_4aea_9dc3_436e56e3c367_2"/>
      <w:bookmarkStart w:id="663" w:name="_4ce61ee6_a787_4aea_9dc3_436e56e3c367"/>
      <w:bookmarkStart w:id="664" w:name="_1f22ad07_0b54_4ff2_9b09_2f3f64102980_3"/>
      <w:bookmarkStart w:id="665" w:name="_1f22ad07_0b54_4ff2_9b09_2f3f64102980_2"/>
      <w:bookmarkStart w:id="666" w:name="_1f22ad07_0b54_4ff2_9b09_2f3f64102980"/>
      <w:bookmarkStart w:id="667" w:name="_ad21fdfb_8392_4e25_8da1_952fb68450ce_3"/>
      <w:bookmarkStart w:id="668" w:name="_ad21fdfb_8392_4e25_8da1_952fb68450ce_2"/>
      <w:bookmarkStart w:id="669" w:name="_ad21fdfb_8392_4e25_8da1_952fb68450ce"/>
      <w:bookmarkStart w:id="670" w:name="Tc_CVhjdHYksUepFhZ9eQiZQQ_7_11"/>
      <w:bookmarkStart w:id="671" w:name="Tc_lusIzXA5XU69bcBzWLPt1A_7_9"/>
      <w:bookmarkStart w:id="672" w:name="Tc_8zUnH6zwoEyTxDuTcEErZA_7_8"/>
      <w:bookmarkStart w:id="673" w:name="Tc_MqTPb7YTZ0uc82U9arIU0w_7_5"/>
      <w:bookmarkStart w:id="674" w:name="Tc_frcvbEwdIkeaiQiAuuq38Q_7_2"/>
      <w:bookmarkStart w:id="675" w:name="Tc_R6zRvOAl6EG7V_sA_DK_VQ_6_9"/>
      <w:bookmarkStart w:id="676" w:name="Tc_IAkgoEdoI0We2Q6XJfJNGQ_6_3"/>
      <w:bookmarkStart w:id="677" w:name="Tc_eJMU8vH84UOF6JMtXTG6hg_6_0"/>
      <w:bookmarkStart w:id="678" w:name="Tc__WJLlWkcE0O_tBNshDU5iA_5_11"/>
      <w:bookmarkStart w:id="679" w:name="Tc_KHGcfJvmbEGii8i3wW4pEg_5_9"/>
      <w:bookmarkStart w:id="680" w:name="Tc_Cs-44Rq2BUmvtDof1fV7YA_5_8"/>
      <w:bookmarkStart w:id="681" w:name="Tc_of0RMI2E2E2361kIjM0tkA_5_6"/>
      <w:bookmarkStart w:id="682" w:name="Tc_-52ar_AUqkik0VWQxMkqLg_5_5"/>
      <w:bookmarkStart w:id="683" w:name="Tc_8dYVVJAKUUKYlHxjX6fJBA_5_2"/>
      <w:bookmarkStart w:id="684" w:name="Tc_T32VuxrJhUmHI_OqpCUBRA_5_0"/>
      <w:bookmarkStart w:id="685" w:name="Tc_mmonkOVHw0Gnch16rJmHsg_4_0"/>
      <w:bookmarkStart w:id="686" w:name="Tc_bQIruWOrqEarZu0OD7zKhQ_3_11"/>
      <w:bookmarkStart w:id="687" w:name="Tc_3ij9OEApQEe58G-Y0AxoPA_3_8"/>
      <w:bookmarkStart w:id="688" w:name="Tc_XZH37C1Vtk-XP4fvdcrCyA_3_5"/>
      <w:bookmarkStart w:id="689" w:name="Tc_yMxh-IWNeEmhWx4YenjIEg_3_2"/>
      <w:bookmarkStart w:id="690" w:name="Tc_mu43O91IlEK9G1CvQ2TaLA_2_2"/>
      <w:bookmarkStart w:id="691" w:name="Tc_etOhgX4w9kqmCNB9MspuQQ_1_2"/>
      <w:bookmarkStart w:id="692" w:name="_34840957_2811_4da5_a9ab_988d94a228eb"/>
      <w:bookmarkStart w:id="693" w:name="Tc_5LfxOLF_Ykmjf3k0r6IKiw_8_11"/>
      <w:bookmarkStart w:id="694" w:name="Tc_Tou0qoQlOEqBdhpMzs0Ung_8_9"/>
      <w:bookmarkStart w:id="695" w:name="Tc_vKO35b_eXEOQrPtoRQ6pBg_8_8"/>
      <w:bookmarkStart w:id="696" w:name="Tc_Ef-JguRkekqSzjW2N9NrFA_8_5"/>
      <w:bookmarkStart w:id="697" w:name="Tc_NLq84r-nsEi1G5Zrw1dX7Q_8_2"/>
      <w:bookmarkStart w:id="698" w:name="Tc_5CmRks-NskybYXqvpSCJtQ_7_9"/>
      <w:bookmarkStart w:id="699" w:name="Tc_Wqgbu-JpEEiPIz2io0PvJA_7_3"/>
      <w:bookmarkStart w:id="700" w:name="Tc_tFWCylM9ZUORD8ssZ3mCQA_7_0"/>
      <w:bookmarkStart w:id="701" w:name="Tc_-Oi3_XndZ0yod7_8P_jslA_6_9"/>
      <w:bookmarkStart w:id="702" w:name="Tc_Lz59SCc5ekCr9f5uojFKIg_6_3"/>
      <w:bookmarkStart w:id="703" w:name="Tc_7K4DiT2QsEaGE-0XM4EEfw_6_0"/>
      <w:bookmarkStart w:id="704" w:name="Tc_39lzqk3U9E--bYi_JXq6Aw_5_11"/>
      <w:bookmarkStart w:id="705" w:name="Tc_x3DXZQqf5EW8fH9-O06nog_5_9"/>
      <w:bookmarkStart w:id="706" w:name="Tc_dOf1xyleAkejsZTwTAK-Sg_5_8"/>
      <w:bookmarkStart w:id="707" w:name="Tc_CKvZwxf5Bk2nX0rv1QggCg_5_6"/>
      <w:bookmarkStart w:id="708" w:name="Tc_yrYFyuu3mkiUy1fTs4b90Q_5_5"/>
      <w:bookmarkStart w:id="709" w:name="Tc_KuQKmGeaykKcSrYlE5pQGQ_5_2"/>
      <w:bookmarkStart w:id="710" w:name="Tc_QHGUhXuR6k6IEGxbuy9uwQ_5_0"/>
      <w:bookmarkStart w:id="711" w:name="Tc_HVrddEGDpEaXmiYMaczEWA_4_0"/>
      <w:bookmarkStart w:id="712" w:name="Tc_lWWCe6CiS0qi_4YGIDRyLw_3_11"/>
      <w:bookmarkStart w:id="713" w:name="Tc_xR6JinUoBU-5DyeiXy8x7w_3_8"/>
      <w:bookmarkStart w:id="714" w:name="Tc_685GhD9I7E6Y-jmG5gDYSg_3_5"/>
      <w:bookmarkStart w:id="715" w:name="Tc_1GAZD9gvc0ytWV_nhwchzQ_3_2"/>
      <w:bookmarkStart w:id="716" w:name="Tc_3u9b_HGD0Uy12KkNzc5EqA_2_2"/>
      <w:bookmarkStart w:id="717" w:name="Tc_yZU87cIj40uBipZg7QvVLw_1_2"/>
      <w:bookmarkStart w:id="718" w:name="_65f30945_887f_4bf4_8989_bb7cedfa0d14"/>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r>
        <w:rPr>
          <w:rFonts w:ascii="Times New Roman;Times;serif" w:hAnsi="Times New Roman;Times;serif"/>
          <w:b/>
          <w:sz w:val="20"/>
        </w:rPr>
        <w:t>2.           Fair Value of Financial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assets and liabilities carried at fair value are to be classified and disclosed in one of the following three levels of the fair value hierarchy, of which the first two are considered observable and the last is considered unobservable:</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information about the Company’s financial instruments measured at fair value on a recurring basis and indicate the level of the fair value hierarchy used to determine such fair values:</w:t>
      </w:r>
    </w:p>
    <w:p>
      <w:pPr>
        <w:pStyle w:val="TextBody"/>
        <w:bidi w:val="0"/>
        <w:spacing w:before="0" w:after="0"/>
        <w:ind w:left="0" w:right="0" w:hanging="0"/>
        <w:jc w:val="left"/>
        <w:rPr/>
      </w:pPr>
      <w:r>
        <w:rPr/>
        <w:t>​</w:t>
      </w:r>
    </w:p>
    <w:tbl>
      <w:tblPr>
        <w:tblW w:w="9204" w:type="dxa"/>
        <w:jc w:val="left"/>
        <w:tblInd w:w="0" w:type="dxa"/>
        <w:tblLayout w:type="fixed"/>
        <w:tblCellMar>
          <w:top w:w="0" w:type="dxa"/>
          <w:left w:w="0" w:type="dxa"/>
          <w:bottom w:w="0" w:type="dxa"/>
          <w:right w:w="0" w:type="dxa"/>
        </w:tblCellMar>
      </w:tblPr>
      <w:tblGrid>
        <w:gridCol w:w="4201"/>
        <w:gridCol w:w="346"/>
        <w:gridCol w:w="211"/>
        <w:gridCol w:w="676"/>
        <w:gridCol w:w="346"/>
        <w:gridCol w:w="211"/>
        <w:gridCol w:w="781"/>
        <w:gridCol w:w="346"/>
        <w:gridCol w:w="239"/>
        <w:gridCol w:w="392"/>
        <w:gridCol w:w="346"/>
        <w:gridCol w:w="211"/>
        <w:gridCol w:w="898"/>
      </w:tblGrid>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29260" cy="175260"/>
                      <wp:effectExtent l="0" t="0" r="0" b="0"/>
                      <wp:wrapNone/>
                      <wp:docPr id="47" name="Frame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1765" cy="175260"/>
                      <wp:effectExtent l="0" t="0" r="0" b="0"/>
                      <wp:wrapNone/>
                      <wp:docPr id="52" name="Frame5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48920" cy="175260"/>
                      <wp:effectExtent l="0" t="0" r="0" b="0"/>
                      <wp:wrapNone/>
                      <wp:docPr id="53" name="Frame5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0230" cy="175260"/>
                      <wp:effectExtent l="0" t="0" r="0" b="0"/>
                      <wp:wrapNone/>
                      <wp:docPr id="56" name="Frame5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57"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5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 Using:</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71,484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U.S. Treasury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 — U.S. Treasury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350,251</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350,251</w:t>
            </w:r>
          </w:p>
        </w:tc>
      </w:tr>
      <w:tr>
        <w:trPr/>
        <w:tc>
          <w:tcPr>
            <w:tcW w:w="42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351,939</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423,423</w:t>
            </w:r>
          </w:p>
        </w:tc>
      </w:tr>
    </w:tbl>
    <w:p>
      <w:pPr>
        <w:pStyle w:val="TextBody"/>
        <w:bidi w:val="0"/>
        <w:spacing w:before="0" w:after="240"/>
        <w:ind w:left="0" w:right="0" w:hanging="0"/>
        <w:jc w:val="left"/>
        <w:rPr/>
      </w:pPr>
      <w:r>
        <w:rPr/>
        <w:t>​</w:t>
      </w:r>
    </w:p>
    <w:tbl>
      <w:tblPr>
        <w:tblW w:w="9204" w:type="dxa"/>
        <w:jc w:val="left"/>
        <w:tblInd w:w="0" w:type="dxa"/>
        <w:tblLayout w:type="fixed"/>
        <w:tblCellMar>
          <w:top w:w="0" w:type="dxa"/>
          <w:left w:w="0" w:type="dxa"/>
          <w:bottom w:w="0" w:type="dxa"/>
          <w:right w:w="0" w:type="dxa"/>
        </w:tblCellMar>
      </w:tblPr>
      <w:tblGrid>
        <w:gridCol w:w="4201"/>
        <w:gridCol w:w="346"/>
        <w:gridCol w:w="211"/>
        <w:gridCol w:w="676"/>
        <w:gridCol w:w="346"/>
        <w:gridCol w:w="211"/>
        <w:gridCol w:w="781"/>
        <w:gridCol w:w="346"/>
        <w:gridCol w:w="239"/>
        <w:gridCol w:w="392"/>
        <w:gridCol w:w="346"/>
        <w:gridCol w:w="211"/>
        <w:gridCol w:w="898"/>
      </w:tblGrid>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29260" cy="175260"/>
                      <wp:effectExtent l="0" t="0" r="0" b="0"/>
                      <wp:wrapNone/>
                      <wp:docPr id="59" name="Frame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51765" cy="175260"/>
                      <wp:effectExtent l="0" t="0" r="0" b="0"/>
                      <wp:wrapNone/>
                      <wp:docPr id="64" name="Frame6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48920" cy="175260"/>
                      <wp:effectExtent l="0" t="0" r="0" b="0"/>
                      <wp:wrapNone/>
                      <wp:docPr id="65" name="Frame6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70230" cy="175260"/>
                      <wp:effectExtent l="0" t="0" r="0" b="0"/>
                      <wp:wrapNone/>
                      <wp:docPr id="68" name="Frame6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5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5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 Using:</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 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77,291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 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248,478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248,478</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248,478</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325,769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and the year ended December 31, 2025, there were no transfers between Level 1, Level 2 and Level 3. The money market funds were valued using quoted prices in active markets, which represent a Level 1 measurement in the fair value hierarchy. The Company’s cash equivalents and short-term investments as of June 30, 2026 and December 31, 2025 included U.S. Treasury Securities, which are not traded on a daily basis and, therefore, represent a Level 2 measurement in the fair value hierarchy at each period end.</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shd w:fill="FFFFFF" w:val="clear"/>
        </w:rPr>
      </w:pPr>
      <w:bookmarkStart w:id="719" w:name="Tc_6NJjVZzjLEm_zWKWGY9Uyw_6_14"/>
      <w:bookmarkStart w:id="720" w:name="Tc_3eQoFVT7WU-dgXggaf__uw_6_12"/>
      <w:bookmarkStart w:id="721" w:name="Tc_K8rkNesUzUmoaEuUmYXBVQ_6_11"/>
      <w:bookmarkStart w:id="722" w:name="Tc_N87CniZDXEKbgboL2fqnaA_6_8"/>
      <w:bookmarkStart w:id="723" w:name="Tc_QWihmqY5XUCTm8fRB7Dz5Q_6_5"/>
      <w:bookmarkStart w:id="724" w:name="Tc_njQ1V6fNyU-7ScNlGnmSRw_6_2"/>
      <w:bookmarkStart w:id="725" w:name="Tc_6QtlHDnSSEKTmS_UxgqKEg_5_14"/>
      <w:bookmarkStart w:id="726" w:name="Tc_rO52FX0wykWgy-Y_5ckWcw_5_12"/>
      <w:bookmarkStart w:id="727" w:name="Tc_KvNGlzUMlEesBpp-cWcc-w_5_11"/>
      <w:bookmarkStart w:id="728" w:name="Tc_pkp74DQho0mdxJyFMTkUyg_5_8"/>
      <w:bookmarkStart w:id="729" w:name="Tc_S91MmjB0VEWHSRvhSMC1Sw_5_5"/>
      <w:bookmarkStart w:id="730" w:name="Tc_sq_UXU4kVE6W4LndHTr09w_5_2"/>
      <w:bookmarkStart w:id="731" w:name="Tc_gq5bXf2WoUikz8nNkuPkFA_5_0"/>
      <w:bookmarkStart w:id="732" w:name="Tc_PyiUdf5Y3UaWzt9Q-ifwnA_4_0"/>
      <w:bookmarkStart w:id="733" w:name="Tc_3tS5G62f50ycLzAQp5_mRg_3_14"/>
      <w:bookmarkStart w:id="734" w:name="Tc_mexnSq_D20muurWiJhlskg_3_11"/>
      <w:bookmarkStart w:id="735" w:name="Tc_oa9d2jyx-EKWzMf2q5OYuA_3_8"/>
      <w:bookmarkStart w:id="736" w:name="Tc_rQpVR5TBFUWJ2VkMa6cdLw_3_5"/>
      <w:bookmarkStart w:id="737" w:name="Tc_EhNPrek_oka3bZYcleZ18w_3_2"/>
      <w:bookmarkStart w:id="738" w:name="Tc_-M0WfWEHqk2uesl4yG5gyw_2_14"/>
      <w:bookmarkStart w:id="739" w:name="Tc_yJGuP7xulEysDsZZswRZyA_2_11"/>
      <w:bookmarkStart w:id="740" w:name="Tc_2w0oa_hrskeWjF06BCztsQ_2_8"/>
      <w:bookmarkStart w:id="741" w:name="Tc_DpzskMEOA0OA_-haRHOxVQ_2_5"/>
      <w:bookmarkStart w:id="742" w:name="Tc_m4X7c6q-XU6QXXYBgEnWdA_2_2"/>
      <w:bookmarkStart w:id="743" w:name="Tc_pnudref6v0G7p6DFUn0fVw_1_8"/>
      <w:bookmarkStart w:id="744" w:name="Tc_BUnoT5veS0SkzuG_H14S0g_1_5"/>
      <w:bookmarkStart w:id="745" w:name="_19b068f7_1d4c_4bf9_a127_2fe83d7afc5a"/>
      <w:bookmarkStart w:id="746" w:name="Tc_Vr6qzQ4pcE-ZHZr7Xel3qQ_7_14"/>
      <w:bookmarkStart w:id="747" w:name="Tc_phXV0IeTIkyDX24_JDqNbA_7_12"/>
      <w:bookmarkStart w:id="748" w:name="Tc_d2K4tQuoPEG6kyNTMIzJ1g_7_11"/>
      <w:bookmarkStart w:id="749" w:name="Tc_bAiRDG9XVUWs_FMF1KaAyQ_7_8"/>
      <w:bookmarkStart w:id="750" w:name="Tc_E8GuQUX7rk-xFTVIOJDjNw_7_6"/>
      <w:bookmarkStart w:id="751" w:name="Tc_6KG0Ijf2CkSEbku15uLVwQ_7_5"/>
      <w:bookmarkStart w:id="752" w:name="Tc_vCSqffwCmkaz7mjfGvhCzQ_7_2"/>
      <w:bookmarkStart w:id="753" w:name="Tc_tYvp1NAXKE2yWVigjvyt0w_6_12"/>
      <w:bookmarkStart w:id="754" w:name="Tc_q5xqDm5QlEeHV8QeL3-DMQ_6_6"/>
      <w:bookmarkStart w:id="755" w:name="Tc_hNSAs2E-nUaqOITQU1s__Q_6_0"/>
      <w:bookmarkStart w:id="756" w:name="Tc_fEXbDQZYCEOWUggvFzSUDQ_5_14"/>
      <w:bookmarkStart w:id="757" w:name="Tc_lAetLNMInkWV2nRKk-jh9A_5_12"/>
      <w:bookmarkStart w:id="758" w:name="Tc_oVvTlZLrjEuuCpB5u9gp8Q_5_11"/>
      <w:bookmarkStart w:id="759" w:name="Tc_kmpNcpPCX0a9axZq4I9OOA_5_9"/>
      <w:bookmarkStart w:id="760" w:name="Tc_XJ5w99_150WSGyoIm1YlXQ_5_8"/>
      <w:bookmarkStart w:id="761" w:name="Tc_jch2rDccTEqAq-WNjW1K5A_5_6"/>
      <w:bookmarkStart w:id="762" w:name="Tc_W3iszGcj90C6NzMXSxY8Pw_5_5"/>
      <w:bookmarkStart w:id="763" w:name="Tc_i9DapBmbYUaU-19YOfVqVw_5_2"/>
      <w:bookmarkStart w:id="764" w:name="Tc_TShlVr7OSUupk4x3AuswZg_5_0"/>
      <w:bookmarkStart w:id="765" w:name="Tc_EtgHRzY5g0y2Dv8K97XdfQ_4_0"/>
      <w:bookmarkStart w:id="766" w:name="Tc_SgmOxQNwAUiVQRtovRn40Q_3_14"/>
      <w:bookmarkStart w:id="767" w:name="Tc_Ymyb3L7hak-RuVgyspeuDg_3_11"/>
      <w:bookmarkStart w:id="768" w:name="Tc_9sgRR3scxUi4ddqnzoneIQ_3_8"/>
      <w:bookmarkStart w:id="769" w:name="Tc_7bX5GCARMU-8UfbuKf29LQ_3_5"/>
      <w:bookmarkStart w:id="770" w:name="Tc_UcRi1XAA8EGV2N7t0wHrzA_3_2"/>
      <w:bookmarkStart w:id="771" w:name="Tc_v1lTKZshkUyVvphaWNtyHA_2_14"/>
      <w:bookmarkStart w:id="772" w:name="Tc_xSIt2AiDyEiwUmL1jay1_A_2_11"/>
      <w:bookmarkStart w:id="773" w:name="Tc_5Q0GFXFJNkiXXg7otbb1hQ_2_8"/>
      <w:bookmarkStart w:id="774" w:name="Tc_s1UP-Ypbokax837gkWae1Q_2_5"/>
      <w:bookmarkStart w:id="775" w:name="Tc_ME1alYKS5EGF6TfrBwwhyg_2_2"/>
      <w:bookmarkStart w:id="776" w:name="Tc_fr0Cr_zSTUKV1Ape3LuYMw_1_8"/>
      <w:bookmarkStart w:id="777" w:name="Tc_tb3vhL5ZkE2cUrWfQ5Asew_1_5"/>
      <w:bookmarkStart w:id="778" w:name="_42c117e5_00a5_432f_b1f1_9d39c45393b6"/>
      <w:bookmarkStart w:id="779" w:name="Tc_Jo_YnUemrE2JB0HWBSpVvw_5_11"/>
      <w:bookmarkStart w:id="780" w:name="Tc_jDpA_UOJf06r6YVKHy5gnw_5_8"/>
      <w:bookmarkStart w:id="781" w:name="Tc_8TYEv-qumUytViUvFHYYnQ_5_0"/>
      <w:bookmarkStart w:id="782" w:name="Tc_AREc2mDUik-0mGtHQxStpg_4_0"/>
      <w:bookmarkStart w:id="783" w:name="Tc_zaZZ-LrbMU-4xCGU1NVcBw_3_11"/>
      <w:bookmarkStart w:id="784" w:name="Tc_exBev7O6AkCMUY-Gp5dIng_3_8"/>
      <w:bookmarkStart w:id="785" w:name="Tc_bGNG9xrhX06XcxSf_2ApbQ_3_0"/>
      <w:bookmarkStart w:id="786" w:name="Tc_25SfQ0bb9kCitGNlAgxdUg_2_11"/>
      <w:bookmarkStart w:id="787" w:name="Tc_gJsiYQMyYU6YqxR-jRapBQ_2_8"/>
      <w:bookmarkStart w:id="788" w:name="Tc_RZWDwsLsEEKtsL5TC-GVBw_1_11"/>
      <w:bookmarkStart w:id="789" w:name="Tc_0TdbMI8LYEKwPxE9cCPtAQ_1_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Times New Roman;Times;serif" w:hAnsi="Times New Roman;Times;serif"/>
          <w:sz w:val="20"/>
          <w:shd w:fill="FFFFFF" w:val="clear"/>
        </w:rPr>
        <w:t>The contractual maturities of short-term investments were as follows:</w:t>
      </w:r>
    </w:p>
    <w:p>
      <w:pPr>
        <w:pStyle w:val="TextBody"/>
        <w:bidi w:val="0"/>
        <w:spacing w:before="0" w:after="0"/>
        <w:ind w:left="0" w:right="0" w:hanging="0"/>
        <w:jc w:val="left"/>
        <w:rPr>
          <w:shd w:fill="FFFFFF" w:val="clear"/>
        </w:rPr>
      </w:pPr>
      <w:r>
        <w:rPr>
          <w:shd w:fill="FFFFFF" w:val="clear"/>
        </w:rPr>
        <w:t>​</w:t>
      </w:r>
    </w:p>
    <w:tbl>
      <w:tblPr>
        <w:tblW w:w="6857" w:type="dxa"/>
        <w:jc w:val="left"/>
        <w:tblInd w:w="0" w:type="dxa"/>
        <w:tblLayout w:type="fixed"/>
        <w:tblCellMar>
          <w:top w:w="0" w:type="dxa"/>
          <w:left w:w="0" w:type="dxa"/>
          <w:bottom w:w="0" w:type="dxa"/>
          <w:right w:w="0" w:type="dxa"/>
        </w:tblCellMar>
      </w:tblPr>
      <w:tblGrid>
        <w:gridCol w:w="3616"/>
        <w:gridCol w:w="109"/>
        <w:gridCol w:w="109"/>
        <w:gridCol w:w="109"/>
        <w:gridCol w:w="109"/>
        <w:gridCol w:w="109"/>
        <w:gridCol w:w="109"/>
        <w:gridCol w:w="109"/>
        <w:gridCol w:w="211"/>
        <w:gridCol w:w="781"/>
        <w:gridCol w:w="346"/>
        <w:gridCol w:w="217"/>
        <w:gridCol w:w="923"/>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296160" cy="175260"/>
                      <wp:effectExtent l="0" t="0" r="0" b="0"/>
                      <wp:wrapNone/>
                      <wp:docPr id="69" name="Frame69"/>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7795" cy="175260"/>
                      <wp:effectExtent l="0" t="0" r="0" b="0"/>
                      <wp:wrapNone/>
                      <wp:docPr id="80" name="Frame8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86105" cy="175260"/>
                      <wp:effectExtent l="0" t="0" r="0" b="0"/>
                      <wp:wrapNone/>
                      <wp:docPr id="81" name="Frame81"/>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within one year</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184,351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179,577</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after one year through five years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165,900</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68,901</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350,251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248,478</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summarize short-term investments: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9278" w:type="dxa"/>
        <w:jc w:val="left"/>
        <w:tblInd w:w="0" w:type="dxa"/>
        <w:tblLayout w:type="fixed"/>
        <w:tblCellMar>
          <w:top w:w="0" w:type="dxa"/>
          <w:left w:w="0" w:type="dxa"/>
          <w:bottom w:w="0" w:type="dxa"/>
          <w:right w:w="0" w:type="dxa"/>
        </w:tblCellMar>
      </w:tblPr>
      <w:tblGrid>
        <w:gridCol w:w="4201"/>
        <w:gridCol w:w="109"/>
        <w:gridCol w:w="211"/>
        <w:gridCol w:w="781"/>
        <w:gridCol w:w="109"/>
        <w:gridCol w:w="352"/>
        <w:gridCol w:w="578"/>
        <w:gridCol w:w="109"/>
        <w:gridCol w:w="217"/>
        <w:gridCol w:w="713"/>
        <w:gridCol w:w="109"/>
        <w:gridCol w:w="216"/>
        <w:gridCol w:w="355"/>
        <w:gridCol w:w="109"/>
        <w:gridCol w:w="211"/>
        <w:gridCol w:w="898"/>
      </w:tblGrid>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3520" cy="175260"/>
                      <wp:effectExtent l="0" t="0" r="0" b="0"/>
                      <wp:wrapNone/>
                      <wp:docPr id="86" name="Frame8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7030" cy="175260"/>
                      <wp:effectExtent l="0" t="0" r="0" b="0"/>
                      <wp:wrapNone/>
                      <wp:docPr id="87" name="Frame87"/>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7795" cy="175260"/>
                      <wp:effectExtent l="0" t="0" r="0" b="0"/>
                      <wp:wrapNone/>
                      <wp:docPr id="89" name="Frame8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2755" cy="175260"/>
                      <wp:effectExtent l="0" t="0" r="0" b="0"/>
                      <wp:wrapNone/>
                      <wp:docPr id="90" name="Frame9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7160" cy="175260"/>
                      <wp:effectExtent l="0" t="0" r="0" b="0"/>
                      <wp:wrapNone/>
                      <wp:docPr id="92" name="Frame9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25425" cy="175260"/>
                      <wp:effectExtent l="0" t="0" r="0" b="0"/>
                      <wp:wrapNone/>
                      <wp:docPr id="93" name="Frame93"/>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70230" cy="175260"/>
                      <wp:effectExtent l="0" t="0" r="0" b="0"/>
                      <wp:wrapNone/>
                      <wp:docPr id="96" name="Frame9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pPr>
            <w:r>
              <w:rPr/>
              <w:t>​</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U.S. Treasury Securities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 — U.S. Treasury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351,631</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350,251</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353,319</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w:t>
            </w:r>
          </w:p>
        </w:tc>
        <w:tc>
          <w:tcPr>
            <w:tcW w:w="109"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351,939</w:t>
            </w:r>
          </w:p>
        </w:tc>
      </w:tr>
    </w:tbl>
    <w:p>
      <w:pPr>
        <w:pStyle w:val="TextBody"/>
        <w:bidi w:val="0"/>
        <w:spacing w:before="0" w:after="240"/>
        <w:ind w:left="0" w:right="0" w:hanging="0"/>
        <w:jc w:val="left"/>
        <w:rPr/>
      </w:pPr>
      <w:r>
        <w:rPr/>
        <w:t>​</w:t>
      </w:r>
    </w:p>
    <w:tbl>
      <w:tblPr>
        <w:tblW w:w="9278" w:type="dxa"/>
        <w:jc w:val="left"/>
        <w:tblInd w:w="0" w:type="dxa"/>
        <w:tblLayout w:type="fixed"/>
        <w:tblCellMar>
          <w:top w:w="0" w:type="dxa"/>
          <w:left w:w="0" w:type="dxa"/>
          <w:bottom w:w="0" w:type="dxa"/>
          <w:right w:w="0" w:type="dxa"/>
        </w:tblCellMar>
      </w:tblPr>
      <w:tblGrid>
        <w:gridCol w:w="4201"/>
        <w:gridCol w:w="109"/>
        <w:gridCol w:w="211"/>
        <w:gridCol w:w="781"/>
        <w:gridCol w:w="109"/>
        <w:gridCol w:w="309"/>
        <w:gridCol w:w="621"/>
        <w:gridCol w:w="109"/>
        <w:gridCol w:w="373"/>
        <w:gridCol w:w="557"/>
        <w:gridCol w:w="109"/>
        <w:gridCol w:w="216"/>
        <w:gridCol w:w="355"/>
        <w:gridCol w:w="109"/>
        <w:gridCol w:w="211"/>
        <w:gridCol w:w="898"/>
      </w:tblGrid>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6215" cy="175260"/>
                      <wp:effectExtent l="0" t="0" r="0" b="0"/>
                      <wp:wrapNone/>
                      <wp:docPr id="101" name="Frame101"/>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94335" cy="175260"/>
                      <wp:effectExtent l="0" t="0" r="0" b="0"/>
                      <wp:wrapNone/>
                      <wp:docPr id="102" name="Frame102"/>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36855" cy="175260"/>
                      <wp:effectExtent l="0" t="0" r="0" b="0"/>
                      <wp:wrapNone/>
                      <wp:docPr id="104" name="Frame104"/>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53695" cy="175260"/>
                      <wp:effectExtent l="0" t="0" r="0" b="0"/>
                      <wp:wrapNone/>
                      <wp:docPr id="105" name="Frame105"/>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7160" cy="175260"/>
                      <wp:effectExtent l="0" t="0" r="0" b="0"/>
                      <wp:wrapNone/>
                      <wp:docPr id="107" name="Frame10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25425" cy="175260"/>
                      <wp:effectExtent l="0" t="0" r="0" b="0"/>
                      <wp:wrapNone/>
                      <wp:docPr id="108" name="Frame10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0230" cy="175260"/>
                      <wp:effectExtent l="0" t="0" r="0" b="0"/>
                      <wp:wrapNone/>
                      <wp:docPr id="111" name="Frame11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pPr>
            <w:r>
              <w:rPr/>
              <w:t>​</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6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3"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 — U.S. Treasury Securities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248,354</w:t>
            </w:r>
          </w:p>
        </w:tc>
        <w:tc>
          <w:tcPr>
            <w:tcW w:w="109" w:type="dxa"/>
            <w:tcBorders/>
            <w:vAlign w:val="center"/>
          </w:tcPr>
          <w:p>
            <w:pPr>
              <w:pStyle w:val="TableContents"/>
              <w:bidi w:val="0"/>
              <w:spacing w:before="0" w:after="1"/>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1"/>
              <w:ind w:left="0" w:right="0" w:hanging="0"/>
              <w:jc w:val="left"/>
              <w:rPr/>
            </w:pPr>
            <w:r>
              <w:rPr/>
              <w:t>​</w:t>
            </w:r>
          </w:p>
        </w:tc>
        <w:tc>
          <w:tcPr>
            <w:tcW w:w="37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248,478</w:t>
            </w:r>
          </w:p>
        </w:tc>
      </w:tr>
      <w:tr>
        <w:trPr/>
        <w:tc>
          <w:tcPr>
            <w:tcW w:w="42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248,354</w:t>
            </w:r>
          </w:p>
        </w:tc>
        <w:tc>
          <w:tcPr>
            <w:tcW w:w="109" w:type="dxa"/>
            <w:tcBorders/>
            <w:shd w:fill="CCEEFF" w:val="clear"/>
            <w:vAlign w:val="center"/>
          </w:tcPr>
          <w:p>
            <w:pPr>
              <w:pStyle w:val="TableContents"/>
              <w:bidi w:val="0"/>
              <w:spacing w:before="0" w:after="1"/>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bidi w:val="0"/>
              <w:spacing w:before="0" w:after="1"/>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248,478</w:t>
            </w:r>
          </w:p>
        </w:tc>
      </w:tr>
    </w:tbl>
    <w:p>
      <w:pPr>
        <w:pStyle w:val="TextBody"/>
        <w:bidi w:val="0"/>
        <w:spacing w:before="0" w:after="0"/>
        <w:ind w:left="0" w:right="0" w:hanging="0"/>
        <w:jc w:val="left"/>
        <w:rPr/>
      </w:pPr>
      <w:r>
        <w:rPr/>
        <w:t>​</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As of June 30, 2026, the Company considers the unrealized losses in its investment portfolio to be temporary in nature and not due to credit losses. The Company has the ability to hold such investments until recovery of the fair value. The Company utilizes the specific identification method in computing realized gains and losses. The Company had no realized gains and losses on its available-for-sale securities for the six months ended June 30, 2026 or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0" w:name="Tc_iIARvBop30CPtuWRV2uryQ_4_11"/>
      <w:bookmarkStart w:id="791" w:name="Tc_XgboLRi0kkG6-sNOHHeEng_4_8"/>
      <w:bookmarkStart w:id="792" w:name="Tc_R1NCTlpYP0qkmac0co6I5Q_4_5"/>
      <w:bookmarkStart w:id="793" w:name="Tc_vAb71QfGcE-NH_0apg_jyg_4_2"/>
      <w:bookmarkStart w:id="794" w:name="Tc_fiy6sDPC-kKCDuh2UPwCLg_4_0"/>
      <w:bookmarkStart w:id="795" w:name="Tc_mBz-vJ3k40mIc3f5KUXbww_3_11"/>
      <w:bookmarkStart w:id="796" w:name="Tc_xl8e-WhF8U6vVRyrer0bsw_3_8"/>
      <w:bookmarkStart w:id="797" w:name="Tc_eqFceDPIl0Oz_tDrdzzY1A_3_5"/>
      <w:bookmarkStart w:id="798" w:name="Tc_p_2I5GG-RUiUIBXTcrEMEw_3_2"/>
      <w:bookmarkStart w:id="799" w:name="Tc_xbNK8H6g5Eu8blOpbi1-Vg_2_8"/>
      <w:bookmarkStart w:id="800" w:name="Tc_bR1HAMzNwk2Is7kTUix5xA_2_2"/>
      <w:bookmarkStart w:id="801" w:name="Tc_WHgT0nkRlEiPvcoOBNXyag_1_8"/>
      <w:bookmarkStart w:id="802" w:name="Tc_sb6MwJA6cEuI9UkeevLniQ_1_2"/>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b/>
          <w:sz w:val="20"/>
        </w:rPr>
        <w:t>3.           Product Revenue,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derives substantially all of its product revenue, net from sales of ARCALYST in the United States, which was as follows:</w:t>
      </w:r>
    </w:p>
    <w:p>
      <w:pPr>
        <w:pStyle w:val="TextBody"/>
        <w:bidi w:val="0"/>
        <w:spacing w:before="0" w:after="0"/>
        <w:ind w:left="0" w:right="0" w:firstLine="720"/>
        <w:jc w:val="left"/>
        <w:rPr/>
      </w:pPr>
      <w:r>
        <w:rPr/>
        <w:t>​</w:t>
      </w:r>
    </w:p>
    <w:tbl>
      <w:tblPr>
        <w:tblW w:w="6295" w:type="dxa"/>
        <w:jc w:val="left"/>
        <w:tblInd w:w="0" w:type="dxa"/>
        <w:tblLayout w:type="fixed"/>
        <w:tblCellMar>
          <w:top w:w="0" w:type="dxa"/>
          <w:left w:w="0" w:type="dxa"/>
          <w:bottom w:w="0" w:type="dxa"/>
          <w:right w:w="0" w:type="dxa"/>
        </w:tblCellMar>
      </w:tblPr>
      <w:tblGrid>
        <w:gridCol w:w="1786"/>
        <w:gridCol w:w="109"/>
        <w:gridCol w:w="211"/>
        <w:gridCol w:w="781"/>
        <w:gridCol w:w="109"/>
        <w:gridCol w:w="211"/>
        <w:gridCol w:w="781"/>
        <w:gridCol w:w="109"/>
        <w:gridCol w:w="211"/>
        <w:gridCol w:w="781"/>
        <w:gridCol w:w="109"/>
        <w:gridCol w:w="211"/>
        <w:gridCol w:w="886"/>
      </w:tblGrid>
      <w:tr>
        <w:trPr/>
        <w:tc>
          <w:tcPr>
            <w:tcW w:w="1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114"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62610" cy="175260"/>
                      <wp:effectExtent l="0" t="0" r="0" b="0"/>
                      <wp:wrapNone/>
                      <wp:docPr id="123" name="Frame1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left"/>
              <w:rPr/>
            </w:pPr>
            <w:r>
              <w:rPr/>
              <w:t>​</w:t>
            </w:r>
          </w:p>
        </w:tc>
        <w:tc>
          <w:tcPr>
            <w:tcW w:w="21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1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294,582</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803" w:name="Tc_payOLcTiFE6Jq28QiFuh2Q_5_5"/>
      <w:bookmarkStart w:id="804" w:name="Tc_XE2Nac4eC0alO9l6aXMA9w_5_2"/>
      <w:bookmarkStart w:id="805" w:name="Tc_GQWR34zHG0mjJlC37S1UOA_5_0"/>
      <w:bookmarkStart w:id="806" w:name="Tc_EXLkoxHTKkG3UDZYhtPxeA_4_0"/>
      <w:bookmarkStart w:id="807" w:name="Tc_YD-Q8zfKqkihvdZkvXIWdQ_3_5"/>
      <w:bookmarkStart w:id="808" w:name="Tc_ogRUtZb0MUWD0xD7XhMOYw_3_2"/>
      <w:bookmarkStart w:id="809" w:name="Tc_NGUEqv4_s0Kd7DLouEQcBg_3_0"/>
      <w:bookmarkStart w:id="810" w:name="Tc_VZwR-GRDDUyqvRYeh5vRjA_2_5"/>
      <w:bookmarkStart w:id="811" w:name="Tc_PLrkkzJdG0W8z4kLIPnRgQ_2_2"/>
      <w:bookmarkStart w:id="812" w:name="Tc_VOpXhnt8pUaOXW9itKiAKA_1_5"/>
      <w:bookmarkStart w:id="813" w:name="Tc_Y1qPlMAuBkiH-BtI9-uW2Q_1_2"/>
      <w:bookmarkStart w:id="814" w:name="Tc_v2lxtKiyUU2_pwleeeqolA_8_11"/>
      <w:bookmarkStart w:id="815" w:name="Tc_rfhaSHCke0Gt_M30YbyYtA_8_8"/>
      <w:bookmarkStart w:id="816" w:name="Tc_vUgqYadlGEa9bqwYM8lZUg_8_5"/>
      <w:bookmarkStart w:id="817" w:name="Tc_gCD_eMO2d0ae-_myNtxUSw_8_2"/>
      <w:bookmarkStart w:id="818" w:name="Tc_ePYGfDEE60CLYYvjCBg3TA_8_0"/>
      <w:bookmarkStart w:id="819" w:name="Tc_oDlmf65gbUW2DBNtLxuYsQ_7_0"/>
      <w:bookmarkStart w:id="820" w:name="Tc_310gRKz-wky2H2GP-DyuGw_6_9"/>
      <w:bookmarkStart w:id="821" w:name="Tc_86Ny3JBz20y3Lrlv6eecsQ_6_0"/>
      <w:bookmarkStart w:id="822" w:name="Tc_yL28seUpu0OsXMbePxk_Ww_5_0"/>
      <w:bookmarkStart w:id="823" w:name="Tc_ASIS4tUEck-pFutqAW4Jnw_4_0"/>
      <w:bookmarkStart w:id="824" w:name="Tc_Ip3fo8CPQUaRfzgG9wbs6A_3_11"/>
      <w:bookmarkStart w:id="825" w:name="Tc_JrGQ4A0Ha0iEVVzpMkUNiA_3_8"/>
      <w:bookmarkStart w:id="826" w:name="Tc_LFULGM2hNkmN5p8IzpFz8w_3_5"/>
      <w:bookmarkStart w:id="827" w:name="Tc_n6fAxuOcgEulTq9cFEYwvw_3_2"/>
      <w:bookmarkStart w:id="828" w:name="Tc_fh-doHurHUKKeupDomyjxg_3_0"/>
      <w:bookmarkStart w:id="829" w:name="Tc_8KZTlya5j0Wtl6amzwMxOQ_2_11"/>
      <w:bookmarkStart w:id="830" w:name="Tc_tBqMw3vMqECi1V6NrOf9dw_2_8"/>
      <w:bookmarkStart w:id="831" w:name="Tc_g2XLGbwJEEK-ljoUsWzbEg_2_5"/>
      <w:bookmarkStart w:id="832" w:name="Tc_DmpA-Lww206KJaS0WiLQZA_2_2"/>
      <w:bookmarkStart w:id="833" w:name="Tc_HyEXw18ILUe9_-E0bIWneQ_1_5"/>
      <w:bookmarkStart w:id="834" w:name="Tc_1fiOs6EYIEaNvqWEpHo8rg_1_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Times New Roman;Times;serif" w:hAnsi="Times New Roman;Times;serif"/>
          <w:sz w:val="20"/>
        </w:rPr>
        <w:t>The following table summarizes balances and activity in each of the product revenue allowance and reserve categories for the six months ended June 30, 2026:</w:t>
      </w:r>
    </w:p>
    <w:p>
      <w:pPr>
        <w:pStyle w:val="TextBody"/>
        <w:bidi w:val="0"/>
        <w:spacing w:before="0" w:after="0"/>
        <w:ind w:left="0" w:right="0" w:hanging="0"/>
        <w:jc w:val="left"/>
        <w:rPr/>
      </w:pPr>
      <w:r>
        <w:rPr/>
        <w:t>​</w:t>
      </w:r>
    </w:p>
    <w:tbl>
      <w:tblPr>
        <w:tblW w:w="8769" w:type="dxa"/>
        <w:jc w:val="left"/>
        <w:tblInd w:w="0" w:type="dxa"/>
        <w:tblLayout w:type="fixed"/>
        <w:tblCellMar>
          <w:top w:w="0" w:type="dxa"/>
          <w:left w:w="0" w:type="dxa"/>
          <w:bottom w:w="0" w:type="dxa"/>
          <w:right w:w="0" w:type="dxa"/>
        </w:tblCellMar>
      </w:tblPr>
      <w:tblGrid>
        <w:gridCol w:w="4471"/>
        <w:gridCol w:w="109"/>
        <w:gridCol w:w="211"/>
        <w:gridCol w:w="796"/>
        <w:gridCol w:w="109"/>
        <w:gridCol w:w="242"/>
        <w:gridCol w:w="779"/>
        <w:gridCol w:w="109"/>
        <w:gridCol w:w="211"/>
        <w:gridCol w:w="571"/>
        <w:gridCol w:w="109"/>
        <w:gridCol w:w="211"/>
        <w:gridCol w:w="84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839085" cy="175260"/>
                      <wp:effectExtent l="0" t="0" r="0" b="0"/>
                      <wp:wrapNone/>
                      <wp:docPr id="124" name="Frame12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05460" cy="175260"/>
                      <wp:effectExtent l="0" t="0" r="0" b="0"/>
                      <wp:wrapNone/>
                      <wp:docPr id="127" name="Frame1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3670" cy="175260"/>
                      <wp:effectExtent l="0" t="0" r="0" b="0"/>
                      <wp:wrapNone/>
                      <wp:docPr id="129" name="Frame12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4665" cy="175260"/>
                      <wp:effectExtent l="0" t="0" r="0" b="0"/>
                      <wp:wrapNone/>
                      <wp:docPr id="130" name="Frame130"/>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34035" cy="175260"/>
                      <wp:effectExtent l="0" t="0" r="0" b="0"/>
                      <wp:wrapNone/>
                      <wp:docPr id="136" name="Frame13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Government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Rebates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Returns</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19,566</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provisions relating to sales in the current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19,469</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righ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37,876</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relating to prior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Payments/returns relating to sales in the current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(18,228)</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righ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Payments/returns relating to sales in the prior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(12,204)</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17,541</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Total revenue-related reserves as of June 30, 2026 and December 31, 2025, included in the Company’s condensed consolidated balance sheets, are summarized as follows:</w:t>
      </w:r>
    </w:p>
    <w:p>
      <w:pPr>
        <w:pStyle w:val="TextBody"/>
        <w:bidi w:val="0"/>
        <w:spacing w:before="0" w:after="0"/>
        <w:ind w:left="0" w:right="0" w:firstLine="720"/>
        <w:jc w:val="left"/>
        <w:rPr/>
      </w:pPr>
      <w:r>
        <w:rPr/>
        <w:t>​</w:t>
      </w:r>
    </w:p>
    <w:tbl>
      <w:tblPr>
        <w:tblW w:w="5576" w:type="dxa"/>
        <w:jc w:val="left"/>
        <w:tblInd w:w="0" w:type="dxa"/>
        <w:tblLayout w:type="fixed"/>
        <w:tblCellMar>
          <w:top w:w="0" w:type="dxa"/>
          <w:left w:w="0" w:type="dxa"/>
          <w:bottom w:w="0" w:type="dxa"/>
          <w:right w:w="0" w:type="dxa"/>
        </w:tblCellMar>
      </w:tblPr>
      <w:tblGrid>
        <w:gridCol w:w="3271"/>
        <w:gridCol w:w="109"/>
        <w:gridCol w:w="211"/>
        <w:gridCol w:w="691"/>
        <w:gridCol w:w="109"/>
        <w:gridCol w:w="252"/>
        <w:gridCol w:w="933"/>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7085" cy="175260"/>
                      <wp:effectExtent l="0" t="0" r="0" b="0"/>
                      <wp:wrapNone/>
                      <wp:docPr id="137" name="Frame137"/>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8785" cy="175260"/>
                      <wp:effectExtent l="0" t="0" r="0" b="0"/>
                      <wp:wrapNone/>
                      <wp:docPr id="140" name="Frame1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0020" cy="175260"/>
                      <wp:effectExtent l="0" t="0" r="0" b="0"/>
                      <wp:wrapNone/>
                      <wp:docPr id="142" name="Frame14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2455" cy="175260"/>
                      <wp:effectExtent l="0" t="0" r="0" b="0"/>
                      <wp:wrapNone/>
                      <wp:docPr id="143" name="Frame14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accounts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other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revenue-related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19,566</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Substantially all of the Company’s trade accounts receivable arise from product revenue in the United States due from the Company’s third party logistics provider.</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835" w:name="Tc_PJOJOuFFD0CQAr8hSLAG7Q_10_5"/>
      <w:bookmarkStart w:id="836" w:name="Tc_up-Gzt-4_EirLRI_sVTXKA_10_2"/>
      <w:bookmarkStart w:id="837" w:name="Tc_okOO6ghubU22C9PRbJwYOg_10_0"/>
      <w:bookmarkStart w:id="838" w:name="Tc_EZaUq4v_xUiHkuFP71Rl9g_9_0"/>
      <w:bookmarkStart w:id="839" w:name="Tc_nSUKkBAgv0Wex11Y_0PZ5w_8_5"/>
      <w:bookmarkStart w:id="840" w:name="Tc_3uH28z-3F0aK9mfHsbT48g_8_2"/>
      <w:bookmarkStart w:id="841" w:name="Tc_uGrbwksokUezlwbaEFCM_Q_8_0"/>
      <w:bookmarkStart w:id="842" w:name="Tc_H1OQBQXG_0OVUTcfuS04GA_7_0"/>
      <w:bookmarkStart w:id="843" w:name="Tc_WIAvp7-I0UmPBjRsRGfQgg_6_5"/>
      <w:bookmarkStart w:id="844" w:name="Tc_GLKo1u1MV0ynN0Qj5snNxQ_6_2"/>
      <w:bookmarkStart w:id="845" w:name="Tc_jrVY8qH4hUmdGMIGL6hQjQ_6_0"/>
      <w:bookmarkStart w:id="846" w:name="Tc_FSC0Hz9oKUq7Q8bnQnqahQ_5_0"/>
      <w:bookmarkStart w:id="847" w:name="Tc_PmbEyX682UK-ThnepJ73nA_4_0"/>
      <w:bookmarkStart w:id="848" w:name="Tc_oh8znj8Mhk6t3ASo8DJ8QQ_3_5"/>
      <w:bookmarkStart w:id="849" w:name="Tc_5CI-rmRBA0y6f3fJFofw5A_3_2"/>
      <w:bookmarkStart w:id="850" w:name="Tc_LOV6O9zBa0SRrqhJOCoPYQ_3_0"/>
      <w:bookmarkStart w:id="851" w:name="Tc_X8km2-wJIEuZu4kpKuc_0w_2_5"/>
      <w:bookmarkStart w:id="852" w:name="Tc_IcbJDosznk2XYF6uY7dNPw_2_2"/>
      <w:bookmarkStart w:id="853" w:name="Tc_IY1B2AjfwEyV1HnFD5v-Aw_1_5"/>
      <w:bookmarkStart w:id="854" w:name="Tc_uF1HI4tjSUiylHixtEQ2GQ_1_2"/>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rFonts w:ascii="Times New Roman;Times;serif" w:hAnsi="Times New Roman;Times;serif"/>
          <w:b/>
          <w:sz w:val="20"/>
        </w:rPr>
        <w:t>4.           Inventory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Inventory consisted of the following:</w:t>
      </w:r>
    </w:p>
    <w:p>
      <w:pPr>
        <w:pStyle w:val="TextBody"/>
        <w:bidi w:val="0"/>
        <w:spacing w:before="0" w:after="0"/>
        <w:ind w:left="0" w:right="0" w:firstLine="720"/>
        <w:jc w:val="both"/>
        <w:rPr/>
      </w:pPr>
      <w:r>
        <w:rPr/>
        <w:t>​</w:t>
      </w:r>
    </w:p>
    <w:tbl>
      <w:tblPr>
        <w:tblW w:w="5270" w:type="dxa"/>
        <w:jc w:val="left"/>
        <w:tblInd w:w="0" w:type="dxa"/>
        <w:tblLayout w:type="fixed"/>
        <w:tblCellMar>
          <w:top w:w="0" w:type="dxa"/>
          <w:left w:w="0" w:type="dxa"/>
          <w:bottom w:w="0" w:type="dxa"/>
          <w:right w:w="0" w:type="dxa"/>
        </w:tblCellMar>
      </w:tblPr>
      <w:tblGrid>
        <w:gridCol w:w="2551"/>
        <w:gridCol w:w="346"/>
        <w:gridCol w:w="211"/>
        <w:gridCol w:w="676"/>
        <w:gridCol w:w="346"/>
        <w:gridCol w:w="239"/>
        <w:gridCol w:w="901"/>
      </w:tblGrid>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1765" cy="175260"/>
                      <wp:effectExtent l="0" t="0" r="0" b="0"/>
                      <wp:wrapNone/>
                      <wp:docPr id="148" name="Frame14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72135" cy="175260"/>
                      <wp:effectExtent l="0" t="0" r="0" b="0"/>
                      <wp:wrapNone/>
                      <wp:docPr id="149" name="Frame14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Semi-finished goods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29,399</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20,555</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75,957</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59,922</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Sheet Classification: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Inventory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70,930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54,895</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inventory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75,957</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59,922</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5" w:name="Tc_MI1XEyao_kyyipNwak_WcQ_10_5"/>
      <w:bookmarkStart w:id="856" w:name="Tc_i0CF2JcwYUaXvfQt_k2lrw_10_2"/>
      <w:bookmarkStart w:id="857" w:name="Tc_hjCDnm0ypk6QB-Hd3Cip5Q_10_0"/>
      <w:bookmarkStart w:id="858" w:name="Tc_I-m-RZL3IEWyeMER_pIMZw_9_0"/>
      <w:bookmarkStart w:id="859" w:name="Tc_84INhcEzTEK8l9E0aRQhXg_8_0"/>
      <w:bookmarkStart w:id="860" w:name="Tc_FfNyrIWMA06ddEze4R9CcQ_7_0"/>
      <w:bookmarkStart w:id="861" w:name="Tc_R5y-ZXmCmkKaazlsuqzcmQ_6_0"/>
      <w:bookmarkStart w:id="862" w:name="Tc_KGNm7Z53PUqgy2jf2HOeCw_5_0"/>
      <w:bookmarkStart w:id="863" w:name="Tc__B-rkZbXA0uxmTYzrq104g_4_0"/>
      <w:bookmarkStart w:id="864" w:name="Tc_Dou9rFQnT0q06dNPM1Dz-g_3_5"/>
      <w:bookmarkStart w:id="865" w:name="Tc_0Cog4rHvUE6AwsdB2dMcaA_3_2"/>
      <w:bookmarkStart w:id="866" w:name="Tc_bB6Gq6RmBk-PX9eG9YNgYA_3_0"/>
      <w:bookmarkStart w:id="867" w:name="Tc_pHqadLMopkCuKBKwz3YxDg_2_5"/>
      <w:bookmarkStart w:id="868" w:name="Tc_vKB1Nl_xkUCMDqVSqlVDPg_2_2"/>
      <w:bookmarkStart w:id="869" w:name="Tc_vXnASzMLak6eo7pKmqiIXQ_1_5"/>
      <w:bookmarkStart w:id="870" w:name="Tc_mAsv5suZ30GfzFgk-iaj0A_1_2"/>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b/>
          <w:sz w:val="20"/>
        </w:rPr>
        <w:t>5.           Property and Equipment,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5675" w:type="dxa"/>
        <w:jc w:val="left"/>
        <w:tblInd w:w="0" w:type="dxa"/>
        <w:tblLayout w:type="fixed"/>
        <w:tblCellMar>
          <w:top w:w="0" w:type="dxa"/>
          <w:left w:w="0" w:type="dxa"/>
          <w:bottom w:w="0" w:type="dxa"/>
          <w:right w:w="0" w:type="dxa"/>
        </w:tblCellMar>
      </w:tblPr>
      <w:tblGrid>
        <w:gridCol w:w="2896"/>
        <w:gridCol w:w="346"/>
        <w:gridCol w:w="211"/>
        <w:gridCol w:w="691"/>
        <w:gridCol w:w="346"/>
        <w:gridCol w:w="278"/>
        <w:gridCol w:w="907"/>
      </w:tblGrid>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52" name="Frame1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6530" cy="175260"/>
                      <wp:effectExtent l="0" t="0" r="0" b="0"/>
                      <wp:wrapNone/>
                      <wp:docPr id="154" name="Frame15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75945" cy="175260"/>
                      <wp:effectExtent l="0" t="0" r="0" b="0"/>
                      <wp:wrapNone/>
                      <wp:docPr id="155" name="Frame155"/>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vehicles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4,833</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Lab equipment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4,256</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10,114</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(7,539)</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1,943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was $165 and $13 during the three months ended June 30, 2026 and 2025, respectively and $309 and $48 during the six months ended June 30, 2026 and 2025, respectively.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71" w:name="Tc_KfF5MXZNdkab3smjIITYcg_4_19"/>
      <w:bookmarkStart w:id="872" w:name="Tc_wh38UyvLlkSdMByI1ng52w_4_16"/>
      <w:bookmarkStart w:id="873" w:name="Tc_nSkDkEvlG0-HCUIcxbA5qQ_4_13"/>
      <w:bookmarkStart w:id="874" w:name="Tc_PCr8TszuJUus1Q3VyubCiQ_4_10"/>
      <w:bookmarkStart w:id="875" w:name="Tc_QWG65Gr830GKO8_FwPnDoA_4_7"/>
      <w:bookmarkStart w:id="876" w:name="Tc_UQP3EWlF_ku42k097Fv_3Q_4_4"/>
      <w:bookmarkStart w:id="877" w:name="Tc_NxvVQPhl1kGWjmbxbQG2sg_4_0"/>
      <w:bookmarkStart w:id="878" w:name="Tc_X-Y_I4_r6ECMMvn_1veylQ_3_19"/>
      <w:bookmarkStart w:id="879" w:name="Tc_FNNJD105rUqdqwsCD0G9Lg_3_16"/>
      <w:bookmarkStart w:id="880" w:name="Tc_VVrbC4BRbEmSnICAwm-Xwg_3_13"/>
      <w:bookmarkStart w:id="881" w:name="Tc_mnHAPYNVdE2T9O4EBDX6pg_3_10"/>
      <w:bookmarkStart w:id="882" w:name="Tc_1aCmh8aSj0SU4srhfqlZtQ_3_7"/>
      <w:bookmarkStart w:id="883" w:name="Tc_IyhVEHTVW0SNNjKQ3po3rA_3_4"/>
      <w:bookmarkStart w:id="884" w:name="Tc_ngOQQosVbEuQKbcFlwEGJA_3_2"/>
      <w:bookmarkStart w:id="885" w:name="Tc_hkwgm7hM5kmVAaCEv6B68Q_2_16"/>
      <w:bookmarkStart w:id="886" w:name="Tc_KF6mlUsqOUCzWVHyp7HlTQ_2_7"/>
      <w:bookmarkStart w:id="887" w:name="Tc_hh3nz2h8_Emt7N5TW_mtBg_2_2"/>
      <w:bookmarkStart w:id="888" w:name="Tc_1-6p61WOq0aM-wv1xC3jMg_1_13"/>
      <w:bookmarkStart w:id="889" w:name="Tc_zc5aVq05KEKrEqeoyz1Wnw_1_4"/>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Times;serif" w:hAnsi="Times New Roman;Times;serif"/>
          <w:b/>
          <w:sz w:val="20"/>
        </w:rPr>
        <w:t>6.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Intangible assets, net of accumulated amortization as of June 30, 2026 and December 31, 2025 are summarized in the following table.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67"/>
        <w:gridCol w:w="346"/>
        <w:gridCol w:w="826"/>
        <w:gridCol w:w="346"/>
        <w:gridCol w:w="211"/>
        <w:gridCol w:w="676"/>
        <w:gridCol w:w="346"/>
        <w:gridCol w:w="291"/>
        <w:gridCol w:w="790"/>
        <w:gridCol w:w="346"/>
        <w:gridCol w:w="211"/>
        <w:gridCol w:w="676"/>
        <w:gridCol w:w="109"/>
        <w:gridCol w:w="211"/>
        <w:gridCol w:w="676"/>
        <w:gridCol w:w="346"/>
        <w:gridCol w:w="291"/>
        <w:gridCol w:w="790"/>
        <w:gridCol w:w="346"/>
        <w:gridCol w:w="211"/>
        <w:gridCol w:w="793"/>
      </w:tblGrid>
      <w:tr>
        <w:trPr/>
        <w:tc>
          <w:tcPr>
            <w:tcW w:w="1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868045" cy="175260"/>
                      <wp:effectExtent l="0" t="0" r="0" b="0"/>
                      <wp:wrapNone/>
                      <wp:docPr id="156" name="Frame156"/>
                      <a:graphic xmlns:a="http://schemas.openxmlformats.org/drawingml/2006/main">
                        <a:graphicData uri="http://schemas.microsoft.com/office/word/2010/wordprocessingShape">
                          <wps:wsp>
                            <wps:cNvSpPr txBox="1"/>
                            <wps:spPr>
                              <a:xfrm>
                                <a:off x="0" y="0"/>
                                <a:ext cx="868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24510" cy="175260"/>
                      <wp:effectExtent l="0" t="0" r="0" b="0"/>
                      <wp:wrapNone/>
                      <wp:docPr id="158" name="Frame1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4785" cy="175260"/>
                      <wp:effectExtent l="0" t="0" r="0" b="0"/>
                      <wp:wrapNone/>
                      <wp:docPr id="163" name="Frame16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1650" cy="175260"/>
                      <wp:effectExtent l="0" t="0" r="0" b="0"/>
                      <wp:wrapNone/>
                      <wp:docPr id="164" name="Frame16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4785" cy="175260"/>
                      <wp:effectExtent l="0" t="0" r="0" b="0"/>
                      <wp:wrapNone/>
                      <wp:docPr id="172" name="Frame172"/>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01650" cy="175260"/>
                      <wp:effectExtent l="0" t="0" r="0" b="0"/>
                      <wp:wrapNone/>
                      <wp:docPr id="173" name="Frame17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03555" cy="175260"/>
                      <wp:effectExtent l="0" t="0" r="0" b="0"/>
                      <wp:wrapNone/>
                      <wp:docPr id="176" name="Frame17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4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109" w:type="dxa"/>
            <w:tcBorders/>
            <w:vAlign w:val="center"/>
          </w:tcPr>
          <w:p>
            <w:pPr>
              <w:pStyle w:val="TableContents"/>
              <w:bidi w:val="0"/>
              <w:spacing w:before="0" w:after="1"/>
              <w:ind w:left="0" w:right="0" w:hanging="0"/>
              <w:jc w:val="left"/>
              <w:rPr/>
            </w:pPr>
            <w:r>
              <w:rPr/>
              <w:t>​</w:t>
            </w:r>
          </w:p>
        </w:tc>
        <w:tc>
          <w:tcPr>
            <w:tcW w:w="366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3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004" w:type="dxa"/>
            <w:gridSpan w:val="2"/>
            <w:tcBorders/>
            <w:vAlign w:val="center"/>
          </w:tcPr>
          <w:p>
            <w:pPr>
              <w:pStyle w:val="TableContents"/>
              <w:bidi w:val="0"/>
              <w:spacing w:before="0" w:after="1"/>
              <w:ind w:left="0" w:right="0" w:hanging="0"/>
              <w:jc w:val="center"/>
              <w:rPr/>
            </w:pPr>
            <w:r>
              <w:rPr/>
              <w:t>​</w:t>
            </w:r>
          </w:p>
        </w:tc>
      </w:tr>
      <w:tr>
        <w:trPr/>
        <w:tc>
          <w:tcPr>
            <w:tcW w:w="1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Regulatory milestone</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15,250</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was $250 during the three months ended June 30, 2026 and 2025 and $500 during the six months ended June 30, 2026 and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0" w:name="Tc_ASg45vI3QUmp4nmiivkGKA_8_5"/>
      <w:bookmarkStart w:id="891" w:name="Tc_YAkXE69cUUasLT7ICSg0Dw_8_2"/>
      <w:bookmarkStart w:id="892" w:name="Tc_xgV1QvS0KE6ROkU_MhAMwQ_7_0"/>
      <w:bookmarkStart w:id="893" w:name="Tc_T6fFDyXeQkqckNpDv3nfdg_6_0"/>
      <w:bookmarkStart w:id="894" w:name="Tc_ww8tnpUtIEyjruS1w9S-PQ_5_0"/>
      <w:bookmarkStart w:id="895" w:name="Tc_-GQGfxMJR0ufsyZZmLLrvA_4_0"/>
      <w:bookmarkStart w:id="896" w:name="Tc_a-OfVLcft0KS612eT1lihg_3_5"/>
      <w:bookmarkStart w:id="897" w:name="Tc_C2qOusCNvUKHsNFMr2SEaw_3_2"/>
      <w:bookmarkStart w:id="898" w:name="Tc_HR2VUtlz5EaHxvtO5tx64g_3_0"/>
      <w:bookmarkStart w:id="899" w:name="Tc_A4IzoH_RgEaeY7_jZc5trg_2_5"/>
      <w:bookmarkStart w:id="900" w:name="Tc_tIp-HBEUUku89fvhgBP1yg_2_2"/>
      <w:bookmarkStart w:id="901" w:name="Tc__ayGPXVopkqoa-4cllc-2w_1_5"/>
      <w:bookmarkStart w:id="902" w:name="Tc_b3jr5_DLsk6GR2RTlWEI_A_1_2"/>
      <w:bookmarkEnd w:id="890"/>
      <w:bookmarkEnd w:id="891"/>
      <w:bookmarkEnd w:id="892"/>
      <w:bookmarkEnd w:id="893"/>
      <w:bookmarkEnd w:id="894"/>
      <w:bookmarkEnd w:id="895"/>
      <w:bookmarkEnd w:id="896"/>
      <w:bookmarkEnd w:id="897"/>
      <w:bookmarkEnd w:id="898"/>
      <w:bookmarkEnd w:id="899"/>
      <w:bookmarkEnd w:id="900"/>
      <w:bookmarkEnd w:id="901"/>
      <w:bookmarkEnd w:id="902"/>
      <w:r>
        <w:rPr>
          <w:rFonts w:ascii="Times New Roman;Times;serif" w:hAnsi="Times New Roman;Times;serif"/>
          <w:b/>
          <w:sz w:val="20"/>
        </w:rPr>
        <w:t>7.           Accrued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consisted of the following:</w:t>
      </w:r>
    </w:p>
    <w:p>
      <w:pPr>
        <w:pStyle w:val="TextBody"/>
        <w:bidi w:val="0"/>
        <w:spacing w:before="0" w:after="0"/>
        <w:ind w:left="0" w:right="0" w:hanging="0"/>
        <w:jc w:val="left"/>
        <w:rPr/>
      </w:pPr>
      <w:r>
        <w:rPr/>
        <w:t>​</w:t>
      </w:r>
    </w:p>
    <w:tbl>
      <w:tblPr>
        <w:tblW w:w="6785" w:type="dxa"/>
        <w:jc w:val="left"/>
        <w:tblInd w:w="0" w:type="dxa"/>
        <w:tblLayout w:type="fixed"/>
        <w:tblCellMar>
          <w:top w:w="0" w:type="dxa"/>
          <w:left w:w="0" w:type="dxa"/>
          <w:bottom w:w="0" w:type="dxa"/>
          <w:right w:w="0" w:type="dxa"/>
        </w:tblCellMar>
      </w:tblPr>
      <w:tblGrid>
        <w:gridCol w:w="4021"/>
        <w:gridCol w:w="346"/>
        <w:gridCol w:w="211"/>
        <w:gridCol w:w="676"/>
        <w:gridCol w:w="346"/>
        <w:gridCol w:w="248"/>
        <w:gridCol w:w="937"/>
      </w:tblGrid>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29260" cy="175260"/>
                      <wp:effectExtent l="0" t="0" r="0" b="0"/>
                      <wp:wrapNone/>
                      <wp:docPr id="179"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7480" cy="175260"/>
                      <wp:effectExtent l="0" t="0" r="0" b="0"/>
                      <wp:wrapNone/>
                      <wp:docPr id="181" name="Frame18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4995" cy="175260"/>
                      <wp:effectExtent l="0" t="0" r="0" b="0"/>
                      <wp:wrapNone/>
                      <wp:docPr id="182" name="Frame182"/>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Accrued inventory and manufacturing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commercial and 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10,460</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46,730</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42,020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Share-Based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maintains several equity compensation plans, including the 2018 Incentive Award Plan (the “2018 Plan”) and the 2018 Employee Share Purchase Plan (the “2018 ESPP”). Upon the effectiveness of the 2018 Plan, the Company ceased granting awards under its 2015 Equity Incentive Plan (as amended, the “2015 Plan” and together with the 2018 Plan, the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2015 Plan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2026, there were 77,296 Class A ordinary shares reserved for issuance pursuant to outstanding awards under the 2015 Plan that were granted prior to the effectiveness of the 2018 Plan.</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2018 Plan</w:t>
      </w:r>
    </w:p>
    <w:p>
      <w:pPr>
        <w:pStyle w:val="TextBody"/>
        <w:bidi w:val="0"/>
        <w:spacing w:before="0" w:after="200"/>
        <w:ind w:left="0" w:right="0" w:firstLine="720"/>
        <w:jc w:val="left"/>
        <w:rPr>
          <w:rFonts w:ascii="Georgia" w:hAnsi="Georgia"/>
          <w:sz w:val="20"/>
        </w:rPr>
      </w:pPr>
      <w:r>
        <w:rPr>
          <w:rFonts w:ascii="Times New Roman;Times;serif" w:hAnsi="Times New Roman;Times;serif"/>
          <w:sz w:val="20"/>
        </w:rPr>
        <w:t>The 2018 Plan provides for the grant of incentive share options, nonqualified share options, share appreciation rights, restricted shares, dividend equivalents, restricted share units (“RSUs”), PSUs (as defined below) and other share- or cash- based awards. Pursuant to the 2018 Plan’s evergreen provision, the number of shares available for future issuance under the 2018 Plan, as of January 1, 2026, increased by 3,051,742</w:t>
      </w:r>
      <w:r>
        <w:rPr>
          <w:rFonts w:ascii="Georgia" w:hAnsi="Georgia"/>
          <w:sz w:val="20"/>
        </w:rPr>
        <w:t xml:space="preserve"> </w:t>
      </w:r>
      <w:r>
        <w:rPr>
          <w:rFonts w:ascii="Times New Roman;Times;serif" w:hAnsi="Times New Roman;Times;serif"/>
          <w:sz w:val="20"/>
        </w:rPr>
        <w:t>Class A ordinary shares. As of June 30, 2026, 7,845,077</w:t>
      </w:r>
      <w:r>
        <w:rPr>
          <w:rFonts w:ascii="Georgia" w:hAnsi="Georgia"/>
          <w:sz w:val="20"/>
        </w:rPr>
        <w:t xml:space="preserve"> </w:t>
      </w:r>
      <w:r>
        <w:rPr>
          <w:rFonts w:ascii="Times New Roman;Times;serif" w:hAnsi="Times New Roman;Times;serif"/>
          <w:sz w:val="20"/>
        </w:rPr>
        <w:t xml:space="preserve">shares remained available for future grant under the 2018 Plan. </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2018 ESPP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Company’s board of directors approved an increase, as of January 1, 2026, of 110,000 Class A ordinary shares under the 2018 ESPP. As of June 30, 2026, 765,514 Class A ordinary shares were available for future issuance under the 2018 ESPP. </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Restricted Share Units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grants RSUs with service conditions to eligible employees as part of its equity incentive compensation. Such RSUs typically vest 25% on each of the first, second, third and fourth anniversaries of the date of grant, subject to continued employment through such dates.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Market and Performance-Based Share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2024, the Company began periodically granting performance-based restricted share units to certain employees under the 2018 Plan that are earned based upon (i) the achievement of certain specified ARCALYST revenue targets (“Revenue PSUs”) and (ii) the Company’s total shareholder return (“TSR”) relative to the TSR of each member of a specified peer group (“TSR PSUs”). The TSR PSUs and Revenue PSUs are subject to a three-year service period.</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the Company from time-to-time grants performance-based restricted share units to certain eligible employees pursuant to the 2018 Plan that are earned based upon certain development and regulatory milestones (“Development PSUs” and, together with the Revenue PSUs and TSR PSUs, “PSUs”). The Company’s currently outstanding Development PSUs are subject to earnout percentages based upon the date of applicable milestone achievement.</w:t>
      </w:r>
    </w:p>
    <w:p>
      <w:pPr>
        <w:pStyle w:val="TextBody"/>
        <w:shd w:fill="FFFFFF" w:val="clear"/>
        <w:bidi w:val="0"/>
        <w:spacing w:before="0" w:after="240"/>
        <w:ind w:left="0" w:right="0" w:firstLine="720"/>
        <w:jc w:val="left"/>
        <w:rPr>
          <w:rFonts w:ascii="revert-layer" w:hAnsi="revert-layer"/>
          <w:b/>
          <w:i/>
          <w:color w:val="212529"/>
          <w:sz w:val="20"/>
        </w:rPr>
      </w:pPr>
      <w:r>
        <w:rPr>
          <w:rFonts w:ascii="revert-layer" w:hAnsi="revert-layer"/>
          <w:b/>
          <w:i/>
          <w:color w:val="212529"/>
          <w:sz w:val="20"/>
        </w:rPr>
        <w:t>Performance Share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color w:val="212529"/>
          <w:sz w:val="20"/>
        </w:rPr>
        <w:t xml:space="preserve">Beginning in the second quarter of 2025, the Company began granting performance share options (“PSOs”) to certain eligible employees </w:t>
      </w:r>
      <w:r>
        <w:rPr>
          <w:rFonts w:ascii="Times New Roman;Times;serif" w:hAnsi="Times New Roman;Times;serif"/>
          <w:sz w:val="20"/>
        </w:rPr>
        <w:t>pursuant to the 2018 Plan</w:t>
      </w:r>
      <w:r>
        <w:rPr>
          <w:rFonts w:ascii="Times New Roman;Times;serif" w:hAnsi="Times New Roman;Times;serif"/>
          <w:color w:val="212529"/>
          <w:sz w:val="20"/>
        </w:rPr>
        <w:t xml:space="preserve"> representing the right to purchase shares of the Company’s Class A ordinary shares. Such PSOs vest, if at all, upon the achievement of certain specified development and regulatory milestones and are subject to earnout percentages based upon the date of applicable milestone achievement.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903" w:name="Tc_TfdmQHRd9EOqFiydIMFqbA_7_11"/>
      <w:bookmarkStart w:id="904" w:name="Tc_v0DclK-iC06jX_fv1rmzBQ_7_8"/>
      <w:bookmarkStart w:id="905" w:name="Tc_GJm0f8SbOUenevQVikwgQg_7_5"/>
      <w:bookmarkStart w:id="906" w:name="Tc_VllvDlZDeEaqEFknU7znGw_7_2"/>
      <w:bookmarkStart w:id="907" w:name="Tc_UN01hR9sQUi3z_6exaMaow_6_0"/>
      <w:bookmarkStart w:id="908" w:name="Tc_BpEUIdX86EKwWqcJbMFdhA_5_0"/>
      <w:bookmarkStart w:id="909" w:name="Tc_EMpZ0A8nbEmjeIXcP-ZESA_4_11"/>
      <w:bookmarkStart w:id="910" w:name="Tc_I_ZuA3djekC9R64QvYQbHw_4_8"/>
      <w:bookmarkStart w:id="911" w:name="Tc__i55In9i40mn4NizlYq3zw_4_5"/>
      <w:bookmarkStart w:id="912" w:name="Tc_ONBg02xJfkmQyBtMTNurAQ_4_2"/>
      <w:bookmarkStart w:id="913" w:name="Tc_YpT6VI2JzE25U8Q81BZCYw_4_0"/>
      <w:bookmarkStart w:id="914" w:name="Tc_9ghKqRkUG0ar7Iwks3Y_IA_3_11"/>
      <w:bookmarkStart w:id="915" w:name="Tc_iv2_9lqIRkWc0s5MOyK_ng_3_8"/>
      <w:bookmarkStart w:id="916" w:name="Tc_l8kCAKegGE6uO2cdxrCg7Q_3_5"/>
      <w:bookmarkStart w:id="917" w:name="Tc_ewJ9Ouyb7Ei1HyQ-9-3E1Q_3_2"/>
      <w:bookmarkStart w:id="918" w:name="Tc_5j3gg17T30-E4Oz3AUwAYg_2_8"/>
      <w:bookmarkStart w:id="919" w:name="Tc_DCWtvGZHPEqmnB0GNYnvfw_2_2"/>
      <w:bookmarkStart w:id="920" w:name="Tc_ogGsHpwqhEShlGdydsxGOQ_1_8"/>
      <w:bookmarkStart w:id="921" w:name="Tc_JwBV0O6lKEeB8r8YvG820Q_1_2"/>
      <w:bookmarkStart w:id="922" w:name="Tc_VOpGf_MxKEqe3s5ppP47vg_11_9"/>
      <w:bookmarkStart w:id="923" w:name="Tc_ZHDiHvHHSEOJn6a60sXuQw_11_4"/>
      <w:bookmarkStart w:id="924" w:name="Tc_EbJWITnOQEu7nrXvjGhY5w_11_0"/>
      <w:bookmarkStart w:id="925" w:name="Tc_J2lG47PQiEypyGTgQMhcqg_10_10"/>
      <w:bookmarkStart w:id="926" w:name="Tc_fa81WVJ25EmkMv0TdNnDfA_10_9"/>
      <w:bookmarkStart w:id="927" w:name="Tc_jHQoEYbdwk2uJ_Q_bg95hQ_10_7"/>
      <w:bookmarkStart w:id="928" w:name="Tc_jUbA5C0LbUybJVvGDJwX-A_10_4"/>
      <w:bookmarkStart w:id="929" w:name="Tc_3-rcRUObqESL7p9giUV4iA_10_0"/>
      <w:bookmarkStart w:id="930" w:name="Tc_9hbNXSP9K0KLc3FO3JxuHQ_9_9"/>
      <w:bookmarkStart w:id="931" w:name="Tc_1-_HRZeg70ahkjb0hpcy6w_9_4"/>
      <w:bookmarkStart w:id="932" w:name="Tc_2AHQ5JZwpk-30SaVZy5MCA_9_0"/>
      <w:bookmarkStart w:id="933" w:name="Tc_gsoidOXD0kOa0PIK92HoPA_8_9"/>
      <w:bookmarkStart w:id="934" w:name="Tc_SiNS_4s4ikahOhZ2SL_LYA_8_4"/>
      <w:bookmarkStart w:id="935" w:name="Tc_uwAWRrP8r0eSJPvxuitEMw_8_0"/>
      <w:bookmarkStart w:id="936" w:name="Tc_jkpcRlu170CwQXY39vyhvA_7_10"/>
      <w:bookmarkStart w:id="937" w:name="Tc_KFzssyI6OUuc5sXQyFCgAw_7_9"/>
      <w:bookmarkStart w:id="938" w:name="Tc_bT7GuW8ukEO_8PEJBUeegg_7_7"/>
      <w:bookmarkStart w:id="939" w:name="Tc_0NFaLBYxgkawyJH7_Tus4g_7_4"/>
      <w:bookmarkStart w:id="940" w:name="Tc_V1SESCQl50SaFCCQnlzDEg_7_0"/>
      <w:bookmarkStart w:id="941" w:name="Tc_lURyxAd4L0eShLri-7QxWw_6_9"/>
      <w:bookmarkStart w:id="942" w:name="Tc_pw1Ya5HD20SGr6I-WRShHg_6_4"/>
      <w:bookmarkStart w:id="943" w:name="Tc_4LyAgmKO40KpVjI9-Z9PfA_6_0"/>
      <w:bookmarkStart w:id="944" w:name="Tc_dfitJf_AcE6cDxav53k5Kg_5_9"/>
      <w:bookmarkStart w:id="945" w:name="Tc_quFj3M-9lUGbqXLEMEbZeA_5_4"/>
      <w:bookmarkStart w:id="946" w:name="Tc_kGj_7kayDkW_dX_0uEu7hw_5_0"/>
      <w:bookmarkStart w:id="947" w:name="Tc_fUnrMPFvskG4MG1HNJBeXQ_4_9"/>
      <w:bookmarkStart w:id="948" w:name="Tc_l7qIn5Fe7ES4OgM06u1YLw_4_7"/>
      <w:bookmarkStart w:id="949" w:name="Tc_2qSUSF5U5kyUhbzGEOu2jg_4_4"/>
      <w:bookmarkStart w:id="950" w:name="Tc_lja8HSlKdUStZbSdlvJr6g_4_2"/>
      <w:bookmarkStart w:id="951" w:name="Tc_isdbnYdwPkqd-WCzJthuCQ_3_9"/>
      <w:bookmarkStart w:id="952" w:name="Tc_RqICvBT7rEurNbjeK0Tnuw_3_7"/>
      <w:bookmarkStart w:id="953" w:name="Tc_48DRoKl7lEm9bHH0lhWa4g_3_4"/>
      <w:bookmarkStart w:id="954" w:name="Tc_4sweK87So0WE8_npCGmfkA_3_2"/>
      <w:bookmarkStart w:id="955" w:name="Tc_ZIh0OOI8kU6iwUK4MXohKw_2_9"/>
      <w:bookmarkStart w:id="956" w:name="Tc_J4VAs7BW5U6gFEh14ByiXg_2_4"/>
      <w:bookmarkStart w:id="957" w:name="Tc_xyTc_J04s0ir8MthXPCP0g_1_7"/>
      <w:bookmarkStart w:id="958" w:name="Tc_-bhk2UOT9EC8Yx-AhuT3_A_1_2"/>
      <w:bookmarkStart w:id="959" w:name="Tc_9qMU1LYRK0y26an7qnStGA_10_9"/>
      <w:bookmarkStart w:id="960" w:name="Tc_sna4pnfp90-DNaAVNic8Rg_10_4"/>
      <w:bookmarkStart w:id="961" w:name="Tc_-J2SeqZJtE2LSyFJaMJuUA_10_0"/>
      <w:bookmarkStart w:id="962" w:name="Tc_zp2Ct_2lTU6aZyeMpUpxPA_9_9"/>
      <w:bookmarkStart w:id="963" w:name="Tc_hWHatiPmPUip7s6qKO3O5w_9_4"/>
      <w:bookmarkStart w:id="964" w:name="Tc_gA7LMPkl1EWYDbw7l5cVcg_9_0"/>
      <w:bookmarkStart w:id="965" w:name="Tc_eS6BvtxbTUSxsRhyti8lqw_8_10"/>
      <w:bookmarkStart w:id="966" w:name="Tc_m71qzgLX40K3MGfVpzhB7A_8_9"/>
      <w:bookmarkStart w:id="967" w:name="Tc_2lW7ebLdVUKVvFJ4WihGgw_8_7"/>
      <w:bookmarkStart w:id="968" w:name="Tc_L3RzqDvTi0GhJZd_dfSjzg_8_4"/>
      <w:bookmarkStart w:id="969" w:name="Tc_iqRiBXs7-keqgd5DUzqoFw_8_0"/>
      <w:bookmarkStart w:id="970" w:name="Tc_Dftqa0DyoE2oOmvFczDymg_7_9"/>
      <w:bookmarkStart w:id="971" w:name="Tc_zFw9xammSUCqM3hLDXLGKg_7_4"/>
      <w:bookmarkStart w:id="972" w:name="Tc_5Ku7drboi0iJBp4aq4UkrA_7_0"/>
      <w:bookmarkStart w:id="973" w:name="Tc_yCu2y8m81Ue-zEGav2Bvww_6_9"/>
      <w:bookmarkStart w:id="974" w:name="Tc_wmf6rboFA0yiJNLfb4DvKg_6_4"/>
      <w:bookmarkStart w:id="975" w:name="Tc_8Xaear_bg065VHTu7TMxwg_6_0"/>
      <w:bookmarkStart w:id="976" w:name="Tc_sujA68po1UyjoN4n_7mMKQ_5_9"/>
      <w:bookmarkStart w:id="977" w:name="Tc_azYhicqSZkeW9IxQJzttxA_5_7"/>
      <w:bookmarkStart w:id="978" w:name="Tc_pOSJdvF3dUip5kU_9HBrSg_5_4"/>
      <w:bookmarkStart w:id="979" w:name="Tc_1Y2OV6d5UEeHJxUC5_jHrA_5_2"/>
      <w:bookmarkStart w:id="980" w:name="Tc_AW7b33Vk5UaW7Kam5AtOEA_4_9"/>
      <w:bookmarkStart w:id="981" w:name="Tc__BVvJDIBcEGWe6hGaeUpUg_4_7"/>
      <w:bookmarkStart w:id="982" w:name="Tc_X-z-fr3GHEWyslcr-GtJhg_4_4"/>
      <w:bookmarkStart w:id="983" w:name="Tc_mPs_wjgc1ES5HkFi4b4bjQ_4_2"/>
      <w:bookmarkStart w:id="984" w:name="Tc_q2oJw-naX0SiJHDwPv8E1g_3_9"/>
      <w:bookmarkStart w:id="985" w:name="Tc_Ca8JAS-7BUy_xonmfeoavg_3_4"/>
      <w:bookmarkStart w:id="986" w:name="Tc_rCsS21KBCU2a0djmTwEu1g_2_9"/>
      <w:bookmarkStart w:id="987" w:name="Tc_ssAWSgKjJEak-YiHIfORHA_2_4"/>
      <w:bookmarkStart w:id="988" w:name="Tc_VDL1gX9mTEexVpWHs_n7ZQ_1_7"/>
      <w:bookmarkStart w:id="989" w:name="Tc_merYxh0edkSV-dWoXeXKpA_1_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Times New Roman;Times;serif" w:hAnsi="Times New Roman;Times;serif"/>
          <w:sz w:val="20"/>
        </w:rPr>
        <w:t>The following table summarizes RSU and PSU activity for the six months ended June 30, 2026:</w:t>
      </w:r>
    </w:p>
    <w:p>
      <w:pPr>
        <w:pStyle w:val="TextBody"/>
        <w:bidi w:val="0"/>
        <w:spacing w:before="0" w:after="0"/>
        <w:ind w:left="0" w:right="0" w:hanging="0"/>
        <w:jc w:val="left"/>
        <w:rPr/>
      </w:pPr>
      <w:r>
        <w:rPr/>
        <w:t>​</w:t>
      </w:r>
    </w:p>
    <w:tbl>
      <w:tblPr>
        <w:tblW w:w="7114" w:type="dxa"/>
        <w:jc w:val="left"/>
        <w:tblInd w:w="0" w:type="dxa"/>
        <w:tblLayout w:type="fixed"/>
        <w:tblCellMar>
          <w:top w:w="0" w:type="dxa"/>
          <w:left w:w="0" w:type="dxa"/>
          <w:bottom w:w="0" w:type="dxa"/>
          <w:right w:w="0" w:type="dxa"/>
        </w:tblCellMar>
      </w:tblPr>
      <w:tblGrid>
        <w:gridCol w:w="2926"/>
        <w:gridCol w:w="109"/>
        <w:gridCol w:w="931"/>
        <w:gridCol w:w="109"/>
        <w:gridCol w:w="254"/>
        <w:gridCol w:w="691"/>
        <w:gridCol w:w="109"/>
        <w:gridCol w:w="886"/>
        <w:gridCol w:w="109"/>
        <w:gridCol w:w="232"/>
        <w:gridCol w:w="758"/>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858010" cy="175260"/>
                      <wp:effectExtent l="0" t="0" r="0" b="0"/>
                      <wp:wrapNone/>
                      <wp:docPr id="183" name="Frame18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91185" cy="175260"/>
                      <wp:effectExtent l="0" t="0" r="0" b="0"/>
                      <wp:wrapNone/>
                      <wp:docPr id="185" name="Frame1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1290" cy="175260"/>
                      <wp:effectExtent l="0" t="0" r="0" b="0"/>
                      <wp:wrapNone/>
                      <wp:docPr id="187" name="Frame18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8785" cy="175260"/>
                      <wp:effectExtent l="0" t="0" r="0" b="0"/>
                      <wp:wrapNone/>
                      <wp:docPr id="188" name="Frame1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62610" cy="175260"/>
                      <wp:effectExtent l="0" t="0" r="0" b="0"/>
                      <wp:wrapNone/>
                      <wp:docPr id="190" name="Frame1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7320" cy="175260"/>
                      <wp:effectExtent l="0" t="0" r="0" b="0"/>
                      <wp:wrapNone/>
                      <wp:docPr id="192" name="Frame19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81330" cy="175260"/>
                      <wp:effectExtent l="0" t="0" r="0" b="0"/>
                      <wp:wrapNone/>
                      <wp:docPr id="193" name="Frame193"/>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5"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1"/>
              <w:ind w:left="0" w:right="0" w:hanging="0"/>
              <w:jc w:val="left"/>
              <w:rPr/>
            </w:pPr>
            <w:r>
              <w:rPr/>
              <w:t>​</w:t>
            </w:r>
          </w:p>
        </w:tc>
        <w:tc>
          <w:tcPr>
            <w:tcW w:w="1985"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2,074,095</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23.09</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415,307</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27.25</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358,019</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47.60</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184,771</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59.39</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(358,289)</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(220,211)</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25.34</w:t>
            </w:r>
          </w:p>
        </w:tc>
        <w:tc>
          <w:tcPr>
            <w:tcW w:w="109"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(19,308)</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1,853,614</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28.71</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580,770</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37.46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share options and PSO activity for the six months ended June 30, 2026:</w:t>
      </w:r>
    </w:p>
    <w:p>
      <w:pPr>
        <w:pStyle w:val="TextBody"/>
        <w:bidi w:val="0"/>
        <w:spacing w:before="0" w:after="0"/>
        <w:ind w:left="0" w:right="0" w:hanging="0"/>
        <w:jc w:val="left"/>
        <w:rPr/>
      </w:pPr>
      <w:r>
        <w:rPr/>
        <w:t>​</w:t>
      </w:r>
    </w:p>
    <w:tbl>
      <w:tblPr>
        <w:tblW w:w="9858" w:type="dxa"/>
        <w:jc w:val="left"/>
        <w:tblInd w:w="0" w:type="dxa"/>
        <w:tblLayout w:type="fixed"/>
        <w:tblCellMar>
          <w:top w:w="0" w:type="dxa"/>
          <w:left w:w="0" w:type="dxa"/>
          <w:bottom w:w="0" w:type="dxa"/>
          <w:right w:w="0" w:type="dxa"/>
        </w:tblCellMar>
      </w:tblPr>
      <w:tblGrid>
        <w:gridCol w:w="5116"/>
        <w:gridCol w:w="146"/>
        <w:gridCol w:w="1051"/>
        <w:gridCol w:w="109"/>
        <w:gridCol w:w="302"/>
        <w:gridCol w:w="823"/>
        <w:gridCol w:w="146"/>
        <w:gridCol w:w="886"/>
        <w:gridCol w:w="109"/>
        <w:gridCol w:w="274"/>
        <w:gridCol w:w="896"/>
      </w:tblGrid>
      <w:tr>
        <w:trPr/>
        <w:tc>
          <w:tcPr>
            <w:tcW w:w="51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2710" cy="175260"/>
                      <wp:effectExtent l="0" t="0" r="0" b="0"/>
                      <wp:wrapNone/>
                      <wp:docPr id="194" name="Frame1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67385" cy="175260"/>
                      <wp:effectExtent l="0" t="0" r="0" b="0"/>
                      <wp:wrapNone/>
                      <wp:docPr id="195" name="Frame19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91770" cy="175260"/>
                      <wp:effectExtent l="0" t="0" r="0" b="0"/>
                      <wp:wrapNone/>
                      <wp:docPr id="197" name="Frame197"/>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22605" cy="175260"/>
                      <wp:effectExtent l="0" t="0" r="0" b="0"/>
                      <wp:wrapNone/>
                      <wp:docPr id="198" name="Frame198"/>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2710" cy="175260"/>
                      <wp:effectExtent l="0" t="0" r="0" b="0"/>
                      <wp:wrapNone/>
                      <wp:docPr id="199" name="Frame1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62610" cy="175260"/>
                      <wp:effectExtent l="0" t="0" r="0" b="0"/>
                      <wp:wrapNone/>
                      <wp:docPr id="200" name="Frame2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3990" cy="175260"/>
                      <wp:effectExtent l="0" t="0" r="0" b="0"/>
                      <wp:wrapNone/>
                      <wp:docPr id="202" name="Frame20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68960" cy="175260"/>
                      <wp:effectExtent l="0" t="0" r="0" b="0"/>
                      <wp:wrapNone/>
                      <wp:docPr id="203" name="Frame20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85"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146" w:type="dxa"/>
            <w:tcBorders/>
            <w:vAlign w:val="center"/>
          </w:tcPr>
          <w:p>
            <w:pPr>
              <w:pStyle w:val="TableContents"/>
              <w:bidi w:val="0"/>
              <w:spacing w:before="0" w:after="1"/>
              <w:ind w:left="0" w:right="0" w:hanging="0"/>
              <w:jc w:val="left"/>
              <w:rPr/>
            </w:pPr>
            <w:r>
              <w:rPr/>
              <w:t>​</w:t>
            </w:r>
          </w:p>
        </w:tc>
        <w:tc>
          <w:tcPr>
            <w:tcW w:w="2165"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PSOs</w:t>
            </w:r>
          </w:p>
        </w:tc>
      </w:tr>
      <w:tr>
        <w:trPr/>
        <w:tc>
          <w:tcPr>
            <w:tcW w:w="51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51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51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9,420,208</w:t>
            </w:r>
          </w:p>
        </w:tc>
        <w:tc>
          <w:tcPr>
            <w:tcW w:w="109"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18.61</w:t>
            </w:r>
          </w:p>
        </w:tc>
        <w:tc>
          <w:tcPr>
            <w:tcW w:w="1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299,706</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28.50</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704,571</w:t>
            </w:r>
          </w:p>
        </w:tc>
        <w:tc>
          <w:tcPr>
            <w:tcW w:w="109"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47.85</w:t>
            </w:r>
          </w:p>
        </w:tc>
        <w:tc>
          <w:tcPr>
            <w:tcW w:w="1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20,387</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44.19</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(1,413,200)</w:t>
            </w:r>
          </w:p>
        </w:tc>
        <w:tc>
          <w:tcPr>
            <w:tcW w:w="109"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w:t>
            </w:r>
          </w:p>
        </w:tc>
        <w:tc>
          <w:tcPr>
            <w:tcW w:w="1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(221,833)</w:t>
            </w:r>
          </w:p>
        </w:tc>
        <w:tc>
          <w:tcPr>
            <w:tcW w:w="109"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c>
          <w:tcPr>
            <w:tcW w:w="1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(30,920)</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8,489,746</w:t>
            </w:r>
          </w:p>
        </w:tc>
        <w:tc>
          <w:tcPr>
            <w:tcW w:w="109"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c>
          <w:tcPr>
            <w:tcW w:w="1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289,173</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options exercisable as of June 30, 2026</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5,582,824</w:t>
            </w:r>
          </w:p>
        </w:tc>
        <w:tc>
          <w:tcPr>
            <w:tcW w:w="109"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16.26</w:t>
            </w:r>
          </w:p>
        </w:tc>
        <w:tc>
          <w:tcPr>
            <w:tcW w:w="1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options vested and expected to vest as of June 30, 2026</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8,489,746</w:t>
            </w:r>
          </w:p>
        </w:tc>
        <w:tc>
          <w:tcPr>
            <w:tcW w:w="109"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c>
          <w:tcPr>
            <w:tcW w:w="1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289,173</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29.70</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total unrecognized compensation cost related to RSUs, Revenue PSUs, TSR PSUs, and share options was $122,664 which is expected to be recognized over a weighted average remaining period of 2.41 years. As of June 30, 2026, total unrecognized compensation cost related to outstanding Development PSUs and PSOs was $9,506 which will be recognized when the applicable milestones are deemed probable of achievement through the date the awards vest with a cumulative catch-up.</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Share-based compensation expense was classified in the condensed consolidated statements of operations and comprehensive income as follows:</w:t>
      </w:r>
    </w:p>
    <w:p>
      <w:pPr>
        <w:pStyle w:val="TextBody"/>
        <w:bidi w:val="0"/>
        <w:spacing w:before="0" w:after="0"/>
        <w:ind w:left="0" w:right="0" w:hanging="0"/>
        <w:jc w:val="left"/>
        <w:rPr/>
      </w:pPr>
      <w:r>
        <w:rPr/>
        <w:t>​</w:t>
      </w:r>
    </w:p>
    <w:tbl>
      <w:tblPr>
        <w:tblW w:w="8443" w:type="dxa"/>
        <w:jc w:val="left"/>
        <w:tblInd w:w="0" w:type="dxa"/>
        <w:tblLayout w:type="fixed"/>
        <w:tblCellMar>
          <w:top w:w="0" w:type="dxa"/>
          <w:left w:w="0" w:type="dxa"/>
          <w:bottom w:w="0" w:type="dxa"/>
          <w:right w:w="0" w:type="dxa"/>
        </w:tblCellMar>
      </w:tblPr>
      <w:tblGrid>
        <w:gridCol w:w="3736"/>
        <w:gridCol w:w="346"/>
        <w:gridCol w:w="211"/>
        <w:gridCol w:w="676"/>
        <w:gridCol w:w="346"/>
        <w:gridCol w:w="211"/>
        <w:gridCol w:w="571"/>
        <w:gridCol w:w="109"/>
        <w:gridCol w:w="211"/>
        <w:gridCol w:w="676"/>
        <w:gridCol w:w="346"/>
        <w:gridCol w:w="211"/>
        <w:gridCol w:w="793"/>
      </w:tblGrid>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9260" cy="175260"/>
                      <wp:effectExtent l="0" t="0" r="0" b="0"/>
                      <wp:wrapNone/>
                      <wp:docPr id="206"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62585" cy="175260"/>
                      <wp:effectExtent l="0" t="0" r="0" b="0"/>
                      <wp:wrapNone/>
                      <wp:docPr id="209" name="Frame2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9260" cy="175260"/>
                      <wp:effectExtent l="0" t="0" r="0" b="0"/>
                      <wp:wrapNone/>
                      <wp:docPr id="212"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03555" cy="175260"/>
                      <wp:effectExtent l="0" t="0" r="0" b="0"/>
                      <wp:wrapNone/>
                      <wp:docPr id="215" name="Frame21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2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12,410</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16,624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Out-Licensing Agreements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Genentech License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third quarter of 2022 (the “Genentech Effective Date”), the Company entered into a license agreement (the “Genentech License Agreement”) with Genentech, Inc. and F. Hoffmann-La Roche Ltd (collectively, “Genentech”), pursuant to which the Company granted Genentech exclusive worldwide rights to develop, manufacture and commercialize vixarelimab and related antibodies (each, a “Genentech Licensed Product”).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terms of the Genentech License Agreement, the Company is eligible to receive a total of approximately $600,000 in contingent payments, including specified development, regulatory and sales-based milestones, before fulfilling the Company’s upstream financial obligations, of which approximately $570,000 remain as of June 30, 2026. The Company will also be eligible to receive tiered percentage royalties on a Genentech Licensed Product-by-Genentech Licensed Product basis ranging from low-double digits to mid-teens on annual net sales of each Genentech Licensed Product, subject to certain customary reductions, with an aggregate minimum floor, before fulfilling the Company’s upstream financial obligations. Royalties will be payable on a Genentech Licensed Product-by-Genentech Licensed Product and country-by-country basis until the latest to occur of the expiration of certain patents that cover a Genentech Licensed Product, the expiration of regulatory exclusivity for such Genentech Licensed Product, or the tenth anniversary of first commercial sale of such Genentech Licensed Product in such country.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and subject to the terms of the Genentech License Agreement, Genentech has the exclusive worldwide right to conduct development and commercialization activities for Genentech Licensed Products at its sole cost. In 2024, the Company fulfilled its responsibility under the Genentech License Agreement with respect to completing its Phase 2b clinical trial assessing the efficacy, safety and tolerability of vixarelimab in reducing pruritus in prurigo nodularis.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Accounting for the Genentech License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Genentech Effective Date, the Company identified the following performance obligations in the Genentech License Agreement: (i) the delivery of the exclusive license for vixarelimab; (ii) an initial drug supply delivery; (iii) a drug product resupply delivery; and (iv) completion of the Phase 2b clinical trial for vixarelimab.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selling price of each performance obligation in the Genentech License Agreement was determined based on the Company’s standalone selling price with the objective of determining the price at which it would sell such an item if it were to be sold regularly on a standalone basis. The Company allocated the transaction price to each of the four performance obligations noted above, all of which were satisfied as of June 30,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all other variable considerations related to the future development and regulatory milestones, are deemed fully constrained and therefore excluded from the transaction price due to the high degree of uncertainty and risk associated with these potential payments, as the Company also determined that it could not assert that it was not probable that a significant reversal in the amount of cumulative revenue recognized would occur. The Company also determined that royalties and sales milestones relate solely to the license of intellectual property. Revenue related to these royalties and sales milestones will only be recognized when the associated sales occur, and relevant thresholds are met, under the sales or usage-based royalty exception of Topic 606.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recognize any collaboration revenue under the Genentech License Agreement during the three and six months ended June 30, 2026 and 2025. As of June 30, 2026, the Company had recognized the entire transaction price under the Genentech License Agreement as revenue. </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Huadong Collaboration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2022 (the “Effective Date”), the Company entered into a collaboration and license agreement (the “Huadong Collaboration Agreement”) with Hangzhou Zhongmei Huadong Pharmaceutical Co., Ltd. (“Huadong”), pursuant to which the Company granted Huadong exclusive rights to develop and commercialize ARCALYST </w:t>
      </w:r>
      <w:r>
        <w:rPr>
          <w:rFonts w:ascii="Times New Roman;Times;serif" w:hAnsi="Times New Roman;Times;serif"/>
          <w:sz w:val="20"/>
          <w:shd w:fill="FFFFFF" w:val="clear"/>
        </w:rPr>
        <w:t xml:space="preserve">in a territory, which currently includes the following countries: People’s Republic of China, Hong Kong SAR, Macao SAR,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Taiwan Region, Indonesia, The Philippines, Thailand, Bangladesh, Bhutan, Brunei, Burma, Cambodia, India, Laos, Malaysia, Maldives, Mongolia, Nepal, New Zealand, Sri Lanka, and Vietnam (collectively, the “Huadong Territory”).</w:t>
      </w:r>
      <w:r>
        <w:rPr>
          <w:rFonts w:ascii="Times New Roman;Times;serif" w:hAnsi="Times New Roman;Times;serif"/>
          <w:sz w:val="20"/>
        </w:rPr>
        <w:t xml:space="preserve"> The Company otherwise retained its current rights to ARCALYST outside the Huadong Territory.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Huadong Collaboration Agreement, the Company received a total upfront cash payment of $12,000 for the Huadong Territory license of ARCALYST. In 2024, following the achievement of a regulatory milestone under the Huadong Collaboration Agreement, Huadong became obligated to make an additional cash payment of $20,000 to the Company. The Company will be eligible to receive up to approximately $50,000 in contingent sales-based milestone payments for ARCALYST, all of which remain outstanding as of June 30, 2026. Huadong will also be obligated to pay the Company tiered percentage royalties ranging from the low-to-mid teens on annual net sales of ARCALYST in the Huadong Territory, subject to certain reductions tied to ARCALYST manufacturing costs and certain other customary reductions, with an aggregate minimum floor. Royalties will be payable on ARCALYST on a country-by-country or region-by-region basis until the later of (i) 12 years after the first commercial sale of ARCALYST in such country or region in the Huadong Territory, (ii) the date of expiration of the last valid patent claim of the Company’s patent rights or any joint collaboration patent rights that covers ARCALYST in such country or region in the Huadong Territory, and (iii) the expiration of the last regulatory exclusivity for ARCALYST in such country or region in the Huadong Territory.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Accounting for the Huadong Collaboration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the Effective Date, the Company identified one performance obligation in the Huadong Collaboration Agreement: the exclusive license for ARCALYST and clinical and commercial manufacturing obligations for ARCALYST products in the Huadong Territory. Huadong cannot exploit the value of the exclusive license for ARCALYST products in the Huadong Territory without receipt of supply as the exclusive license for ARCALYST products in the Huadong Territory does not convey to Huadong the right to manufacture and therefore the Company has combined the exclusive license for ARCALYST products in the Huadong Territory and the manufacturing obligations into one performance obligation.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the transaction price at the inception of the Huadong Collaboration Agreement, which includes $12,000, consisting of the upfront payment. In 2024, the Company added $20,000 to the transaction price following the achievement of a regulatory milestone. The Company also includes an estimate of variable consideration associated with the clinical and commercial manufacturing supply of certain materials when those materials are shipped. The Company determined that any variable consideration related to development and regulatory milestones, sales milestones and royalties are deemed fully constrained and therefore excluded from the transaction price due to the high degree of uncertainty and risk associated with these potential payments, as the Company determined that it could not assert that it was probable that a significant reversal in the amount of cumulative revenue recognized will not occur. Royalties and sales milestones will be recognized as the Company delivers the commercial manufactured product to Huadong. Any changes in estimates may result in a cumulative catch-up based on the number of units of manufactured product delivered.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recognizes revenue for the single performance obligation in the Huadong Collaboration Agreement consisting of </w:t>
      </w:r>
      <w:r>
        <w:rPr>
          <w:rFonts w:ascii="Times New Roman;Times;serif" w:hAnsi="Times New Roman;Times;serif"/>
          <w:sz w:val="20"/>
        </w:rPr>
        <w:t>the exclusive license for ARCALYST and clinical and commercial manufacturing obligations for ARCALYST products in the Huadong Territory</w:t>
      </w:r>
      <w:r>
        <w:rPr>
          <w:rFonts w:ascii="Times New Roman;Times;serif" w:hAnsi="Times New Roman;Times;serif"/>
          <w:sz w:val="20"/>
          <w:shd w:fill="FFFFFF" w:val="clear"/>
        </w:rPr>
        <w:t xml:space="preserve"> at a point in time, </w:t>
      </w:r>
      <w:r>
        <w:rPr>
          <w:rFonts w:ascii="Times New Roman;Times;serif" w:hAnsi="Times New Roman;Times;serif"/>
          <w:sz w:val="20"/>
        </w:rPr>
        <w:t xml:space="preserve">upon which control of materials are transferred to Huadong for each delivery of the associated materials. The Company currently expects to recognize the revenue over the life of the agreement. This estimate considers the timing of development and commercial activities under the Huadong Collaboration Agreement and may be reduced or increased based on changes in the various activities.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recognize any revenue under the Huadong Collaboration Agreement during the three and six months ended June 30, 2026 and 2025. As of June 30, 2026, $31,811 of the transaction price is recorded in non-current deferred revenue, based upon timing of anticipated future shipments.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990" w:name="Tc__iG-rtLdjkyVHvvMOJcYhg_5_14"/>
      <w:bookmarkStart w:id="991" w:name="Tc_60BCjDkFPEqsUUW-Hys1nQ_5_12"/>
      <w:bookmarkStart w:id="992" w:name="Tc_YDNfFjzsa0iyafHxWsddXg_5_11"/>
      <w:bookmarkStart w:id="993" w:name="Tc_PUPTYv3p30O4EWDkOPrkBg_5_9"/>
      <w:bookmarkStart w:id="994" w:name="Tc_kW6tDhE7GUGNTh0zCgXPbA_5_8"/>
      <w:bookmarkStart w:id="995" w:name="Tc_ueN0iIwjTUOLm1N6Lfcnnw_5_6"/>
      <w:bookmarkStart w:id="996" w:name="Tc_5CX3LFiDIEmBzDvjFBfHZw_5_5"/>
      <w:bookmarkStart w:id="997" w:name="Tc_GiwDL5X31kOTmvA-vaqtzw_5_2"/>
      <w:bookmarkStart w:id="998" w:name="Tc_D_PowMGM_0Kjssk9Ibb1UQ_5_0"/>
      <w:bookmarkStart w:id="999" w:name="Tc_udWQ8thg4020bUvPky2V_w_4_0"/>
      <w:bookmarkStart w:id="1000" w:name="Tc_H5Nt5vr6N0e7khQ2jwCTBQ_3_0"/>
      <w:bookmarkStart w:id="1001" w:name="Tc_mVbY4_mzL0aQsxDnd2ujcw_2_14"/>
      <w:bookmarkStart w:id="1002" w:name="Tc_py_VBElL20yE-Xc_3g07nA_2_11"/>
      <w:bookmarkStart w:id="1003" w:name="Tc_QWwxYq6viES-lfWV_jNMuw_2_8"/>
      <w:bookmarkStart w:id="1004" w:name="Tc_xg_XVZKTUUa-J5f6OkFYNQ_2_5"/>
      <w:bookmarkStart w:id="1005" w:name="Tc_JC0hin4tckmimy_SXzMJFw_2_2"/>
      <w:bookmarkStart w:id="1006" w:name="Tc_VM9pCiOIOEKQiVVyercoRQ_1_14"/>
      <w:bookmarkStart w:id="1007" w:name="Tc_RcLHmvraGUmaw5jvmLzOPA_1_8"/>
      <w:bookmarkStart w:id="1008" w:name="Tc_XRR9Xq9J302Y-uvFlqLhxg_1_2"/>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rPr>
          <w:rFonts w:ascii="Times New Roman;Times;serif" w:hAnsi="Times New Roman;Times;serif"/>
          <w:sz w:val="20"/>
        </w:rPr>
        <w:t xml:space="preserve">The following table summarizes the Company’s contract liabilities in connection with license and collaboration agreements for the six months ended June 30, 2026: </w:t>
      </w:r>
    </w:p>
    <w:p>
      <w:pPr>
        <w:pStyle w:val="TextBody"/>
        <w:bidi w:val="0"/>
        <w:spacing w:before="0" w:after="0"/>
        <w:ind w:left="0" w:right="0" w:hanging="0"/>
        <w:jc w:val="left"/>
        <w:rPr/>
      </w:pPr>
      <w:r>
        <w:rPr/>
        <w:t>​</w:t>
      </w:r>
    </w:p>
    <w:tbl>
      <w:tblPr>
        <w:tblW w:w="9159" w:type="dxa"/>
        <w:jc w:val="left"/>
        <w:tblInd w:w="0" w:type="dxa"/>
        <w:tblLayout w:type="fixed"/>
        <w:tblCellMar>
          <w:top w:w="0" w:type="dxa"/>
          <w:left w:w="0" w:type="dxa"/>
          <w:bottom w:w="0" w:type="dxa"/>
          <w:right w:w="0" w:type="dxa"/>
        </w:tblCellMar>
      </w:tblPr>
      <w:tblGrid>
        <w:gridCol w:w="2866"/>
        <w:gridCol w:w="109"/>
        <w:gridCol w:w="367"/>
        <w:gridCol w:w="1178"/>
        <w:gridCol w:w="109"/>
        <w:gridCol w:w="301"/>
        <w:gridCol w:w="495"/>
        <w:gridCol w:w="109"/>
        <w:gridCol w:w="352"/>
        <w:gridCol w:w="579"/>
        <w:gridCol w:w="109"/>
        <w:gridCol w:w="466"/>
        <w:gridCol w:w="765"/>
        <w:gridCol w:w="109"/>
        <w:gridCol w:w="261"/>
        <w:gridCol w:w="984"/>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19910" cy="175260"/>
                      <wp:effectExtent l="0" t="0" r="0" b="0"/>
                      <wp:wrapNone/>
                      <wp:docPr id="216" name="Frame216"/>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33045" cy="175260"/>
                      <wp:effectExtent l="0" t="0" r="0" b="0"/>
                      <wp:wrapNone/>
                      <wp:docPr id="218" name="Frame21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48030" cy="175260"/>
                      <wp:effectExtent l="0" t="0" r="0" b="0"/>
                      <wp:wrapNone/>
                      <wp:docPr id="219" name="Frame219"/>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1135" cy="175260"/>
                      <wp:effectExtent l="0" t="0" r="0" b="0"/>
                      <wp:wrapNone/>
                      <wp:docPr id="221" name="Frame22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14325" cy="175260"/>
                      <wp:effectExtent l="0" t="0" r="0" b="0"/>
                      <wp:wrapNone/>
                      <wp:docPr id="222" name="Frame222"/>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3520" cy="175260"/>
                      <wp:effectExtent l="0" t="0" r="0" b="0"/>
                      <wp:wrapNone/>
                      <wp:docPr id="224" name="Frame22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67665" cy="175260"/>
                      <wp:effectExtent l="0" t="0" r="0" b="0"/>
                      <wp:wrapNone/>
                      <wp:docPr id="225" name="Frame22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95910" cy="175260"/>
                      <wp:effectExtent l="0" t="0" r="0" b="0"/>
                      <wp:wrapNone/>
                      <wp:docPr id="227" name="Frame22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85775" cy="175260"/>
                      <wp:effectExtent l="0" t="0" r="0" b="0"/>
                      <wp:wrapNone/>
                      <wp:docPr id="228" name="Frame228"/>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5735" cy="175260"/>
                      <wp:effectExtent l="0" t="0" r="0" b="0"/>
                      <wp:wrapNone/>
                      <wp:docPr id="230" name="Frame23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24840" cy="175260"/>
                      <wp:effectExtent l="0" t="0" r="0" b="0"/>
                      <wp:wrapNone/>
                      <wp:docPr id="231" name="Frame23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09"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 End</w: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of Period</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109"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w:t>
            </w:r>
          </w:p>
        </w:tc>
        <w:tc>
          <w:tcPr>
            <w:tcW w:w="109" w:type="dxa"/>
            <w:tcBorders/>
            <w:vAlign w:val="center"/>
          </w:tcPr>
          <w:p>
            <w:pPr>
              <w:pStyle w:val="TableContents"/>
              <w:bidi w:val="0"/>
              <w:spacing w:before="0" w:after="0"/>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Reclassification</w:t>
            </w:r>
          </w:p>
        </w:tc>
        <w:tc>
          <w:tcPr>
            <w:tcW w:w="109"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Period</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c>
          <w:tcPr>
            <w:tcW w:w="117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49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57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76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pPr>
            <w:r>
              <w:rPr/>
              <w:t>​</w:t>
            </w:r>
          </w:p>
        </w:tc>
        <w:tc>
          <w:tcPr>
            <w:tcW w:w="984" w:type="dxa"/>
            <w:tcBorders/>
            <w:shd w:fill="CCEEFF" w:val="clear"/>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Liabilities: </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c>
          <w:tcPr>
            <w:tcW w:w="117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center"/>
              <w:rPr/>
            </w:pPr>
            <w:r>
              <w:rPr/>
              <w:t>​</w:t>
            </w:r>
          </w:p>
        </w:tc>
        <w:tc>
          <w:tcPr>
            <w:tcW w:w="49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Huadong ARCALYST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31,811</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31,811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License and Acquisition Agreements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Regeneron License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2017, the Company entered into a license agreement (the “Regeneron Agreement”) with Regeneron Pharmaceuticals, Inc. (“Regeneron”), pursuant to which the Company has been granted an exclusive license under certain intellectual property rights controlled by Regeneron to develop and commercialize ARCALYST worldwide, excluding the Middle East and North Africa, for all indications other than those in oncology and local administration to the eye or ear. Upon receiving positive data in RHAPSODY, the Company’s pivotal Phase 3 clinical trial of ARCALYST, Regeneron transferred the biologics license application (“BLA”) for ARCALYST to the Company. In March 2021, when the FDA granted approval of ARCALYST for the treatment of recurrent pericarditis and reduction in risk of recurrence in adults and children 12 years and older, the Company assumed the sales and distribution of ARCALYST for Cryopyrin-Associated Periodic Syndromes and Deficiency of Interleukin-1 Receptor Antagonist in the United States.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evenly splits profits on sales of ARCALYST with Regeneron, where profits are determined after deducting from net sales of ARCALYST certain costs related to the manufacturing and commercialization of ARCALYST. Such costs include but are not limited to (i) the Company’s cost of goods sold for product used, sold or otherwise distributed for patient use by the Company; (ii) customary commercialization expenses, including the cost of the Company’s field force, and (iii) the Company’s cost to market, advertise and otherwise promote ARCALYST, with such costs identified in subsection (iii) subject to specified limits.  To the extent permitted in accordance with the Regeneron Agreement, the fully-burdened costs incurred by each of the Company and Regeneron in performing (or having performed) the technology transfer of the manufacturing process for ARCALYST drug substance will also be deducted from net sales of ARCALYST to determine profit. The Company also evenly splits with Regeneron any proceeds received by the Company from any licensees, sublicensees and distributors in consideration for the sale, license or other disposition of rights with respect to ARCALYST, including upfront payments, milestone payments and royalties. For the three months ended June 30, 2026 and 2025, the Company recognized $88,049 and $52,389 respectively, of expenses related to the profit sharing agreement presented within collaboration expenses. For the six months ended June 30, 2026 and 2025, the Company recognized $163,626 and $96,164 respectively, of expenses related to the profit sharing agreement presented within collaboration expenses.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supply agreement with Regeneron pursuant to which the Company may order both clinical and commercial product. The supply agreement terminates upon the termination of the Regeneron Agreement or the date of completion of the transfer of technology related to the manufacture of ARCALYST. During the three and six months ended June 30, 2026 and 2025, the Company did not incur any research and development expense related to the purchase of drug materials under the supply agreement. As of June 30, 2026 and December 31, 2025, the Company recorded inventory of $34,759 and $29,071 respectively, related to the purchase of commercial product under the supply agreement. As of June 30, 2026, the Company had non-cancelable purchase commitments under the supply agreement (see Note 13).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Regeneron Agreement will expire when the Company is no longer developing or commercializing any licensed product under the Regeneron Agreement. Either party may terminate the agreement upon the other party’s insolvency or bankruptcy or for material breach of the agreement by the other party that remains uncured for 90 days (or 30 days for payment related breaches). Regeneron has the right to terminate the agreement if the Company suspends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development or commercialization activities for a consecutive 12 month period or does not grant a sublicense to a third party to perform such activities, or if the Company challenges any of the licensed patent rights. The Company may terminate the agreement at any time with one year’s written notice. The Company may also terminate the agreement with three months’ written notice if the licensed product is determined to have certain safety concerns.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Agreements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license and acquisition agreement discussed above, the Company has license and acquisition agreements that are not individually significant to its operating results or financial condition at this time. Pursuant to the terms of those agreements, the Company may incur potential future development, regulatory and commercial milestone payments, royalty payments on future product sales and annual maintenance fees.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June 30, 2026, the Company recorded expenses of $6,520 in our condensed consolidated statements of income related to other research and discovery related arrangements. During the three and six months ended June 30, 2025, the Company recorded $30 and $44 respectively, of expenses in our condensed consolidated statements of income related to other research and discovery related arrangements.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09" w:name="Tc_9NDChcrydE2njxXc5DskFw_15_11"/>
      <w:bookmarkStart w:id="1010" w:name="Tc_-hQzFeQc7kSRROT2apcZ5A_15_8"/>
      <w:bookmarkStart w:id="1011" w:name="Tc_LZkETE3140C3at52gQMKDQ_15_5"/>
      <w:bookmarkStart w:id="1012" w:name="Tc_x6fV9R-3zkmfu62nAaguGw_15_2"/>
      <w:bookmarkStart w:id="1013" w:name="Tc_7EyM0VznOEy3jfrAnnpWqg_15_0"/>
      <w:bookmarkStart w:id="1014" w:name="Tc_fUZePTLXA02cW_XmkU6Ysw_14_11"/>
      <w:bookmarkStart w:id="1015" w:name="Tc_1t0yja7QGEiDMYFvsHGQ4w_14_8"/>
      <w:bookmarkStart w:id="1016" w:name="Tc_JuBl27zFo0KUOyV7JsD9KA_14_5"/>
      <w:bookmarkStart w:id="1017" w:name="Tc_G6uvk8E_7E2BL8f4D5XjmQ_14_2"/>
      <w:bookmarkStart w:id="1018" w:name="Tc_kiuETO4nIEyeo8ycNurodw_14_0"/>
      <w:bookmarkStart w:id="1019" w:name="Tc_l2eHN4JTd0yVQIkj6p91eg_12_0"/>
      <w:bookmarkStart w:id="1020" w:name="Tc_rme4Ip_1eU2-x45y2bP3nw_11_0"/>
      <w:bookmarkStart w:id="1021" w:name="Tc_G37VzVdJ9keUBp8KdS1Zxg_10_0"/>
      <w:bookmarkStart w:id="1022" w:name="Tc_2raIWxmmekucsOF3TSXJhw_9_0"/>
      <w:bookmarkStart w:id="1023" w:name="Tc_5LfIzuPMa0WMnuQl2qB6Gw_8_0"/>
      <w:bookmarkStart w:id="1024" w:name="Tc_gyVJ4LYtGEafAsahiGZdFw_7_0"/>
      <w:bookmarkStart w:id="1025" w:name="Tc_VKIpgBPu902LMRyyrV-bkw_6_0"/>
      <w:bookmarkStart w:id="1026" w:name="Tc_b_T42xiYc0WUqUBR9Hu5tA_5_11"/>
      <w:bookmarkStart w:id="1027" w:name="Tc_8hL95b5DskuunOaEyYf7_Q_5_8"/>
      <w:bookmarkStart w:id="1028" w:name="Tc_cRAEyWniWUSGjB3YZ_bNmA_5_5"/>
      <w:bookmarkStart w:id="1029" w:name="Tc_16RkZqZy-06_qAxkyVx_Vw_5_2"/>
      <w:bookmarkStart w:id="1030" w:name="Tc_Bt-35PTYCUeTQhZtpaBVvQ_5_0"/>
      <w:bookmarkStart w:id="1031" w:name="Tc_mx8k4uHQ5kibeA_I-YXRXg_4_0"/>
      <w:bookmarkStart w:id="1032" w:name="Tc_LrW9wZRPbUOmshfIvFDu5w_3_11"/>
      <w:bookmarkStart w:id="1033" w:name="Tc_NSYN1wyIzkKJ16DUl8TXiw_3_8"/>
      <w:bookmarkStart w:id="1034" w:name="Tc_aDLR15R-sUGLWn-H3PbdjQ_3_5"/>
      <w:bookmarkStart w:id="1035" w:name="Tc_bAwLhMcNokC16QeFOg6ItA_3_2"/>
      <w:bookmarkStart w:id="1036" w:name="Tc_yO3j4cm9i0KXAw424tRyig_2_8"/>
      <w:bookmarkStart w:id="1037" w:name="Tc_KlJkrsaiQk-JZd_ug2lg3Q_2_2"/>
      <w:bookmarkStart w:id="1038" w:name="Tc_0FJexK7GdUqVR4K1O6T4Xg_1_8"/>
      <w:bookmarkStart w:id="1039" w:name="Tc__mabcMRkSkKaVhEgEmAPfQ_1_2"/>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r>
        <w:rPr>
          <w:rFonts w:ascii="Times New Roman;Times;serif" w:hAnsi="Times New Roman;Times;serif"/>
          <w:b/>
          <w:sz w:val="20"/>
        </w:rPr>
        <w:t xml:space="preserve">11.         Net Income per Share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rights, including the liquidation and dividend rights, of the holders of Class A, Class B, Class A1 and Class B1 ordinary shares are identical, except with respect to voting, transferability and conversion. As the liquidation and dividend rights are identical, losses are allocated on a proportionate basis and the resulting net income per share attributed to ordinary shareholders will, therefore, be the same for both Class A and Class B ordinary shares on an individual or combined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and diluted net income attributable to ordinary shareholders was calculated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28"/>
        <w:gridCol w:w="346"/>
        <w:gridCol w:w="226"/>
        <w:gridCol w:w="1036"/>
        <w:gridCol w:w="346"/>
        <w:gridCol w:w="226"/>
        <w:gridCol w:w="1036"/>
        <w:gridCol w:w="346"/>
        <w:gridCol w:w="226"/>
        <w:gridCol w:w="1036"/>
        <w:gridCol w:w="346"/>
        <w:gridCol w:w="226"/>
        <w:gridCol w:w="1081"/>
      </w:tblGrid>
      <w:tr>
        <w:trPr/>
        <w:tc>
          <w:tcPr>
            <w:tcW w:w="37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3510" cy="175260"/>
                      <wp:effectExtent l="0" t="0" r="0" b="0"/>
                      <wp:wrapNone/>
                      <wp:docPr id="233" name="Frame2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57860" cy="175260"/>
                      <wp:effectExtent l="0" t="0" r="0" b="0"/>
                      <wp:wrapNone/>
                      <wp:docPr id="234" name="Frame2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3510" cy="175260"/>
                      <wp:effectExtent l="0" t="0" r="0" b="0"/>
                      <wp:wrapNone/>
                      <wp:docPr id="236" name="Frame2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57860" cy="175260"/>
                      <wp:effectExtent l="0" t="0" r="0" b="0"/>
                      <wp:wrapNone/>
                      <wp:docPr id="237" name="Frame2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43510" cy="175260"/>
                      <wp:effectExtent l="0" t="0" r="0" b="0"/>
                      <wp:wrapNone/>
                      <wp:docPr id="239" name="Frame2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57860" cy="175260"/>
                      <wp:effectExtent l="0" t="0" r="0" b="0"/>
                      <wp:wrapNone/>
                      <wp:docPr id="240" name="Frame2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43510" cy="175260"/>
                      <wp:effectExtent l="0" t="0" r="0" b="0"/>
                      <wp:wrapNone/>
                      <wp:docPr id="242" name="Frame2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86435" cy="175260"/>
                      <wp:effectExtent l="0" t="0" r="0" b="0"/>
                      <wp:wrapNone/>
                      <wp:docPr id="243" name="Frame24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7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9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9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37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ordinary shareholders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25,432</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17,832</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48,024</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26,371</w:t>
            </w:r>
          </w:p>
        </w:tc>
      </w:tr>
      <w:tr>
        <w:trPr/>
        <w:tc>
          <w:tcPr>
            <w:tcW w:w="37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  ​</w:t>
            </w:r>
          </w:p>
        </w:tc>
      </w:tr>
      <w:tr>
        <w:trPr/>
        <w:tc>
          <w:tcPr>
            <w:tcW w:w="37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outstanding—basic</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77,577,675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73,438,530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77,050,036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73,041,920</w:t>
            </w:r>
          </w:p>
        </w:tc>
      </w:tr>
      <w:tr>
        <w:trPr/>
        <w:tc>
          <w:tcPr>
            <w:tcW w:w="37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37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ordinary shares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4,576,481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3,504,516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4,585,743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3,105,795</w:t>
            </w:r>
          </w:p>
        </w:tc>
      </w:tr>
      <w:tr>
        <w:trPr/>
        <w:tc>
          <w:tcPr>
            <w:tcW w:w="37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1,044,790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924,675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1,087,832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780,562</w:t>
            </w:r>
          </w:p>
        </w:tc>
      </w:tr>
      <w:tr>
        <w:trPr/>
        <w:tc>
          <w:tcPr>
            <w:tcW w:w="37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PSUs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199,105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74,362</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179,293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56,116</w:t>
            </w:r>
          </w:p>
        </w:tc>
      </w:tr>
      <w:tr>
        <w:trPr/>
        <w:tc>
          <w:tcPr>
            <w:tcW w:w="37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outstanding—diluted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83,398,051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77,942,082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82,902,904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76,984,393</w:t>
            </w:r>
          </w:p>
        </w:tc>
      </w:tr>
      <w:tr>
        <w:trPr/>
        <w:tc>
          <w:tcPr>
            <w:tcW w:w="37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7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37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0.34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30, 2026 and 2025, diluted earnings per share includes the assumed exercise of dilutive options and the assumed issuance of ordinary shares for unvested RSUs and PSUs for which the market or performance condition has been met as of the date of determination, using the treasury stock method unless the effect is anti-dilutive. The treasury stock method assumes that proceeds, including cash received from the exercise of employee share options and the average unrecognized compensation expense for unvested share-based compensation awards, would be used to purchase the Company’s ordinary shares at the average market price during the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040" w:name="Tc_QF1EWxhZhkuIJQzalzIPYA_6_0"/>
      <w:bookmarkStart w:id="1041" w:name="Tc_SJYFaAcJXEGwwWsY7SsJug_5_0"/>
      <w:bookmarkStart w:id="1042" w:name="Tc_Vfhg4kj1F061WYhl81jKlw_4_0"/>
      <w:bookmarkStart w:id="1043" w:name="Tc_YLR-Yz7800S78WVz32C7VQ_3_10"/>
      <w:bookmarkStart w:id="1044" w:name="Tc_Afro13_63EiefxUYSbkfMQ_3_7"/>
      <w:bookmarkStart w:id="1045" w:name="Tc_U2y-wVw9NkK9x2QAEySBgw_3_4"/>
      <w:bookmarkStart w:id="1046" w:name="Tc_0flyj2YQkUuE3LxTb6c1Uw_3_1"/>
      <w:bookmarkStart w:id="1047" w:name="Tc_PBPMN2vLrkWXIsTcw1yUSQ_2_7"/>
      <w:bookmarkStart w:id="1048" w:name="Tc_NpUqZt4wz0WCfLxtQNMATg_2_1"/>
      <w:bookmarkStart w:id="1049" w:name="Tc_7l0Uds9B_Uqs7fCZ_qck3w_1_7"/>
      <w:bookmarkStart w:id="1050" w:name="Tc_SGuxq1A-fUOHC88Mi24N7A_1_1"/>
      <w:bookmarkEnd w:id="1040"/>
      <w:bookmarkEnd w:id="1041"/>
      <w:bookmarkEnd w:id="1042"/>
      <w:bookmarkEnd w:id="1043"/>
      <w:bookmarkEnd w:id="1044"/>
      <w:bookmarkEnd w:id="1045"/>
      <w:bookmarkEnd w:id="1046"/>
      <w:bookmarkEnd w:id="1047"/>
      <w:bookmarkEnd w:id="1048"/>
      <w:bookmarkEnd w:id="1049"/>
      <w:bookmarkEnd w:id="1050"/>
      <w:r>
        <w:rPr>
          <w:rFonts w:ascii="Times New Roman;Times;serif" w:hAnsi="Times New Roman;Times;serif"/>
          <w:sz w:val="20"/>
        </w:rPr>
        <w:t>The Company excluded the following potential ordinary shares, presented based on amounts outstanding at each period end, from the computation of diluted EPS attributable to ordinary shareholders for the periods indicated because including them would have had an anti-dilutive effect:</w:t>
      </w:r>
    </w:p>
    <w:p>
      <w:pPr>
        <w:pStyle w:val="TextBody"/>
        <w:bidi w:val="0"/>
        <w:spacing w:before="0" w:after="0"/>
        <w:ind w:left="0" w:right="0" w:hanging="0"/>
        <w:jc w:val="left"/>
        <w:rPr/>
      </w:pPr>
      <w:r>
        <w:rPr/>
        <w:t>​</w:t>
      </w:r>
    </w:p>
    <w:tbl>
      <w:tblPr>
        <w:tblW w:w="8634" w:type="dxa"/>
        <w:jc w:val="left"/>
        <w:tblInd w:w="0" w:type="dxa"/>
        <w:tblLayout w:type="fixed"/>
        <w:tblCellMar>
          <w:top w:w="0" w:type="dxa"/>
          <w:left w:w="0" w:type="dxa"/>
          <w:bottom w:w="0" w:type="dxa"/>
          <w:right w:w="0" w:type="dxa"/>
        </w:tblCellMar>
      </w:tblPr>
      <w:tblGrid>
        <w:gridCol w:w="3481"/>
        <w:gridCol w:w="109"/>
        <w:gridCol w:w="781"/>
        <w:gridCol w:w="346"/>
        <w:gridCol w:w="109"/>
        <w:gridCol w:w="931"/>
        <w:gridCol w:w="346"/>
        <w:gridCol w:w="109"/>
        <w:gridCol w:w="931"/>
        <w:gridCol w:w="346"/>
        <w:gridCol w:w="109"/>
        <w:gridCol w:w="1036"/>
      </w:tblGrid>
      <w:tr>
        <w:trPr/>
        <w:tc>
          <w:tcPr>
            <w:tcW w:w="3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5" name="Frame2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91185" cy="175260"/>
                      <wp:effectExtent l="0" t="0" r="0" b="0"/>
                      <wp:wrapNone/>
                      <wp:docPr id="248" name="Frame2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91185" cy="175260"/>
                      <wp:effectExtent l="0" t="0" r="0" b="0"/>
                      <wp:wrapNone/>
                      <wp:docPr id="251" name="Frame2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57860" cy="175260"/>
                      <wp:effectExtent l="0" t="0" r="0" b="0"/>
                      <wp:wrapNone/>
                      <wp:docPr id="254" name="Frame2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22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81" w:type="dxa"/>
            <w:tcBorders/>
            <w:vAlign w:val="center"/>
          </w:tcPr>
          <w:p>
            <w:pPr>
              <w:pStyle w:val="TableContents"/>
              <w:bidi w:val="0"/>
              <w:spacing w:before="0" w:after="0"/>
              <w:ind w:left="0" w:right="0" w:hanging="0"/>
              <w:jc w:val="left"/>
              <w:rPr/>
            </w:pPr>
            <w:r>
              <w:rPr/>
              <w:t>​</w:t>
            </w:r>
          </w:p>
        </w:tc>
        <w:tc>
          <w:tcPr>
            <w:tcW w:w="22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5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81"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 to purchase ordinary shares</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883,520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3,026,168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1,485,845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3,804,284</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RSUs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32,004</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62,701</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324,259</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512,753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anti-dilutive shares</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915,524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3,088,869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1,810,104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4,317,037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 and PSOs that are outstanding and contain performance-based or market-based vesting criteria for which the performance or market conditions have not been met are excluded from the presentation of common stock equivalents outstanding in the table above.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12.         Income Taxes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Company’s income is subject to the enacted UK statutory corporate tax rate. The Company’s wholly owned United States subsidiaries, including Kiniksa Pharmaceuticals Corp. (“Kiniksa US”), are subject to federal and state income taxes in the United States. The Company’s wholly owned subsidiary Kiniksa Pharmaceuticals (UK), Ltd. (“Kiniksa UK”), and Kiniksa UK’s wholly owned subsidiaries, including Kiniksa Pharmaceuticals, GmbH (“Kiniksa Switzerland”) and Kiniksa UK’s Swiss branch office, are subject to taxation in their respective countries. Certain of the Company’s subsidiaries operate under cost plus intercompany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recorded an income tax provision of $5,713 and $15,802 for the three and six months ended June 30, 2026, respectively. The provision for income taxes was driven primarily by income earned in Switzerland, UK and United States as well as uncertain tax positions offset in part by tax benefits related to share-based compensation, and United States federal and state research and development credits (“R&amp;D Credits”).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recorded an income tax provision of $5,045 and $12,071 for the three and six months ended June 30, 2025, respectively. The provision for income taxes was driven primarily by income earned in Switzerland, UK and United States as well as uncertain tax positions offset in part by tax benefits from Foreign Derived Intangible Income (“FDII”) deduction and United States federal and state R&amp;D Credits.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regularly assesses the need for a valuation allowance on the Company’s deferred income tax assets. Valuation allowances require an assessment of both positive and negative evidence when determining whether it is more likely than not that the Company will be able to recover its deferred tax assets. Such assessment is required on a jurisdiction-by-jurisdiction basis. The ultimate realization of deferred tax assets is dependent upon the generation of future taxable income during the periods in which those temporary differences become deductible. The Company maintains a valuation allowance on the full amount of the Kiniksa Switzerland deferred tax assets. There are no material deferred tax assets in the jurisdictions outside the United States, UK and Switzerland.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Commitments and Contingencies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License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license agreements with various parties under which it is obligated to make contingent and non-contingent payments (see Note 10).</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Manufacturing Commitments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supply agreement with Regeneron pursuant to which the Company may order both clinical and commercial product (see Note 10). In June 2024, the Company entered into a Master Services Agreement and a Product Specific Agreement with Samsung Biologics Co., Ltd. as part of its technology transfer of the manufacturing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process for ARCALYST drug substance. The Company has additionally entered into agreements with several contract development and manufacturing organizations to provide the Company with preclinical and clinical trial materials for its non-ARCALYST assets. As of June 30, 2026, the Company had committed to minimum purchase commitments under all of these agreements totaling $205,826, of which $118,532 is due within one year. </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issued termination notices to contract development and manufacturing organizations in February 2025 to terminate the clinical supply agreements for the production of abiprubart. During the three months ended March 31, 2025, the Company recorded and paid $2,500 in research and development expenses because of these terminations. The Company does not expect to incur any additional expenses because of these terminations. </w:t>
      </w:r>
    </w:p>
    <w:p>
      <w:pPr>
        <w:pStyle w:val="TextBody"/>
        <w:shd w:fill="FFFFFF" w:val="clear"/>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Performance Cash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Beginning in the second quarter of 2025, the Company began granting cash awards (“Performance Cash Awards”) to certain eligible employees pursuant to the 2018 Plan, which were eligible to be received upon the achievement of certain specified development and regulatory milestones and that are subject to earnout percentages based upon the date of applicable milestone achievement. As of June 30, 2026, the Company estimates the future cash payments under such Performance Cash Awards to be $24,852 if the milestones are achieved at target. The Performance Cash Awards will be recognized when the applicable milestones are deemed probable of achievement with a cumulative catch-up and recognized over the remaining term. The Company has not deemed any of the Performance Cash Award development or regulatory milestones as probable as of June 30, 2026, and no expense has been recognized related to such awards.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not aware of any claims under indemnification arrangements that are expected to have a material effect on its financial position, results of operations or cash flows, and it has not accrued any liabilities related to such obligations in its condensed consolidated financial statements as of June 30, 2026 or December 31, 2025.</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not party to any material litigation and does not have contingency reserves established for any litigation liabilities. </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14. Segment Information and Geographic Data</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manages its operations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for the purposes of assessing performance and making operating decisions. The Company’s singular focus is on developing and commercializing novel therapies that target cardiovascular diseases with significant unmet medical need. The Company’s Chief Operating Decision Maker (“CODM”) is the Chief Executive Officer. The Company’s CODM reviews consolidated operating results and decides how to allocate resources based on net income that also is reported on the income statement as consolidated net income. The measure of segment assets is reported on the balance sheet as total consolidated assets. The CODM utilizes net income to make key decisions about how to allocate resources across the Company’s commercial product and development programs.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051" w:name="Tc_mJmCmXrUCkCfJY7Rhl1pjw_7_11"/>
      <w:bookmarkStart w:id="1052" w:name="Tc_8-9WelpnIEyBjn4Gww4PkA_7_8"/>
      <w:bookmarkStart w:id="1053" w:name="Tc_2il0IAtfkkCm94n4GwdY2w_7_5"/>
      <w:bookmarkStart w:id="1054" w:name="Tc_NElAANu96Uac3JK-HPza4Q_7_2"/>
      <w:bookmarkStart w:id="1055" w:name="Tc_8zUsEv-Hik2I3ay2vy3jpQ_7_0"/>
      <w:bookmarkStart w:id="1056" w:name="Tc_Dc8nLOkEPUKDFCf_SSNFmw_6_0"/>
      <w:bookmarkStart w:id="1057" w:name="Tc_tTIzAfQYWUiiS6Z0cA6OWA_5_11"/>
      <w:bookmarkStart w:id="1058" w:name="Tc_YvhHMNQUdk6s-4F_EhJZ6Q_5_8"/>
      <w:bookmarkStart w:id="1059" w:name="Tc_KM6Oqy_Wj0OQvsTnBi38GA_5_5"/>
      <w:bookmarkStart w:id="1060" w:name="Tc_1baO-7RPQkCJyF8PlN4Z2w_5_2"/>
      <w:bookmarkStart w:id="1061" w:name="Tc_AGj620K2ZUGOqvuCuXTNgg_5_0"/>
      <w:bookmarkStart w:id="1062" w:name="Tc_czlv_aabGk-R9oDH84jppQ_4_0"/>
      <w:bookmarkStart w:id="1063" w:name="Tc_FrNJuPxyp0KgNxN2jvhPOQ_3_11"/>
      <w:bookmarkStart w:id="1064" w:name="Tc_0wL8hDzTa0CWmeIXLn-L2A_3_8"/>
      <w:bookmarkStart w:id="1065" w:name="Tc_KJcbfX2m6kadnJ_NisffGQ_3_5"/>
      <w:bookmarkStart w:id="1066" w:name="Tc_2vtYgk_86Uq28Rf_SiCxRw_3_2"/>
      <w:bookmarkStart w:id="1067" w:name="Tc_uZxD4Q_J9ECPXvDflv4l8w_2_8"/>
      <w:bookmarkStart w:id="1068" w:name="Tc_ZLkLggQDvUi0lNMBI7I6UA_2_2"/>
      <w:bookmarkStart w:id="1069" w:name="Tc_cEIOYnlllE2SHve4dBuIPg_1_8"/>
      <w:bookmarkStart w:id="1070" w:name="Tc_Wj1Pk8UG1ka3Heqv9IibIA_1_2"/>
      <w:bookmarkStart w:id="1071" w:name="Tc_6OaBLtPMcUa3a78oIFZfZA_27_0"/>
      <w:bookmarkStart w:id="1072" w:name="Tc_NNEsx6GeG0OlLuaWn5UEog_26_0"/>
      <w:bookmarkStart w:id="1073" w:name="Tc_T67J0jJU3U6JqheSkvk_cA_25_11"/>
      <w:bookmarkStart w:id="1074" w:name="Tc_UZHAD4ZEuEObxGh7bcrn1w_25_8"/>
      <w:bookmarkStart w:id="1075" w:name="Tc_gKaYtcDXQEGd9anXE7uVbQ_25_5"/>
      <w:bookmarkStart w:id="1076" w:name="Tc_FA9ogrmv-Ueo4tVM5jsalQ_25_2"/>
      <w:bookmarkStart w:id="1077" w:name="Tc_8csfvIkIC0-0EFRafrHcFA_25_0"/>
      <w:bookmarkStart w:id="1078" w:name="Tc_YYFFbB4CP0KOQUXe_JmEOg_24_0"/>
      <w:bookmarkStart w:id="1079" w:name="Tc_WY46VC0-IEiMVF3tXXb6Og_22_11"/>
      <w:bookmarkStart w:id="1080" w:name="Tc_ab4oQYtpoU2FrT9AwcRyKg_22_8"/>
      <w:bookmarkStart w:id="1081" w:name="Tc_sOAdcPdoWkOL-YUHor6zgw_22_5"/>
      <w:bookmarkStart w:id="1082" w:name="Tc_l1wabrlYFEqr4vaGTmbNPA_22_2"/>
      <w:bookmarkStart w:id="1083" w:name="Tc_4bd8uic4JkuFztiWsYl1dA_22_0"/>
      <w:bookmarkStart w:id="1084" w:name="Tc_gcpV4RLR5kab6iW0SyZ4Ng_21_0"/>
      <w:bookmarkStart w:id="1085" w:name="Tc_Q7lpyJrzbEK9lkvAUu5-gg_20_0"/>
      <w:bookmarkStart w:id="1086" w:name="Tc_740XXwklk0-89Lr6qDcJpA_19_0"/>
      <w:bookmarkStart w:id="1087" w:name="Tc_7Gl5UqMXIEu3GSDmtGhzMg_18_0"/>
      <w:bookmarkStart w:id="1088" w:name="Tc_7WoyFiSFrUGCczUo9s-1lw_17_0"/>
      <w:bookmarkStart w:id="1089" w:name="Tc_3HIO0vG2fUSIKsfkNkl5fw_16_0"/>
      <w:bookmarkStart w:id="1090" w:name="Tc_1ZN8M5uusUWdNh24rm8fQw_15_0"/>
      <w:bookmarkStart w:id="1091" w:name="Tc_wy3vd3GYS0C-pYZm0U_ffA_14_0"/>
      <w:bookmarkStart w:id="1092" w:name="Tc_CSoJwFSVr0qaH3V8lmhLjQ_13_0"/>
      <w:bookmarkStart w:id="1093" w:name="Tc_ZnatWAEpI0GpAERKndVG4A_12_0"/>
      <w:bookmarkStart w:id="1094" w:name="Tc_RCAJ8ETqCEWXVOEJhRYoCw_11_0"/>
      <w:bookmarkStart w:id="1095" w:name="Tc_k6uNTQyI50a80n5STHySVw_10_0"/>
      <w:bookmarkStart w:id="1096" w:name="Tc_sexSG3EqWUissujUA4xRfw_9_0"/>
      <w:bookmarkStart w:id="1097" w:name="Tc_YWI-F_bm5U2pTXClU3yrzQ_8_0"/>
      <w:bookmarkStart w:id="1098" w:name="Tc__UyY0BpwcUK3rZLwfehd0Q_7_0"/>
      <w:bookmarkStart w:id="1099" w:name="Tc_BTvxFc8R5USg-qr4fti63w_6_12"/>
      <w:bookmarkStart w:id="1100" w:name="Tc_jEVk4Uz6E0eSFuhZyzV0bQ_6_9"/>
      <w:bookmarkStart w:id="1101" w:name="Tc_16isQcGEnkSmiUl8NI78Cg_6_6"/>
      <w:bookmarkStart w:id="1102" w:name="Tc_4CIM8CGl4UynhPj5fEgNZQ_6_3"/>
      <w:bookmarkStart w:id="1103" w:name="Tc_7wu9JjcErU2ozMhFR8Pj1w_6_0"/>
      <w:bookmarkStart w:id="1104" w:name="Tc_fTNo-3oCPUWaZFiqBiPFzQ_5_11"/>
      <w:bookmarkStart w:id="1105" w:name="Tc_AupLihCmAUiyNBzuLNShcQ_5_8"/>
      <w:bookmarkStart w:id="1106" w:name="Tc_P6urxvlysEmFKjvDkKLeUg_5_5"/>
      <w:bookmarkStart w:id="1107" w:name="Tc_6NLS93j9dEG9rUXNX_R9eQ_5_2"/>
      <w:bookmarkStart w:id="1108" w:name="Tc_fhOnnSgYB0aslUxNUQK6NA_5_0"/>
      <w:bookmarkStart w:id="1109" w:name="Tc_Kuq5yhdtl0ONYDcDiYdkYQ_4_0"/>
      <w:bookmarkStart w:id="1110" w:name="Tc_j4Z-LjOMyEeEx5l8iDVemg_3_11"/>
      <w:bookmarkStart w:id="1111" w:name="Tc_3o7SWgVNH0OVOtXhJRTu6Q_3_8"/>
      <w:bookmarkStart w:id="1112" w:name="Tc_m5HMZGW4t0ug6c9S0gZ0NA_3_5"/>
      <w:bookmarkStart w:id="1113" w:name="Tc_2_CuRGC3JEWvoUdHdXMZoQ_3_2"/>
      <w:bookmarkStart w:id="1114" w:name="Tc_p9G-8GcZ3ESyS4IdPxZPJQ_2_8"/>
      <w:bookmarkStart w:id="1115" w:name="Tc_fQpQss3ADEKy2dFbg7xg1Q_2_2"/>
      <w:bookmarkStart w:id="1116" w:name="Tc_eH00VWBoFUG95rwk9dM1kw_1_8"/>
      <w:bookmarkStart w:id="1117" w:name="Tc_Gqgk5Vhx7UOMxWX9mpUVGg_1_2"/>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r>
        <w:rPr>
          <w:rFonts w:ascii="Times New Roman;Times;serif" w:hAnsi="Times New Roman;Times;serif"/>
          <w:sz w:val="20"/>
        </w:rPr>
        <w:t>The following table presents selected financial information with respect to the Company’s single operating segment for the three and six months ended June 30, 2026 and 2025:</w:t>
      </w:r>
    </w:p>
    <w:p>
      <w:pPr>
        <w:pStyle w:val="TextBody"/>
        <w:bidi w:val="0"/>
        <w:spacing w:before="0" w:after="0"/>
        <w:ind w:left="0" w:right="0" w:hanging="0"/>
        <w:jc w:val="left"/>
        <w:rPr/>
      </w:pPr>
      <w:r>
        <w:rPr/>
        <w:t>​</w:t>
      </w:r>
    </w:p>
    <w:tbl>
      <w:tblPr>
        <w:tblW w:w="10018" w:type="dxa"/>
        <w:jc w:val="left"/>
        <w:tblInd w:w="0" w:type="dxa"/>
        <w:tblLayout w:type="fixed"/>
        <w:tblCellMar>
          <w:top w:w="0" w:type="dxa"/>
          <w:left w:w="0" w:type="dxa"/>
          <w:bottom w:w="0" w:type="dxa"/>
          <w:right w:w="0" w:type="dxa"/>
        </w:tblCellMar>
      </w:tblPr>
      <w:tblGrid>
        <w:gridCol w:w="4591"/>
        <w:gridCol w:w="346"/>
        <w:gridCol w:w="211"/>
        <w:gridCol w:w="781"/>
        <w:gridCol w:w="346"/>
        <w:gridCol w:w="211"/>
        <w:gridCol w:w="781"/>
        <w:gridCol w:w="346"/>
        <w:gridCol w:w="211"/>
        <w:gridCol w:w="796"/>
        <w:gridCol w:w="346"/>
        <w:gridCol w:w="211"/>
        <w:gridCol w:w="841"/>
      </w:tblGrid>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05460" cy="175260"/>
                      <wp:effectExtent l="0" t="0" r="0" b="0"/>
                      <wp:wrapNone/>
                      <wp:docPr id="263" name="Frame2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34035" cy="175260"/>
                      <wp:effectExtent l="0" t="0" r="0" b="0"/>
                      <wp:wrapNone/>
                      <wp:docPr id="266" name="Frame26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center"/>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294,582</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294,582</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36,471</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96,208</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ARCALYST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KPL-387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13,663</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KPL-1161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Abiprubart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18,417</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90,393</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401,405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261,150</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income, net (1)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5,010</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38,442</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(12,071)</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26,371</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significant noncash items: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16,624</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5,637</w:t>
            </w:r>
          </w:p>
        </w:tc>
      </w:tr>
    </w:tbl>
    <w:p>
      <w:pPr>
        <w:pStyle w:val="TextBody"/>
        <w:bidi w:val="0"/>
        <w:spacing w:before="0" w:after="240"/>
        <w:ind w:left="0" w:right="0" w:hanging="0"/>
        <w:jc w:val="left"/>
        <w:rPr/>
      </w:pPr>
      <w:r>
        <w:rPr/>
        <w:t>​</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(1)Includes interest income of $3,951 and $7,365 for the three and six months ended June 30, 2026, respectively. Includes interest income of $2,731 and $5,021 for the three and six months ended June 30, 2025, respectively.</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total revenue by geographic region of the customer for the three and six months ended June 30, 2026 and 2025:</w:t>
      </w:r>
    </w:p>
    <w:p>
      <w:pPr>
        <w:pStyle w:val="TextBody"/>
        <w:bidi w:val="0"/>
        <w:spacing w:before="0" w:after="0"/>
        <w:ind w:left="0" w:right="0" w:hanging="0"/>
        <w:jc w:val="left"/>
        <w:rPr/>
      </w:pPr>
      <w:r>
        <w:rPr/>
        <w:t>​</w:t>
      </w:r>
    </w:p>
    <w:tbl>
      <w:tblPr>
        <w:tblW w:w="6763" w:type="dxa"/>
        <w:jc w:val="left"/>
        <w:tblInd w:w="0" w:type="dxa"/>
        <w:tblLayout w:type="fixed"/>
        <w:tblCellMar>
          <w:top w:w="0" w:type="dxa"/>
          <w:left w:w="0" w:type="dxa"/>
          <w:bottom w:w="0" w:type="dxa"/>
          <w:right w:w="0" w:type="dxa"/>
        </w:tblCellMar>
      </w:tblPr>
      <w:tblGrid>
        <w:gridCol w:w="1531"/>
        <w:gridCol w:w="109"/>
        <w:gridCol w:w="211"/>
        <w:gridCol w:w="781"/>
        <w:gridCol w:w="346"/>
        <w:gridCol w:w="211"/>
        <w:gridCol w:w="781"/>
        <w:gridCol w:w="346"/>
        <w:gridCol w:w="211"/>
        <w:gridCol w:w="781"/>
        <w:gridCol w:w="346"/>
        <w:gridCol w:w="211"/>
        <w:gridCol w:w="898"/>
      </w:tblGrid>
      <w:tr>
        <w:trPr/>
        <w:tc>
          <w:tcPr>
            <w:tcW w:w="15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95935" cy="175260"/>
                      <wp:effectExtent l="0" t="0" r="0" b="0"/>
                      <wp:wrapNone/>
                      <wp:docPr id="269" name="Frame2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260"/>
                      <wp:effectExtent l="0" t="0" r="0" b="0"/>
                      <wp:wrapNone/>
                      <wp:docPr id="272"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95935" cy="175260"/>
                      <wp:effectExtent l="0" t="0" r="0" b="0"/>
                      <wp:wrapNone/>
                      <wp:docPr id="275" name="Frame2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70230" cy="175260"/>
                      <wp:effectExtent l="0" t="0" r="0" b="0"/>
                      <wp:wrapNone/>
                      <wp:docPr id="278" name="Frame27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44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5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4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United States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457,184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294,102</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United Kingdom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294,582</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118" w:name="Tc_rxbVSI8ViE-TiIlasdx6fg_7_5"/>
      <w:bookmarkStart w:id="1119" w:name="Tc_qeuigTMVqESCEJbuV3vWXQ_7_2"/>
      <w:bookmarkStart w:id="1120" w:name="Tc_2WT6YPF8vEuI2ItePdPgAA_7_0"/>
      <w:bookmarkStart w:id="1121" w:name="Tc_2VwJ4hkCsEGsO_ypoARY_w_6_0"/>
      <w:bookmarkStart w:id="1122" w:name="Tc_EWw1WgRH-Eq6VzQrnc2gqw_5_0"/>
      <w:bookmarkStart w:id="1123" w:name="Tc_LifGdoTT206Z3LhtmK_OYw_4_5"/>
      <w:bookmarkStart w:id="1124" w:name="Tc_3nTb7XMrAEmrTtfwCDLfYQ_4_2"/>
      <w:bookmarkStart w:id="1125" w:name="Tc_2NBsikXip0OFVuEioXksrQ_4_0"/>
      <w:bookmarkStart w:id="1126" w:name="Tc_bdg57Pxi1E-QNKYGVqAkwQ_3_0"/>
      <w:bookmarkStart w:id="1127" w:name="Tc_I1uohKFEKkeq_fN1eJ9UBw_2_5"/>
      <w:bookmarkStart w:id="1128" w:name="Tc_M4U7fo-dTkaUJ72yoMd6Uw_2_2"/>
      <w:bookmarkStart w:id="1129" w:name="Tc_u4TjVtjVgUeNxif8pMEmXg_1_5"/>
      <w:bookmarkStart w:id="1130" w:name="Tc_L_AzAdt0O0uqTZ8Orb1fYw_1_2"/>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sz w:val="20"/>
        </w:rPr>
        <w:t>The following table presents property and equipment, net by geographic region (in thousands):</w:t>
      </w:r>
    </w:p>
    <w:p>
      <w:pPr>
        <w:pStyle w:val="TextBody"/>
        <w:bidi w:val="0"/>
        <w:spacing w:before="0" w:after="0"/>
        <w:ind w:left="0" w:right="0" w:hanging="0"/>
        <w:jc w:val="left"/>
        <w:rPr/>
      </w:pPr>
      <w:r>
        <w:rPr/>
        <w:t>​</w:t>
      </w:r>
    </w:p>
    <w:tbl>
      <w:tblPr>
        <w:tblW w:w="5318" w:type="dxa"/>
        <w:jc w:val="left"/>
        <w:tblInd w:w="0" w:type="dxa"/>
        <w:tblLayout w:type="fixed"/>
        <w:tblCellMar>
          <w:top w:w="0" w:type="dxa"/>
          <w:left w:w="0" w:type="dxa"/>
          <w:bottom w:w="0" w:type="dxa"/>
          <w:right w:w="0" w:type="dxa"/>
        </w:tblCellMar>
      </w:tblPr>
      <w:tblGrid>
        <w:gridCol w:w="2941"/>
        <w:gridCol w:w="109"/>
        <w:gridCol w:w="211"/>
        <w:gridCol w:w="571"/>
        <w:gridCol w:w="346"/>
        <w:gridCol w:w="267"/>
        <w:gridCol w:w="873"/>
      </w:tblGrid>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62585" cy="175260"/>
                      <wp:effectExtent l="0" t="0" r="0" b="0"/>
                      <wp:wrapNone/>
                      <wp:docPr id="281" name="Frame2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9545" cy="175260"/>
                      <wp:effectExtent l="0" t="0" r="0" b="0"/>
                      <wp:wrapNone/>
                      <wp:docPr id="283" name="Frame28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54355" cy="175260"/>
                      <wp:effectExtent l="0" t="0" r="0" b="0"/>
                      <wp:wrapNone/>
                      <wp:docPr id="284" name="Frame284"/>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States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Kingdom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 of world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property and equipment, net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1,943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31" w:name="Item2ManagementsDiscussionandAnalysisofF"/>
      <w:bookmarkStart w:id="1132" w:name="_82a8fabf_1a23_43e9_8f92_f7d9d6a1937c"/>
      <w:bookmarkEnd w:id="1131"/>
      <w:bookmarkEnd w:id="113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condensed consolidated financial statements and related notes included elsewhere in this Quarterly Report, and our audited consolidated financial statements and related notes for the year ended December 31, 2025 included in the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risks identified in Part I, Item 1A of the Annual Report, as updated by any information appearing in Part II, Item 1A of any of our subsequent Quarterly Reports on Form 10-Q (including this Quarterly Report), and our other filings with the Securities and Exchange Commission (the “SEC”) our actual results could differ materially from the results, performance or achievements expressed in or implied by these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We are a biopharmaceutical company developing and commercializing novel therapies for diseases with unmet need, with a focus on cardiovascular indications. Our portfolio of assets is based on </w:t>
      </w:r>
      <w:r>
        <w:rPr>
          <w:rFonts w:ascii="Times New Roman;Times;serif" w:hAnsi="Times New Roman;Times;serif"/>
          <w:sz w:val="20"/>
          <w:shd w:fill="FFFFFF" w:val="clear"/>
        </w:rPr>
        <w:t>strong</w:t>
      </w:r>
      <w:r>
        <w:rPr>
          <w:rFonts w:ascii="Times New Roman;Times;serif" w:hAnsi="Times New Roman;Times;serif"/>
          <w:sz w:val="20"/>
        </w:rPr>
        <w:t xml:space="preserve"> biologic rationale or validated mechanisms and offers the potential for differentiation. </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ARCALYST is an interleukin-1α (“IL-1α”) and interleukin-1β (“IL-1β”) cytokine trap. In 2017, we licensed ARCALYST from Regeneron, which discovered and initially developed the drug. Our exclusive license to ARCALYST from Regeneron includes worldwide rights, excluding the Middle East and North Africa, for all applications other than those in oncology and local administration to the eye or ear. We received FDA approval of ARCALYST for the </w:t>
      </w:r>
      <w:r>
        <w:rPr>
          <w:rFonts w:ascii="Times New Roman;Times;serif" w:hAnsi="Times New Roman;Times;serif"/>
          <w:sz w:val="20"/>
          <w:shd w:fill="FFFFFF" w:val="clear"/>
        </w:rPr>
        <w:t>treatment</w:t>
      </w:r>
      <w:r>
        <w:rPr>
          <w:rFonts w:ascii="Times New Roman;Times;serif" w:hAnsi="Times New Roman;Times;serif"/>
          <w:sz w:val="20"/>
        </w:rPr>
        <w:t xml:space="preserve"> of recurrent pericarditis and reduction in risk of recurrence in adults and children 12 years and older in March 2021. Recurrent pericarditis is a painful inflammatory cardiovascular disease with an estimated United States prevalent population of approximately 40,000 patients seeking and receiving medical treatment. ARCALYST is also approved in the United States for the treatment of Cryopyrin-Associated Periodic Syndromes (“CAPS”), including Familial Cold Autoinflammatory Syndrome and Muckle-Wells Syndrome in adults and children 12 years and older, and the maintenance of remission in Deficiency of Interleukin-1 Receptor Antagonist (“DIRA”) in adults and children weighing 10 kg or more. ARCALYST is commercially available across the United States through a select network of specialty pharmacies. We are responsible for sales and distribution of ARCALYST in all approved indications in the United States, and evenly split profits on sales, as well as third party proceeds, with Regeneron. In 2022, we granted </w:t>
      </w:r>
      <w:r>
        <w:rPr>
          <w:rFonts w:ascii="Times New Roman;Times;serif" w:hAnsi="Times New Roman;Times;serif"/>
          <w:sz w:val="20"/>
          <w:shd w:fill="FFFFFF" w:val="clear"/>
        </w:rPr>
        <w:t xml:space="preserve">Hangzhou </w:t>
      </w:r>
      <w:r>
        <w:rPr>
          <w:rFonts w:ascii="Times New Roman;Times;serif" w:hAnsi="Times New Roman;Times;serif"/>
          <w:sz w:val="20"/>
        </w:rPr>
        <w:t>Zhongmei</w:t>
      </w:r>
      <w:r>
        <w:rPr>
          <w:rFonts w:ascii="Times New Roman;Times;serif" w:hAnsi="Times New Roman;Times;serif"/>
          <w:sz w:val="20"/>
          <w:shd w:fill="FFFFFF" w:val="clear"/>
        </w:rPr>
        <w:t xml:space="preserve"> Huadong Pharmaceutical Co., Ltd. (“Huadong”) exclusive rights</w:t>
      </w:r>
      <w:r>
        <w:rPr>
          <w:rFonts w:ascii="Times New Roman;Times;serif" w:hAnsi="Times New Roman;Times;serif"/>
          <w:sz w:val="20"/>
        </w:rPr>
        <w:t xml:space="preserve"> to develop and commercialize ARCALYST in the Huadong Territory (as defined below). In 2023, Regeneron initiated a technology transfer of the manufacturing process for ARCALYST drug substance, and in June 2026 the FDA approved Samsung Biologics Co., Ltd. (“Samsung”) as our replacement contract development and manufacturing organization (“CDMO”). In December 2024, we initiated a collaborative study agreement with The Mayo Clinic (together with Johns Hopkins University) to investigate the effects of ARCALYST in the treatment of cardiac sarcoidosis.</w:t>
      </w:r>
    </w:p>
    <w:p>
      <w:pPr>
        <w:pStyle w:val="TextBody"/>
        <w:bidi w:val="0"/>
        <w:spacing w:before="120" w:after="240"/>
        <w:ind w:left="0" w:right="0" w:firstLine="720"/>
        <w:jc w:val="left"/>
        <w:rPr>
          <w:rFonts w:ascii="Times New Roman;Times;serif" w:hAnsi="Times New Roman;Times;serif"/>
          <w:sz w:val="20"/>
        </w:rPr>
      </w:pPr>
      <w:r>
        <w:rPr>
          <w:rFonts w:ascii="Times New Roman;Times;serif" w:hAnsi="Times New Roman;Times;serif"/>
          <w:sz w:val="20"/>
        </w:rPr>
        <w:t>KPL-387 is an investigational, fully human immunoglobulin G2 monoclonal antibody that binds human interleukin-1 receptor 1 (“IL-1R1”), inhibiting IL-1α- and IL-1β-mediated signaling. KPL-387 is an independently developed asset that we believe may expand the recurrent pericarditis market and provide an additional treatment option for patients, with the potential to add the convenience of monthly subcutaneous self-administration with a liquid formulation. In July 2026, we announced that the pivotal Phase 3 trial of KPL-387 in recurrent pericarditis, PASTORALE, had begun enrolling and dosing patients, supported by Phase 2 data at the 300 mg subcutaneous monthly dose level. In addition, we announced that we expect to begin commercializing KPL-387 in 2028 or 2029. We are also conducting a supplemental Phase 2 transition to KPL-387 monotherapy dosing and administration study to evaluate the efficacy and safety of dosing regimens used to transition patients from standard therapies to KPL-387 monotherapy. The FDA previously granted Orphan Drug Designation to KPL-387 for the treatment of pericarditis.</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KPL-1161 is an independently developed, pre-clinical, Fc-modified immunoglobulin G2 monoclonal antibody that binds IL-1R1, inhibiting IL-1α- and IL-1β-mediated signaling. KPL-1161 is a modified version of KPL-387 designed to have an increased drug half-life that we believe could support quarterly subcutaneous dosing. We are currently conducting preclinical activities with respect to this asset, and expect to initiate a Phase 1 first-in-human clinical trial by the end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Abiprubart is an investigational monoclonal antibody inhibitor of CD40-CD154 costimulatory interaction, which we believe to be an attractive approach to address multiple autoimmune disease pathologies. We hold an exclusive worldwide license to abiprubart from </w:t>
      </w:r>
      <w:r>
        <w:rPr>
          <w:rFonts w:ascii="Times New Roman;Times;serif" w:hAnsi="Times New Roman;Times;serif"/>
          <w:sz w:val="20"/>
        </w:rPr>
        <w:t>Beth Israel Deaconess Medical Center, Inc. (“BIDMC”)</w:t>
      </w:r>
      <w:r>
        <w:rPr>
          <w:rFonts w:ascii="Times New Roman;Times;serif" w:hAnsi="Times New Roman;Times;serif"/>
          <w:sz w:val="20"/>
          <w:shd w:fill="FFFFFF" w:val="clear"/>
        </w:rPr>
        <w:t>. In February 2025, we announced our plans to discontinue development of abiprubart in Sjogren's Disease and to explore strategic alternatives for the asset.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Components</w:t>
      </w:r>
      <w:r>
        <w:rPr>
          <w:rFonts w:ascii="Times New Roman;Times;serif" w:hAnsi="Times New Roman;Times;serif"/>
          <w:sz w:val="20"/>
        </w:rPr>
        <w:t xml:space="preserve"> </w:t>
      </w:r>
      <w:r>
        <w:rPr>
          <w:rFonts w:ascii="Times New Roman;Times;serif" w:hAnsi="Times New Roman;Times;serif"/>
          <w:b/>
          <w:sz w:val="20"/>
        </w:rPr>
        <w:t>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Product revenue, net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been generating product revenue from sales of ARCALYST since April 2021. ARCALYST is sold through a third-party logistics provider that distributes primarily through a select network of specialty pharmacies (collectively, “customers”), which deliver the medication to patients by mail. ARCALYST is currently only approved for sale in the United States, and, therefore, we expect to derive substantially all of our product revenue from the United States for the foreseeable future.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Net revenue from product sales is recognized at the transaction price when the customer obtains control of our product, which occurs at a point in time, typically upon shipment of the product from the third-party logistics provider.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net revenues represent total revenues adjusted for discounts and allowances, including estimated cash discounts, chargebacks, rebates, returns, copay assistance, and specialty pharmacy and distributor fees. These adjustments represent variable consideration under ASC 606 and are estimated using the expected value method and are recorded when revenue is recognized on the sale of the product.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License and collaboration revenue</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License and collaboration revenue includes amounts recognized related to upfront payments, royalty revenue, milestone </w:t>
      </w:r>
      <w:r>
        <w:rPr>
          <w:rFonts w:ascii="Times New Roman;Times;serif" w:hAnsi="Times New Roman;Times;serif"/>
          <w:sz w:val="20"/>
          <w:shd w:fill="FFFFFF" w:val="clear"/>
        </w:rPr>
        <w:t>payments</w:t>
      </w:r>
      <w:r>
        <w:rPr>
          <w:rFonts w:ascii="Times New Roman;Times;serif" w:hAnsi="Times New Roman;Times;serif"/>
          <w:sz w:val="20"/>
        </w:rPr>
        <w:t xml:space="preserve"> and products sold under collaboration agreements. </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February 2022, we entered into a collaboration and license agreement (the “Huadong Collaboration Agreement”), with Huadong, pursuant to which we granted Huadong exclusive rights to develop and commercialize ARCALYST in a specified territory, which currently includes the following countries: People’s Republic of China, Hong Kong SAR, Macao SAR, Taiwan Region, Indonesia, The Philippines, Thailand, Bangladesh, Bhutan, Brunei, Burma, Cambodia, India, Laos, Malaysia, Maldives, Mongolia, Nepal, New Zealand, Sri Lanka, and Vietnam (collectively, the “Huadong Territory”).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Huadong Collaboration Agreement, we received a total upfront cash payment of $12.0 million for the Huadong Territory license of ARCALYST. In the fourth quarter of 2024, following the achievement of a regulatory milestone under the Huadong Collaboration Agreement, Huadong became obligated to make an additional cash payment of $20.0 million, which was received in the first quarter of 2025. In addition, we will be eligible to receive additional contingent sales-based milestones payments related to ARCALYST. Huadong will also be obligated to pay us tiered percentage royalties on ARCALYST ranging from the low-to-mid teens on annual net sales in the Huadong Territory, subject to certain reductions tied to ARCALYST manufacturing costs and certain other customary reductions, with an aggregate minimum floor. Royalties will be payable on a country-by-country or region-by-region basis until the later of (i) 12 years after the first commercial sale of ARCALYST in such country or region in the Huadong Territory, (ii) the date of expiration of the last valid patent claim of our patent rights or any joint collaboration patent rights that covers ARCALYST in such country or region in the Huadong Territory, and (iii) the expiration of the last regulatory exclusivity for ARCALYST in such country or region in the Huadong Territory. We have recognized $0.2 million of revenue of the $32.0 million transaction price under the Huadong Collaboration Agreement as of June 30, 2026, and will recognize the remaining revenue as materials are shipped.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In the third quarter of 2022, we entered into a license agreement (the “Genentech License Agreement”) with Genentech, pursuant to which we granted Genentech exclusive worldwide rights to develop and commercialize vixarelimab and related antibodies (each, a “Genentech Licensed Product”).</w:t>
      </w:r>
      <w:r>
        <w:rPr>
          <w:rFonts w:ascii="Times New Roman;Times;serif" w:hAnsi="Times New Roman;Times;serif"/>
          <w:sz w:val="20"/>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Genentech License Agreement, we will be eligible to receive up to a total of approximately $600.0 million in contingent payments, including specified development, regulatory and sales-based milestones, of which approximately $570.0 million remains as of June 30, 2026. We will also be eligible to receive tiered percentage royalties on a Genentech Licensed Product-by-Genentech Licensed Product basis ranging from low-double digits to mid-teens on annual net sales of each Genentech Licensed Product, subject to certain customary reductions, with an aggregate minimum floor, before fulfilling our upstream financial obligations. Royalties will be payable on a Genentech Licensed Product-by-Genentech Licensed Product and country-by-country basis until the latest to occur of the expiration of certain patents that cover a Genentech Licensed Product, the expiration of regulatory exclusivity for such Genentech Licensed Product, or the tenth anniversary of first commercial sale of such Genentech Licensed Product in such country.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 of goods sold includes production and distribution costs of ARCALYST, amortization of the $20.0 million payment we made to Regeneron in the first quarter of 2021 upon achievement of a regulatory milestone and other miscellaneous product costs associated with ARCALYST. Cost of goods sold also includes labor and overhead costs associated with the production of ARCALYST associated with supply chain, quality, and regulatory activities, and the technology transfer of the manufacturing process for ARCALYST.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Collaboration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Collaboration expenses consist of Regeneron’s share of the profit related to ARCALYST sales under the Regeneron Agreement and the cost of products sold under collaboration agreements. We evenly split profits on sales of ARCALYST with Regeneron, where profits are determined after deducting from net sales of ARCALYST certain costs related to the manufacturing and commercialization of ARCALYST. Such costs include but are not limited to (i) our cost of goods sold for product used, sold or otherwise distributed for patient use by us; (ii) customary commercialization expenses, including the cost of our field force, and (iii) our cost to market, advertise and otherwise promote ARCALYST, with such costs identified in subsection (iii) subject to specified limits. With respect to the technology transfer of ARCALYST drug substance manufacturing initiated by Regeneron in March 2023, to the extent permitted by the Regeneron Agreement, the fully-burdened costs of each of us and Regeneron incurred in performing such technology transfer shall also be deducted from net sales of ARCALYST to determine profit. We also evenly split with Regeneron any proceeds received by us from any licensees, sublicensees and distributors in consideration for the sale, license or other disposition of rights with respect to ARCALYST, including upfront payments, milestone payments and royalties.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in connection with the research and development of our product candidates. We expense research and development costs as incurred. These expenses may include:</w:t>
      </w:r>
    </w:p>
    <w:p>
      <w:pPr>
        <w:pStyle w:val="TextBody"/>
        <w:bidi w:val="0"/>
        <w:spacing w:before="0" w:after="0"/>
        <w:ind w:left="720" w:right="0" w:hanging="0"/>
        <w:jc w:val="left"/>
        <w:rPr/>
      </w:pPr>
      <w:r>
        <w:rPr/>
        <w:t>●</w:t>
      </w:r>
      <w:r>
        <w:rPr>
          <w:rFonts w:ascii="Times New Roman;Times;serif" w:hAnsi="Times New Roman;Times;serif"/>
          <w:sz w:val="20"/>
        </w:rPr>
        <w:t>expenses incurred to conduct the necessary preclinical studies and clinical trials required to obtain regulatory approval;</w:t>
      </w:r>
    </w:p>
    <w:p>
      <w:pPr>
        <w:pStyle w:val="TextBody"/>
        <w:bidi w:val="0"/>
        <w:ind w:left="720" w:right="0" w:hanging="0"/>
        <w:jc w:val="left"/>
        <w:rPr/>
      </w:pPr>
      <w:r>
        <w:rPr/>
        <w:t>●</w:t>
      </w:r>
      <w:r>
        <w:rPr>
          <w:rFonts w:ascii="Times New Roman;Times;serif" w:hAnsi="Times New Roman;Times;serif"/>
          <w:sz w:val="20"/>
        </w:rPr>
        <w:t>expenses incurred under agreements with contract research organizations (“CROs”) that are primarily engaged in the oversight and conduct of our clinical trials and CDMOs that are primarily engaged to provide preclinical and clinical drug substance and product for our research and development programs for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pPr>
      <w:r>
        <w:rPr/>
        <w:t>●</w:t>
      </w:r>
      <w:r>
        <w:rPr>
          <w:rFonts w:ascii="Times New Roman;Times;serif" w:hAnsi="Times New Roman;Times;serif"/>
          <w:sz w:val="20"/>
        </w:rPr>
        <w:t>other costs related to acquiring and manufacturing preclinical and clinical trial materials, including manufacturing validation batches, as well as investigative sites and consultants that conduct our clinical trials, preclinical studies and other scientific development services;</w:t>
      </w:r>
    </w:p>
    <w:p>
      <w:pPr>
        <w:pStyle w:val="TextBody"/>
        <w:bidi w:val="0"/>
        <w:spacing w:before="0" w:after="240"/>
        <w:ind w:left="720" w:right="0" w:hanging="0"/>
        <w:jc w:val="left"/>
        <w:rPr/>
      </w:pPr>
      <w:r>
        <w:rPr/>
        <w:t>●</w:t>
      </w:r>
      <w:r>
        <w:rPr>
          <w:rFonts w:ascii="Times New Roman;Times;serif" w:hAnsi="Times New Roman;Times;serif"/>
          <w:sz w:val="20"/>
        </w:rPr>
        <w:t>payments made in cash or equity securities under third party licensing, acquisition and other similar agreements;</w:t>
      </w:r>
    </w:p>
    <w:p>
      <w:pPr>
        <w:pStyle w:val="TextBody"/>
        <w:bidi w:val="0"/>
        <w:spacing w:before="0" w:after="240"/>
        <w:ind w:left="720" w:right="0" w:hanging="0"/>
        <w:jc w:val="left"/>
        <w:rPr/>
      </w:pPr>
      <w:r>
        <w:rPr/>
        <w:t>●</w:t>
      </w:r>
      <w:r>
        <w:rPr>
          <w:rFonts w:ascii="Times New Roman;Times;serif" w:hAnsi="Times New Roman;Times;serif"/>
          <w:sz w:val="20"/>
        </w:rPr>
        <w:t>employee-related expenses, including salaries and benefits, travel and share-based compensation expense for employees engaged in research and development functions;</w:t>
      </w:r>
    </w:p>
    <w:p>
      <w:pPr>
        <w:pStyle w:val="TextBody"/>
        <w:bidi w:val="0"/>
        <w:spacing w:before="0" w:after="240"/>
        <w:ind w:left="720" w:right="0" w:hanging="0"/>
        <w:jc w:val="left"/>
        <w:rPr/>
      </w:pPr>
      <w:r>
        <w:rPr/>
        <w:t>●</w:t>
      </w:r>
      <w:r>
        <w:rPr>
          <w:rFonts w:ascii="Times New Roman;Times;serif" w:hAnsi="Times New Roman;Times;serif"/>
          <w:sz w:val="20"/>
        </w:rPr>
        <w:t>costs related to compliance with regulatory requirements; and</w:t>
      </w:r>
    </w:p>
    <w:p>
      <w:pPr>
        <w:pStyle w:val="TextBody"/>
        <w:bidi w:val="0"/>
        <w:ind w:left="720" w:right="0" w:hanging="0"/>
        <w:jc w:val="left"/>
        <w:rPr/>
      </w:pPr>
      <w:r>
        <w:rPr/>
        <w:t>●</w:t>
      </w:r>
      <w:r>
        <w:rPr>
          <w:rFonts w:ascii="Times New Roman;Times;serif" w:hAnsi="Times New Roman;Times;serif"/>
          <w:sz w:val="20"/>
        </w:rPr>
        <w:t>allocated facilities-related costs, which include rent and utilities, depreciation and other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Nonrefundable advance payments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direct research and development expenses are tracked on a program-by-program basis for our product candidates and consist primarily of external costs, such as fees paid to outside consultants, CROs, CDMOs and research laboratories in connection with our preclinical development, process development, manufacturing and clinical development activities. Our direct research and development expenses by program also include fees incurred under license, acquisition and other similar agreements. We do not allocate employee costs or facility expenses,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and clinical development, process development and manufacturing clinical and preclinical materials.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activities are central to our business. Product candidates in later stages of clinical development generally have higher costs than those in earlier stages of clinical development, primarily due to the increased size and duration of later-stage clinical trials. As a result, we expect that our research and development expenses will be substantial over the next several years as we conduct our ongoing and/or planned clinical trials for our product candidates, as well as conduct other preclinical and clinical development, and make regulatory filings for our product candidates.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this time, we cannot reasonably estimate or know the nature, timing and costs of the efforts that will be necessary to complete the clinical development of our current or future product candidates or when, if ever, we will realize revenue from the sale of our current or future product candidates.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consist primarily of salaries and benefits, including share based compensation expense for personnel in selling, marketing, medical, executive, business development, finance, human resources, legal and support personnel functions. Selling, general and administrative expenses also include external commercialization, marketing, and professional fees for legal, patent, and accounting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that our selling, general and administrative expenses will continue to increase in the future as we continue to expand our infrastructure related to the commercialization of ARCALYST and our other product candidates, if approved.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income, net consists of interest income recognized from investments in money market funds, United States Treasury Securities and other miscellaneous income offset by expenses related to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income is subject to the enacted United Kingdom statutory corporate tax rate. Our wholly owned United States subsidiaries, including Kiniksa Pharmaceuticals Corp. (“Kiniksa US”), are subject to federal and state income taxes in the United States. Our wholly owned subsidiary Kiniksa Pharmaceuticals (UK), Ltd. (“Kiniksa UK”), its Swiss branch office, and Kiniksa UK’s wholly owned subsidiaries, including Kiniksa Pharmaceuticals, GmbH (“Kiniksa Switzerland”) are subject to taxation in their respective countries.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4, 2025, new U.S tax legislation was signed into law (known as the "One Big Beautiful Bill Act" or "OBBBA") which makes permanent many of the tax provisions enacted in 2017 as part of the Tax Cuts and Jobs Act that were set to expire at the end of 2025. The tax provisions of the legislation did not have a material impact on our operations.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2026 and 2025:</w:t>
      </w:r>
    </w:p>
    <w:tbl>
      <w:tblPr>
        <w:tblW w:w="6910" w:type="dxa"/>
        <w:jc w:val="left"/>
        <w:tblInd w:w="0" w:type="dxa"/>
        <w:tblLayout w:type="fixed"/>
        <w:tblCellMar>
          <w:top w:w="0" w:type="dxa"/>
          <w:left w:w="0" w:type="dxa"/>
          <w:bottom w:w="0" w:type="dxa"/>
          <w:right w:w="0" w:type="dxa"/>
        </w:tblCellMar>
      </w:tblPr>
      <w:tblGrid>
        <w:gridCol w:w="2956"/>
        <w:gridCol w:w="346"/>
        <w:gridCol w:w="211"/>
        <w:gridCol w:w="781"/>
        <w:gridCol w:w="346"/>
        <w:gridCol w:w="211"/>
        <w:gridCol w:w="781"/>
        <w:gridCol w:w="346"/>
        <w:gridCol w:w="211"/>
        <w:gridCol w:w="72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877060" cy="175260"/>
                      <wp:effectExtent l="0" t="0" r="0" b="0"/>
                      <wp:wrapNone/>
                      <wp:docPr id="285" name="Frame28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95935" cy="175260"/>
                      <wp:effectExtent l="0" t="0" r="0" b="0"/>
                      <wp:wrapNone/>
                      <wp:docPr id="288" name="Frame2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57835" cy="175260"/>
                      <wp:effectExtent l="0" t="0" r="0" b="0"/>
                      <wp:wrapNone/>
                      <wp:docPr id="294" name="Frame2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691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86,803</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86,803</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35,651</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22,146</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79,769</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8,268</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7,600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recognized net revenue from the sale of ARCALYST of $243.6 million for the three months ended June 30, 2026, compared to $156.8 million for the three months ended June 30, 2025, an increase of $86.8 million. The increase in product revenue was driven primarily by an increase in patients on therapy.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recognized cost of goods sold of $23.6 million for the three months ended June 30, 2026, compared to $18.6 million for the three months ended June 30, 2025, an increase of $5.0 million. The increase in cost of goods sold relates primarily to the increase in sales of ARCALYST partially offset by favorable production variances.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Collaboration expenses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Collaboration expenses were $88.1 million for the three months ended June 30, 2026, compared to $52.4 million for the three months ended June 30, 2025, an increase of $35.7 million. The increase in collaboration expenses relates primarily to increased revenue from sales of ARCALYST.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tbl>
      <w:tblPr>
        <w:tblW w:w="8230" w:type="dxa"/>
        <w:jc w:val="left"/>
        <w:tblInd w:w="0" w:type="dxa"/>
        <w:tblLayout w:type="fixed"/>
        <w:tblCellMar>
          <w:top w:w="0" w:type="dxa"/>
          <w:left w:w="0" w:type="dxa"/>
          <w:bottom w:w="0" w:type="dxa"/>
          <w:right w:w="0" w:type="dxa"/>
        </w:tblCellMar>
      </w:tblPr>
      <w:tblGrid>
        <w:gridCol w:w="4651"/>
        <w:gridCol w:w="346"/>
        <w:gridCol w:w="211"/>
        <w:gridCol w:w="676"/>
        <w:gridCol w:w="346"/>
        <w:gridCol w:w="211"/>
        <w:gridCol w:w="676"/>
        <w:gridCol w:w="109"/>
        <w:gridCol w:w="211"/>
        <w:gridCol w:w="793"/>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953385" cy="175260"/>
                      <wp:effectExtent l="0" t="0" r="0" b="0"/>
                      <wp:wrapNone/>
                      <wp:docPr id="295" name="Frame295"/>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9260" cy="175260"/>
                      <wp:effectExtent l="0" t="0" r="0" b="0"/>
                      <wp:wrapNone/>
                      <wp:docPr id="298" name="Frame2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301" name="Frame3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03555" cy="175260"/>
                      <wp:effectExtent l="0" t="0" r="0" b="0"/>
                      <wp:wrapNone/>
                      <wp:docPr id="304" name="Frame30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823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3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ARCALYST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KPL-387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12,957</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KPL-1161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Abiprubart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related (including 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7,334</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22,146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were $40.9 million for the three months ended June 30, 2026, compared to $18.8 million for the three months ended June 30, 2025, an increase of $22.1 million.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Direct costs for our KPL-387 program were $21.4 million during the three months ended June 30, 2026, compared to $8.5 million during the three months ended June 30, 2025. The increase in expenses incurred primarily related to the enrollment and continuation of our Phase 2/3 clinical trial in recurrent pericarditis and the start of the supplemental Phase 2 transition to KPL-387 monotherapy dosing and administration study during the three months ended June 30, 2026, as compared to the Phase 1 clinical trial in normal healthy volunteers and the start-up of our Phase 2/3 clinical trial during the three months ended June 30,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Direct costs for our KPL-1161 program were $0.8 million for the three months ended June 30, 2026, compared to $0.4 million during the three months ended June 30, 2025. For the three months ended June 30, 2026 and 2025, expenses incurred primarily related to pre-clinical development.</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Unallocated research and development expenses were $18.2 million and $9.1 million for the three months ended June 30, 2026 and June 30, 2025, respectively. The increase was primarily related to an increase in pre-clinical development expenses of $6.7 million during the three months ended June 30, 2026. Personnel-related costs for the three months ended June 30, 2026 and 2025 included share-based compensation of $2.5 million and $1.7 million,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expenses were $63.9 million for the three months ended June 30, 2026, compared to $46.9 million for the three months ended June 30, 2025. The increase of $17.0 million was primarily due to an increase of $9.6 million in personnel-related costs largely attributable to an increase in headcount and an increase in sales and marketing expenses of $4.8 million largely attributable to increased promotional activities, including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direct-to-consumer advertising campaign. Personnel-related costs for the three months ended June 30, 2026 and 2025 included share-based compensation of $8.5 million and $6.6 million,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income, net was $4.0 million and $2.7 million for the three months ended June 30, 2026 and June 30, 2025, respectively.</w:t>
      </w:r>
      <w:r>
        <w:rPr>
          <w:rFonts w:ascii="Times New Roman;Times;serif" w:hAnsi="Times New Roman;Times;serif"/>
          <w:sz w:val="20"/>
          <w:shd w:fill="FFFFFF" w:val="clear"/>
        </w:rPr>
        <w:t> The year-over-year increase was driven primarily by higher interest income generated by increased average holdings of cash, cash equivalents, and short-term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recorded an income tax provision of $5.7 million and $5.0 million for the three months ended June 30, 2026 and June 30, 2025, respectively. The provision for income taxes was driven primarily by income earned in Switzerland, UK and the United States as well as uncertain tax positions offset in part by tax benefits related to share-based compensation, United States federal and state research and development credits (“R&amp;D Credits”) and Foreign Derived Intangible Income (“FDII”) deduction. The increase in the provision for income taxes was driven primarily by an increase in taxable income partially offset by an increase in the tax benefits related to share-based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2026 and 2025:</w:t>
      </w:r>
    </w:p>
    <w:tbl>
      <w:tblPr>
        <w:tblW w:w="7045" w:type="dxa"/>
        <w:jc w:val="left"/>
        <w:tblInd w:w="0" w:type="dxa"/>
        <w:tblLayout w:type="fixed"/>
        <w:tblCellMar>
          <w:top w:w="0" w:type="dxa"/>
          <w:left w:w="0" w:type="dxa"/>
          <w:bottom w:w="0" w:type="dxa"/>
          <w:right w:w="0" w:type="dxa"/>
        </w:tblCellMar>
      </w:tblPr>
      <w:tblGrid>
        <w:gridCol w:w="2956"/>
        <w:gridCol w:w="346"/>
        <w:gridCol w:w="211"/>
        <w:gridCol w:w="796"/>
        <w:gridCol w:w="346"/>
        <w:gridCol w:w="211"/>
        <w:gridCol w:w="796"/>
        <w:gridCol w:w="346"/>
        <w:gridCol w:w="211"/>
        <w:gridCol w:w="82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877060" cy="175260"/>
                      <wp:effectExtent l="0" t="0" r="0" b="0"/>
                      <wp:wrapNone/>
                      <wp:docPr id="305" name="Frame30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05460" cy="175260"/>
                      <wp:effectExtent l="0" t="0" r="0" b="0"/>
                      <wp:wrapNone/>
                      <wp:docPr id="308" name="Frame3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05460" cy="175260"/>
                      <wp:effectExtent l="0" t="0" r="0" b="0"/>
                      <wp:wrapNone/>
                      <wp:docPr id="311" name="Frame3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24510" cy="175260"/>
                      <wp:effectExtent l="0" t="0" r="0" b="0"/>
                      <wp:wrapNone/>
                      <wp:docPr id="314" name="Frame3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04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4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294,582</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163,284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and collaboration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294,582</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163,284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7,897</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163,646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67,438</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30,296</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140,255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23,029</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21,653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recognized net revenue from the sale of ARCALYST of $457.9 million for the six months ended June 30, 2026, compared to $294.6 million for the six months ended June 30, 2025, an increase of $163.3 million. The increase in product revenue was primarily driven by an increase in patients on therapy.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recognized cost of goods sold of $44.4 million for the six months ended June 30, 2026, compared to $36.5 million for the six months ended June 30, 2025, an increase of $7.9 million. The increase in cost of goods sold relates primarily to the increase in sales of ARCALYST partially offset by favorable production variances.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Collaboration Expenses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Collaboration expenses were $163.6 million for the six months ended June 30, 2026, compared to $96.2 million for the six months ended June 30, 2025, an increase of $67.4 million. The increase in collaboration expenses relates primarily to increased revenue from sales of ARCALYST.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tbl>
      <w:tblPr>
        <w:tblW w:w="7993" w:type="dxa"/>
        <w:jc w:val="left"/>
        <w:tblInd w:w="0" w:type="dxa"/>
        <w:tblLayout w:type="fixed"/>
        <w:tblCellMar>
          <w:top w:w="0" w:type="dxa"/>
          <w:left w:w="0" w:type="dxa"/>
          <w:bottom w:w="0" w:type="dxa"/>
          <w:right w:w="0" w:type="dxa"/>
        </w:tblCellMar>
      </w:tblPr>
      <w:tblGrid>
        <w:gridCol w:w="4651"/>
        <w:gridCol w:w="109"/>
        <w:gridCol w:w="211"/>
        <w:gridCol w:w="676"/>
        <w:gridCol w:w="346"/>
        <w:gridCol w:w="211"/>
        <w:gridCol w:w="676"/>
        <w:gridCol w:w="109"/>
        <w:gridCol w:w="211"/>
        <w:gridCol w:w="793"/>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953385" cy="175260"/>
                      <wp:effectExtent l="0" t="0" r="0" b="0"/>
                      <wp:wrapNone/>
                      <wp:docPr id="315" name="Frame315"/>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29260" cy="175260"/>
                      <wp:effectExtent l="0" t="0" r="0" b="0"/>
                      <wp:wrapNone/>
                      <wp:docPr id="318" name="Frame3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29260" cy="175260"/>
                      <wp:effectExtent l="0" t="0" r="0" b="0"/>
                      <wp:wrapNone/>
                      <wp:docPr id="321" name="Frame3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03555" cy="175260"/>
                      <wp:effectExtent l="0" t="0" r="0" b="0"/>
                      <wp:wrapNone/>
                      <wp:docPr id="324" name="Frame32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99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ARCALYST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KPL-387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23,931</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KPL-1161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Abiprubart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related (including share-based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7,973</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30,296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were $68.4 million for the six months ended June 30, 2026, compared to $38.1 million for the six months ended June 30, 2025, an increase of $30.3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for our KPL-387 program were $37.6 million during the six months ended June 30, 2026, compared to $13.7 million during the six months ended June 30, 2025. The increase in expenses incurred primarily related to the enrollment and continuation of our Phase 2/3 clinical trial in recurrent pericarditis and the start of the supplemental Phase 2 transition to KPL-387 monotherapy dosing and administration study during the six months ended June 30, 2026, as compared to the Phase 1 clinical trial in normal healthy volunteers and the start-up of our Phase 2/3 clinical trial during the six months ended June 30,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for our KPL-1161 program were $1.7 million for the six months ended June 30, 2026, compared to $0.5 million during the six months ended June 30, 2025. For the six months ended June 30, 2026 and 2025, expenses incurred primarily related to pre-clinical development.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direct costs for our abiprubart program were $0.2 million during the six months ended June 30, 2026, compared to $5.0 million during the six months ended June 30, 2025, a decrease of $4.8 million. For the six months ended June 30, 2025, expenses incurred primarily related to the close-out of our Phase 2b clinical trial in Sjögren’s Disease and $2.5 million of termination expenses associated with cancelled manufacturing agreements.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Unallocated research and development expenses were $28.2 million for the six months ended June 30, 2026, compared to $18.4 million for the six months ended June 30, 2025. The increase was primarily related to an increase in pre-clinical development expenses of $6.6 million during the six months ended June 30, 2026. Personnel-related costs for the six months ended June 30, 2026 and 2025 included share-based compensation of $4.1 million and $3.2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were $125.0 million for the six months ended June 30, 2026, compared to $90.4 million for the six months ended June 30, 2025. The increase of $34.6 million was primarily due to an increase of $20.4 million in personnel-related costs largely attributable to an increase in headcount and an increase in sales and marketing costs of $10.0 million largely attributable to promotional activities, including our direct-to-consumer advertising campaign. Personnel-related costs for the six months ended June 30, 2026 and 2025 included share-based compensation of $16.4 million and $12.4 million,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recorded an income tax provision of $15.8 million and $12.1 million for the six months ended June 30, 2026 and June 30, 2025, respectively. The provision for income taxes was driven primarily by income earned in Switzerland, UK and the United States as well as uncertain tax positions offset in part by tax benefits related to share-based compensation, R&amp;D Credits and FDII deduction. The increase in the provision for income taxes was driven primarily by an increase in taxable income partially offset by an increase in the tax benefits related to share-based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our principal source of liquidity was cash, cash equivalents and short-term investments, which totaled $525.9 million. Net income was $48.0 million and $26.4 million for the six months ended June 30, 2026 and 2025, respectively. </w:t>
      </w:r>
      <w:r>
        <w:rPr>
          <w:rFonts w:ascii="Times New Roman;Times;serif" w:hAnsi="Times New Roman;Times;serif"/>
          <w:sz w:val="20"/>
          <w:shd w:fill="FFFFFF" w:val="clear"/>
        </w:rPr>
        <w:t>We expect our cash balance and our expected cash inflows from operations to allow us to meet our current operating plan.</w:t>
      </w:r>
      <w:r>
        <w:rPr>
          <w:rFonts w:ascii="Times New Roman;Times;serif" w:hAnsi="Times New Roman;Times;serif"/>
          <w:sz w:val="20"/>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various agreements with third parties, we have agreed to make milestone payments, pay royalties, pay annual maintenance fees and to meet due diligence requirements, each based upon specified events. Pursuant to the Regeneron Agreement, we have entered into a supply agreement with Regeneron to purchase both clinical and commercial product. We have committed to minimum payments to Regeneron of $51.0 million, all of which are due within one year. We have entered into lease agreements for office and laboratory space, and vehicles, with total future lease payments of $9.6 million, $4.4 million of which are due within one year. We are also party to a Master Services Agreement and a Product Specific Agreement with Samsung related to the manufacture of ARCALYST drug substance. Our commitments under such agreements, which includes the purchase of raw materials and related service fees, obligates us to minimum payments of $140.4 million, $53.1 million of which are due within one year. We have additionally entered into agreements with several CDMOs to provide us with preclinical and clinical trial materials for our non-ARCALYST assets, which obligate us to minimum payments of $14.5 million all of which are due within one year. We have long-term incentive plans for our employees that may result in cash award payments of $24.9 million, based upon the achievement of certain regulatory milestones, none of which are expected to be achieved in the next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various agreements with third parties, we are entitled to receive upfront payments, milestone payments, and royalties, each based upon specified milestones. In 2025, we received a $20.0 million milestone payment related to Huadong’s achievement of a regulatory milestone under the Huadong Collaboration Agreement, $10.0 million of which was paid to Regeneron in 2025 as part of the Regeneron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agreements impact our short-term and long-term liquidity and capital needs.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each of the periods presented:</w:t>
      </w:r>
    </w:p>
    <w:tbl>
      <w:tblPr>
        <w:tblW w:w="6322" w:type="dxa"/>
        <w:jc w:val="left"/>
        <w:tblInd w:w="0" w:type="dxa"/>
        <w:tblLayout w:type="fixed"/>
        <w:tblCellMar>
          <w:top w:w="0" w:type="dxa"/>
          <w:left w:w="0" w:type="dxa"/>
          <w:bottom w:w="0" w:type="dxa"/>
          <w:right w:w="0" w:type="dxa"/>
        </w:tblCellMar>
      </w:tblPr>
      <w:tblGrid>
        <w:gridCol w:w="3466"/>
        <w:gridCol w:w="346"/>
        <w:gridCol w:w="211"/>
        <w:gridCol w:w="901"/>
        <w:gridCol w:w="346"/>
        <w:gridCol w:w="211"/>
        <w:gridCol w:w="841"/>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00910" cy="175260"/>
                      <wp:effectExtent l="0" t="0" r="0" b="0"/>
                      <wp:wrapNone/>
                      <wp:docPr id="325" name="Frame325"/>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72135" cy="175260"/>
                      <wp:effectExtent l="0" t="0" r="0" b="0"/>
                      <wp:wrapNone/>
                      <wp:docPr id="328" name="Frame32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34035" cy="175260"/>
                      <wp:effectExtent l="0" t="0" r="0" b="0"/>
                      <wp:wrapNone/>
                      <wp:docPr id="331" name="Frame33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2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8,456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Operating Activities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operations was $97.4 million and $50.4 million for the six months ended June 30, 2026 and 2025, respectively. The increase in cash provided by operating activities is primarily due to an increase in net contribution from higher ARCALYST sales.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cash used in investing activities was $105.5 million and $55.4 million for the six months ended June 30, 2026 and 2025, respectively. The increase in net cash used in investing activities was driven by managing our cash and short-term investment portfolio mix as we deployed higher levels of cash into Treasury Securities with longer-terms.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2026 and 2025, net cash provided by financing activities was $18.2 million and $13.5 million, respectively, consisting of proceeds from the exercise of share options offset by payments in connection with ordinary shares tendered for employee tax obligations.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expect to incur significant expenses in connection with our ongoing and planned activities as we continue to commercialize ARCALYST and advance our current and future product candidates through preclinical and clinical development, seek regulatory approval and commercialize one or more of our current or future product candidates, if approved. We may also incur expenses in connection with collaboration, licensing or other strategic transactions. Further, we may incur expenses related to milestone, royalty and other payments payable to third parties with whom we have entered into license, acquisition and other similar agreements to acquire the rights to our product candidates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our existing cash, cash equivalents and short-term investments will enable us to fund our operating expenses and capital expenditure requirements for at least the next 12 months. The future viability of our company is dependent on our ability to fund our operations through sales of ARCALYST and/or raise additional capital, such as through debt or equity offerings, as needed. We anticipate that we may require additional capital if we choose to pursue collaboration, licensing or other strategic transactions. We expect to continue to incur significant expenses related to product manufacturing, sales, marketing and distribution of ARCALYST. In addition, if we obtain regulatory approval for any of our current or future product candidates, pursue additional indications or additional territories for our products or any of our current or future product candidates, we expect to incur significant expenses related to product development and manufacturing, sales, marketing and distribution, depending on where we choose to commercialize.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Because of the numerous risks and uncertainties associated with research, development and commercialization of biologic products, we are unable to estimate the exact amount of our working capital requirements. Our future funding requirements may be impacted by a number of factors, including those described in Part I, Item 1A of the Annual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Report, as updated by any information appearing in Part II, Item 1A of any of our subsequent Quarterly Reports on Form 10-Q, including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described under the heading “Management’s Discussion and Analysis of Financial Condition and Results of Operations—Critical Accounting Policies and Significant Judgments and Estimates” in the Annual Report and the notes to the consolidated financial statements included in Item 1, “Financial Statements (Unaudited)” included in this Quarterly Report. We believe that of our critical accounting policies, the following accounting policies involve the most judgment and complexity:</w:t>
      </w:r>
    </w:p>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 expenses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positions; and</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realizability of deferred tax assets.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33" w:name="Item3QuantitativeandQualitativeDisclosur"/>
      <w:bookmarkStart w:id="1134" w:name="_6a91b93a_0a0a_47ac_a9a8_6e565395088b"/>
      <w:bookmarkEnd w:id="1133"/>
      <w:bookmarkEnd w:id="1134"/>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exposed to market risks in the ordinary course of our business. These risks primarily include interest rate sensitivities related to our short-term investments. There were no material changes to our quantitative and qualitative disclosures about market risk related to our investment activities during the six months ended June 30, 2026 as disclosed in “Item 7A. Quantitative and Qualitative Disclosures About Market Risks” of the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35" w:name="Item4ControlsandProcedures_73951"/>
      <w:bookmarkStart w:id="1136" w:name="_fdb4b8d5_5cb8_4902_8d5c_d6c2217a0135"/>
      <w:bookmarkEnd w:id="1135"/>
      <w:bookmarkEnd w:id="1136"/>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Effectiveness of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Securities Exchange Act of 1934, as amended (the “Exchange Act”)). Based on that evaluation, our principal executive officer and principal financial officer concluded that our disclosure controls and procedures were effective at the reasonable assurance level as of June 30,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Rules 13a-15(f) and 15d-15(f) under the Exchange Act) during the three months ended June 30, 2026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37" w:name="PARTIIOTHERINFORMATION_115360"/>
      <w:bookmarkEnd w:id="113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138" w:name="Item1LegalProceedings_791855"/>
      <w:bookmarkStart w:id="1139" w:name="_5850993c_495d_4c04_8782_407c6d4c81f1"/>
      <w:bookmarkEnd w:id="1138"/>
      <w:bookmarkEnd w:id="1139"/>
      <w:r>
        <w:rPr>
          <w:rFonts w:ascii="Times New Roman;Times;serif" w:hAnsi="Times New Roman;Times;serif"/>
          <w:b/>
          <w:sz w:val="20"/>
        </w:rPr>
        <w:t>Item 1.        Legal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We are not party to any material legal proceedings</w:t>
      </w:r>
      <w:r>
        <w:rPr>
          <w:rFonts w:ascii="Times New Roman;Times;serif" w:hAnsi="Times New Roman;Times;serif"/>
          <w:sz w:val="20"/>
        </w:rPr>
        <w:t xml:space="preserve">. </w:t>
      </w:r>
    </w:p>
    <w:p>
      <w:pPr>
        <w:pStyle w:val="TextBody"/>
        <w:bidi w:val="0"/>
        <w:spacing w:before="0" w:after="0"/>
        <w:ind w:left="0" w:right="0" w:hanging="0"/>
        <w:jc w:val="left"/>
        <w:rPr/>
      </w:pPr>
      <w:bookmarkStart w:id="1140" w:name="Item1A_RiskFactors__075224"/>
      <w:bookmarkEnd w:id="1140"/>
      <w:r>
        <w:rPr/>
        <w:t>​</w:t>
      </w:r>
    </w:p>
    <w:p>
      <w:pPr>
        <w:pStyle w:val="TextBody"/>
        <w:bidi w:val="0"/>
        <w:spacing w:before="0" w:after="0"/>
        <w:ind w:left="0" w:right="0" w:hanging="0"/>
        <w:jc w:val="left"/>
        <w:rPr>
          <w:rFonts w:ascii="Times New Roman;Times;serif" w:hAnsi="Times New Roman;Times;serif"/>
          <w:sz w:val="20"/>
        </w:rPr>
      </w:pPr>
      <w:bookmarkStart w:id="1141" w:name="Risk_Factors"/>
      <w:bookmarkStart w:id="1142" w:name="ITEM1ARISKFACTORS_731380"/>
      <w:bookmarkStart w:id="1143" w:name="_12a07b23_382d_47e1_b79d_dd243b2178f4"/>
      <w:bookmarkEnd w:id="1141"/>
      <w:bookmarkEnd w:id="1142"/>
      <w:bookmarkEnd w:id="1143"/>
      <w:r>
        <w:rPr>
          <w:rFonts w:ascii="Times New Roman;Times;serif" w:hAnsi="Times New Roman;Times;serif"/>
          <w:b/>
          <w:i w:val="false"/>
          <w:caps w:val="false"/>
          <w:smallCaps w:val="false"/>
          <w:color w:val="262626"/>
          <w:sz w:val="20"/>
        </w:rPr>
        <w:t>Item 1A.</w:t>
      </w:r>
      <w:r>
        <w:rPr>
          <w:rFonts w:ascii="Times New Roman;Times;serif" w:hAnsi="Times New Roman;Times;serif"/>
          <w:b/>
          <w:sz w:val="20"/>
        </w:rPr>
        <w:t>Risk Factors.</w:t>
      </w:r>
      <w:r>
        <w:rPr>
          <w:rFonts w:ascii="Times New Roman;Times;serif" w:hAnsi="Times New Roman;Times;serif"/>
          <w:color w:val="262626"/>
          <w:sz w:val="20"/>
        </w:rPr>
        <w:t xml:space="preserve"> </w:t>
      </w:r>
    </w:p>
    <w:p>
      <w:pPr>
        <w:pStyle w:val="TextBody"/>
        <w:bidi w:val="0"/>
        <w:spacing w:before="0" w:after="0"/>
        <w:ind w:left="0" w:right="0" w:hanging="0"/>
        <w:jc w:val="left"/>
        <w:rPr>
          <w:color w:val="262626"/>
        </w:rPr>
      </w:pPr>
      <w:r>
        <w:rPr>
          <w:color w:val="262626"/>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information discussed elsewhere in this Quarterly Report, you should carefully review and consider the risk factors disclosed in Part I, Item 1A of the Annual Report, as updated by any information appearing in Part II, Item 1A of any of our subsequent Quarterly Reports on Form 10-Q. These risks could materially and adversely affect our business, results of operations, financial condition and prospects. The risks and uncertainties described therein are not the only ones we face. Additional risks and uncertainties not currently known to us or that we deem immaterial also may impair our business, results of operations, financial condition and prospects.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44" w:name="Item2UnregisteredSalesofEquitySecurities"/>
      <w:bookmarkStart w:id="1145" w:name="_f6c3454e_12e6_488a_8c1d_8b5cfdd7eb05"/>
      <w:bookmarkEnd w:id="1144"/>
      <w:bookmarkEnd w:id="1145"/>
      <w:r>
        <w:rPr>
          <w:rFonts w:ascii="Times New Roman;Times;serif" w:hAnsi="Times New Roman;Times;serif"/>
          <w:b/>
          <w:sz w:val="20"/>
        </w:rPr>
        <w:t>Item 2. Unregistered Sales of Equity Securities, Use of Proceeds</w:t>
      </w:r>
      <w:r>
        <w:rPr>
          <w:rFonts w:ascii="Times New Roman;Times;serif" w:hAnsi="Times New Roman;Times;serif"/>
          <w:sz w:val="20"/>
        </w:rPr>
        <w:t xml:space="preserve"> </w:t>
      </w:r>
      <w:r>
        <w:rPr>
          <w:rFonts w:ascii="Times New Roman;Times;serif" w:hAnsi="Times New Roman;Times;serif"/>
          <w:b/>
          <w:sz w:val="20"/>
        </w:rPr>
        <w:t>and Issuer Purchases of Equity Securities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6" w:name="Item3DefaultsUponSeniorSecurities_443955"/>
      <w:bookmarkStart w:id="1147" w:name="_462ad5a1_0a21_44b0_ab8f_a9009748cfb8"/>
      <w:bookmarkEnd w:id="1146"/>
      <w:bookmarkEnd w:id="1147"/>
      <w:r>
        <w:rPr>
          <w:rFonts w:ascii="Times New Roman;Times;serif" w:hAnsi="Times New Roman;Times;serif"/>
          <w:b/>
          <w:sz w:val="20"/>
        </w:rPr>
        <w:t>Item 3. Defaults Upon Senior Securities.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8" w:name="Item4MineSafetyDisclosures_69924"/>
      <w:bookmarkStart w:id="1149" w:name="_a0491bf7_6d46_49d5_b34e_75e0173ddb77"/>
      <w:bookmarkEnd w:id="1148"/>
      <w:bookmarkEnd w:id="1149"/>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0" w:name="Item5OtherInformation_655701"/>
      <w:bookmarkStart w:id="1151" w:name="_4d5c8954_31f8_4318_adb0_9c80b1a9c5dd"/>
      <w:bookmarkEnd w:id="1150"/>
      <w:bookmarkEnd w:id="1151"/>
      <w:r>
        <w:rPr>
          <w:rFonts w:ascii="Times New Roman;Times;serif" w:hAnsi="Times New Roman;Times;serif"/>
          <w:b/>
          <w:sz w:val="20"/>
        </w:rPr>
        <w:t>Item 5. Other Information.</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Trading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fiscal quarter ended June 30, 2026, none of our directors or officers (as defined in Rule 16a-1(f) under the Exchange Act) adopted or terminated a “Rule 10b5-1 trading arrangement” or a “non-Rule 10b5-1 trading arrangement” as such terms are defined under Item 408 of Regulation S-K.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5"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2" w:name="Item6Exhibits_424431"/>
      <w:bookmarkStart w:id="1153" w:name="_25df1d43_3e4e_4a0f_a884_fe24fa744fc7"/>
      <w:bookmarkEnd w:id="1152"/>
      <w:bookmarkEnd w:id="1153"/>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29"/>
        <w:gridCol w:w="346"/>
        <w:gridCol w:w="4105"/>
        <w:gridCol w:w="346"/>
        <w:gridCol w:w="511"/>
        <w:gridCol w:w="346"/>
        <w:gridCol w:w="722"/>
        <w:gridCol w:w="346"/>
        <w:gridCol w:w="631"/>
        <w:gridCol w:w="346"/>
        <w:gridCol w:w="557"/>
        <w:gridCol w:w="346"/>
        <w:gridCol w:w="874"/>
      </w:tblGrid>
      <w:tr>
        <w:trPr/>
        <w:tc>
          <w:tcPr>
            <w:tcW w:w="72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1140" cy="29210"/>
                      <wp:effectExtent l="0" t="0" r="0" b="0"/>
                      <wp:wrapNone/>
                      <wp:docPr id="332" name="Frame332"/>
                      <a:graphic xmlns:a="http://schemas.openxmlformats.org/drawingml/2006/main">
                        <a:graphicData uri="http://schemas.microsoft.com/office/word/2010/wordprocessingShape">
                          <wps:wsp>
                            <wps:cNvSpPr txBox="1"/>
                            <wps:spPr>
                              <a:xfrm>
                                <a:off x="0" y="0"/>
                                <a:ext cx="2311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09855" cy="29210"/>
                      <wp:effectExtent l="0" t="0" r="0" b="0"/>
                      <wp:wrapNone/>
                      <wp:docPr id="333" name="Frame333"/>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10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03020" cy="29210"/>
                      <wp:effectExtent l="0" t="0" r="0" b="0"/>
                      <wp:wrapNone/>
                      <wp:docPr id="334" name="Frame334"/>
                      <a:graphic xmlns:a="http://schemas.openxmlformats.org/drawingml/2006/main">
                        <a:graphicData uri="http://schemas.microsoft.com/office/word/2010/wordprocessingShape">
                          <wps:wsp>
                            <wps:cNvSpPr txBox="1"/>
                            <wps:spPr>
                              <a:xfrm>
                                <a:off x="0" y="0"/>
                                <a:ext cx="13030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09855" cy="29210"/>
                      <wp:effectExtent l="0" t="0" r="0" b="0"/>
                      <wp:wrapNone/>
                      <wp:docPr id="335" name="Frame335"/>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61925" cy="29210"/>
                      <wp:effectExtent l="0" t="0" r="0" b="0"/>
                      <wp:wrapNone/>
                      <wp:docPr id="336" name="Frame336"/>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09855" cy="29210"/>
                      <wp:effectExtent l="0" t="0" r="0" b="0"/>
                      <wp:wrapNone/>
                      <wp:docPr id="337" name="Frame337"/>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29235" cy="29210"/>
                      <wp:effectExtent l="0" t="0" r="0" b="0"/>
                      <wp:wrapNone/>
                      <wp:docPr id="338" name="Frame338"/>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09855" cy="29210"/>
                      <wp:effectExtent l="0" t="0" r="0" b="0"/>
                      <wp:wrapNone/>
                      <wp:docPr id="339" name="Frame339"/>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0025" cy="29210"/>
                      <wp:effectExtent l="0" t="0" r="0" b="0"/>
                      <wp:wrapNone/>
                      <wp:docPr id="340" name="Frame340"/>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09855" cy="29210"/>
                      <wp:effectExtent l="0" t="0" r="0" b="0"/>
                      <wp:wrapNone/>
                      <wp:docPr id="341" name="Frame341"/>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76530" cy="29210"/>
                      <wp:effectExtent l="0" t="0" r="0" b="0"/>
                      <wp:wrapNone/>
                      <wp:docPr id="342" name="Frame342"/>
                      <a:graphic xmlns:a="http://schemas.openxmlformats.org/drawingml/2006/main">
                        <a:graphicData uri="http://schemas.microsoft.com/office/word/2010/wordprocessingShape">
                          <wps:wsp>
                            <wps:cNvSpPr txBox="1"/>
                            <wps:spPr>
                              <a:xfrm>
                                <a:off x="0" y="0"/>
                                <a:ext cx="1765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09855" cy="29210"/>
                      <wp:effectExtent l="0" t="0" r="0" b="0"/>
                      <wp:wrapNone/>
                      <wp:docPr id="343" name="Frame343"/>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77495" cy="29210"/>
                      <wp:effectExtent l="0" t="0" r="0" b="0"/>
                      <wp:wrapNone/>
                      <wp:docPr id="344" name="Frame344"/>
                      <a:graphic xmlns:a="http://schemas.openxmlformats.org/drawingml/2006/main">
                        <a:graphicData uri="http://schemas.microsoft.com/office/word/2010/wordprocessingShape">
                          <wps:wsp>
                            <wps:cNvSpPr txBox="1"/>
                            <wps:spPr>
                              <a:xfrm>
                                <a:off x="0" y="0"/>
                                <a:ext cx="2774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29"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center"/>
              <w:rPr/>
            </w:pPr>
            <w:r>
              <w:rPr/>
              <w:t>​</w:t>
            </w:r>
          </w:p>
        </w:tc>
        <w:tc>
          <w:tcPr>
            <w:tcW w:w="4105"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center"/>
              <w:rPr/>
            </w:pPr>
            <w:r>
              <w:rPr/>
              <w:t>​</w:t>
            </w:r>
          </w:p>
        </w:tc>
        <w:tc>
          <w:tcPr>
            <w:tcW w:w="4679" w:type="dxa"/>
            <w:gridSpan w:val="9"/>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729"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4105"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2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57"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Filing</w:t>
            </w:r>
            <w:r>
              <w:rPr>
                <w:rFonts w:ascii="Times New Roman;Times;serif" w:hAnsi="Times New Roman;Times;serif"/>
                <w:b w:val="false"/>
                <w:sz w:val="16"/>
              </w:rPr>
              <w:br/>
            </w:r>
            <w:r>
              <w:rPr>
                <w:rFonts w:ascii="Times New Roman;Times;serif" w:hAnsi="Times New Roman;Times;serif"/>
                <w:b/>
                <w:sz w:val="16"/>
              </w:rPr>
              <w:t>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7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Filed/</w:t>
            </w:r>
            <w:r>
              <w:rPr>
                <w:rFonts w:ascii="Times New Roman;Times;serif" w:hAnsi="Times New Roman;Times;serif"/>
                <w:b w:val="false"/>
                <w:sz w:val="16"/>
              </w:rPr>
              <w:br/>
            </w:r>
            <w:r>
              <w:rPr>
                <w:rFonts w:ascii="Times New Roman;Times;serif" w:hAnsi="Times New Roman;Times;serif"/>
                <w:b/>
                <w:sz w:val="16"/>
              </w:rPr>
              <w:t>Furnished</w:t>
            </w:r>
            <w:r>
              <w:rPr>
                <w:rFonts w:ascii="Times New Roman;Times;serif" w:hAnsi="Times New Roman;Times;serif"/>
                <w:b w:val="false"/>
                <w:sz w:val="16"/>
              </w:rPr>
              <w:br/>
            </w:r>
            <w:r>
              <w:rPr>
                <w:rFonts w:ascii="Times New Roman;Times;serif" w:hAnsi="Times New Roman;Times;serif"/>
                <w:b/>
                <w:sz w:val="16"/>
              </w:rPr>
              <w:t>Herewith</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hyperlink w:anchor="knsa-20260630xex10d1.htm">
              <w:r>
                <w:rPr>
                  <w:rStyle w:val="InternetLink"/>
                  <w:rFonts w:ascii="Times New Roman;Times;serif" w:hAnsi="Times New Roman;Times;serif"/>
                  <w:b w:val="false"/>
                  <w:i w:val="false"/>
                  <w:caps w:val="false"/>
                  <w:smallCaps w:val="false"/>
                  <w:sz w:val="20"/>
                </w:rPr>
                <w:t>Employment Agreement, effective as of June 29, 2026, by and between Kiniksa Pharmaceuticals Corp. and Dhiraj Malkani</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hyperlink w:anchor="knsa-20260630xex10d2.htm">
              <w:r>
                <w:rPr>
                  <w:rStyle w:val="InternetLink"/>
                  <w:rFonts w:ascii="Times New Roman;Times;serif" w:hAnsi="Times New Roman;Times;serif"/>
                  <w:b w:val="false"/>
                  <w:i w:val="false"/>
                  <w:caps w:val="false"/>
                  <w:smallCaps w:val="false"/>
                  <w:sz w:val="20"/>
                </w:rPr>
                <w:t>Consulting Agreement, effective as of May 15, 2026, by and between Kiniksa Pharmaceuticals, GmbH and Eben Tessari</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Deed of Waiver, dated as of May 21, 2026, by and among the Company and Baker Bros. Advisors LP</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001-38492</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5/26/26</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hyperlink w:anchor="knsa-20260630xex31d1.htm">
              <w:r>
                <w:rPr>
                  <w:rStyle w:val="InternetLink"/>
                  <w:rFonts w:ascii="Times New Roman;Times;serif" w:hAnsi="Times New Roman;Times;serif"/>
                  <w:b w:val="false"/>
                  <w:i w:val="false"/>
                  <w:caps w:val="false"/>
                  <w:smallCaps w:val="false"/>
                  <w:sz w:val="20"/>
                </w:rPr>
                <w:t>Rule 13a-14(a) / 15d-14(a) Certification of Chief Executive Officer</w:t>
              </w:r>
            </w:hyperlink>
            <w:hyperlink w:anchor="knsa-20260630xex31d1.htm">
              <w:r>
                <w:rPr>
                  <w:rStyle w:val="InternetLink"/>
                  <w:rFonts w:ascii="Times New Roman;Times;serif" w:hAnsi="Times New Roman;Times;serif"/>
                  <w:caps w:val="false"/>
                  <w:smallCaps w:val="false"/>
                  <w:sz w:val="20"/>
                </w:rPr>
                <w:t xml:space="preserve">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hyperlink w:anchor="knsa-20260630xex31d2.htm">
              <w:r>
                <w:rPr>
                  <w:rStyle w:val="InternetLink"/>
                  <w:rFonts w:ascii="Times New Roman;Times;serif" w:hAnsi="Times New Roman;Times;serif"/>
                  <w:b w:val="false"/>
                  <w:i w:val="false"/>
                  <w:caps w:val="false"/>
                  <w:smallCaps w:val="false"/>
                  <w:sz w:val="20"/>
                </w:rPr>
                <w:t>Rule 13a-14(a) / 15d-14(a) Certification of Chief Financial Officer</w:t>
              </w:r>
            </w:hyperlink>
            <w:hyperlink w:anchor="knsa-20260630xex31d2.htm">
              <w:r>
                <w:rPr>
                  <w:rStyle w:val="InternetLink"/>
                  <w:rFonts w:ascii="Times New Roman;Times;serif" w:hAnsi="Times New Roman;Times;serif"/>
                  <w:caps w:val="false"/>
                  <w:smallCaps w:val="false"/>
                  <w:sz w:val="20"/>
                </w:rPr>
                <w:t xml:space="preserve">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hyperlink w:anchor="knsa-20260630xex32d1.htm">
              <w:r>
                <w:rPr>
                  <w:rStyle w:val="InternetLink"/>
                  <w:rFonts w:ascii="Times New Roman;Times;serif" w:hAnsi="Times New Roman;Times;serif"/>
                  <w:b w:val="false"/>
                  <w:i w:val="false"/>
                  <w:caps w:val="false"/>
                  <w:smallCaps w:val="false"/>
                  <w:sz w:val="20"/>
                </w:rPr>
                <w:t xml:space="preserve">Section 1350 Certification of Chief Executive Officer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hyperlink w:anchor="knsa-20260630xex32d2.htm">
              <w:r>
                <w:rPr>
                  <w:rStyle w:val="InternetLink"/>
                  <w:rFonts w:ascii="Times New Roman;Times;serif" w:hAnsi="Times New Roman;Times;serif"/>
                  <w:b w:val="false"/>
                  <w:i w:val="false"/>
                  <w:caps w:val="false"/>
                  <w:smallCaps w:val="false"/>
                  <w:sz w:val="20"/>
                </w:rPr>
                <w:t xml:space="preserve">Section 1350 Certification of Chief Financial Officer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4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 - The cover page interactive data file does not appear in the Interactive Data File because its XBRL tags are embedded within the Inline XBRL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42" w:type="dxa"/>
        <w:jc w:val="left"/>
        <w:tblInd w:w="0" w:type="dxa"/>
        <w:tblLayout w:type="fixed"/>
        <w:tblCellMar>
          <w:top w:w="0" w:type="dxa"/>
          <w:left w:w="0" w:type="dxa"/>
          <w:bottom w:w="0" w:type="dxa"/>
          <w:right w:w="0" w:type="dxa"/>
        </w:tblCellMar>
      </w:tblPr>
      <w:tblGrid>
        <w:gridCol w:w="331"/>
        <w:gridCol w:w="1711"/>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tbl>
      <w:tblPr>
        <w:tblW w:w="3347" w:type="dxa"/>
        <w:jc w:val="left"/>
        <w:tblInd w:w="0" w:type="dxa"/>
        <w:tblLayout w:type="fixed"/>
        <w:tblCellMar>
          <w:top w:w="0" w:type="dxa"/>
          <w:left w:w="0" w:type="dxa"/>
          <w:bottom w:w="0" w:type="dxa"/>
          <w:right w:w="0" w:type="dxa"/>
        </w:tblCellMar>
      </w:tblPr>
      <w:tblGrid>
        <w:gridCol w:w="436"/>
        <w:gridCol w:w="2911"/>
      </w:tblGrid>
      <w:tr>
        <w:trPr/>
        <w:tc>
          <w:tcPr>
            <w:tcW w:w="43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Submitted electronically herewith</w:t>
            </w:r>
          </w:p>
        </w:tc>
      </w:tr>
    </w:tbl>
    <w:tbl>
      <w:tblPr>
        <w:tblW w:w="4697" w:type="dxa"/>
        <w:jc w:val="left"/>
        <w:tblInd w:w="0" w:type="dxa"/>
        <w:tblLayout w:type="fixed"/>
        <w:tblCellMar>
          <w:top w:w="0" w:type="dxa"/>
          <w:left w:w="0" w:type="dxa"/>
          <w:bottom w:w="0" w:type="dxa"/>
          <w:right w:w="0" w:type="dxa"/>
        </w:tblCellMar>
      </w:tblPr>
      <w:tblGrid>
        <w:gridCol w:w="226"/>
        <w:gridCol w:w="447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47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management contract or compensatory plan</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pPr>
      <w:r>
        <w:rPr/>
        <w:t>​</w:t>
      </w:r>
    </w:p>
    <w:p>
      <w:pPr>
        <w:pStyle w:val="TextBody"/>
        <w:bidi w:val="0"/>
        <w:spacing w:before="0" w:after="240"/>
        <w:ind w:left="0" w:right="0" w:hanging="0"/>
        <w:jc w:val="center"/>
        <w:rPr>
          <w:rFonts w:ascii="Times New Roman;Times;serif" w:hAnsi="Times New Roman;Times;serif"/>
          <w:b/>
          <w:sz w:val="20"/>
        </w:rPr>
      </w:pPr>
      <w:bookmarkStart w:id="1154" w:name="SIGNATURES_66347"/>
      <w:bookmarkStart w:id="1155" w:name="_715e541d_4c0c_4f3b_895c_92ccfe4bf9f5"/>
      <w:bookmarkEnd w:id="1154"/>
      <w:bookmarkEnd w:id="1155"/>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886" w:type="dxa"/>
        <w:jc w:val="left"/>
        <w:tblInd w:w="0" w:type="dxa"/>
        <w:tblLayout w:type="fixed"/>
        <w:tblCellMar>
          <w:top w:w="0" w:type="dxa"/>
          <w:left w:w="0" w:type="dxa"/>
          <w:bottom w:w="0" w:type="dxa"/>
          <w:right w:w="0" w:type="dxa"/>
        </w:tblCellMar>
      </w:tblPr>
      <w:tblGrid>
        <w:gridCol w:w="1711"/>
        <w:gridCol w:w="433"/>
        <w:gridCol w:w="4742"/>
      </w:tblGrid>
      <w:tr>
        <w:trPr/>
        <w:tc>
          <w:tcPr>
            <w:tcW w:w="1711" w:type="dxa"/>
            <w:tcBorders/>
            <w:vAlign w:val="center"/>
          </w:tcPr>
          <w:p>
            <w:pPr>
              <w:pStyle w:val="TableContents"/>
              <w:bidi w:val="0"/>
              <w:spacing w:before="0" w:after="0"/>
              <w:ind w:left="0" w:right="0" w:hanging="0"/>
              <w:jc w:val="left"/>
              <w:rPr/>
            </w:pPr>
            <w:r>
              <w:rPr/>
              <w:t>​</w:t>
            </w:r>
          </w:p>
        </w:tc>
        <w:tc>
          <w:tcPr>
            <w:tcW w:w="51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KINIKSA PHARMACEUTICALS INTERNATIONAL, PLC</w:t>
            </w:r>
          </w:p>
        </w:tc>
      </w:tr>
      <w:tr>
        <w:trPr/>
        <w:tc>
          <w:tcPr>
            <w:tcW w:w="1711"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left"/>
              <w:rPr/>
            </w:pPr>
            <w:r>
              <w:rPr/>
              <w:t>​</w:t>
            </w:r>
          </w:p>
        </w:tc>
        <w:tc>
          <w:tcPr>
            <w:tcW w:w="4742"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28, 2026</w:t>
            </w:r>
          </w:p>
        </w:tc>
        <w:tc>
          <w:tcPr>
            <w:tcW w:w="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Ragosa</w:t>
            </w:r>
          </w:p>
        </w:tc>
      </w:tr>
      <w:tr>
        <w:trPr/>
        <w:tc>
          <w:tcPr>
            <w:tcW w:w="1711"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left"/>
              <w:rPr/>
            </w:pPr>
            <w:r>
              <w:rPr/>
              <w:t>​</w:t>
            </w:r>
          </w:p>
        </w:tc>
        <w:tc>
          <w:tcPr>
            <w:tcW w:w="4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Ragosa</w:t>
            </w:r>
          </w:p>
        </w:tc>
      </w:tr>
      <w:tr>
        <w:trPr/>
        <w:tc>
          <w:tcPr>
            <w:tcW w:w="1711"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left"/>
              <w:rPr/>
            </w:pPr>
            <w:r>
              <w:rPr/>
              <w:t>​</w:t>
            </w:r>
          </w:p>
        </w:tc>
        <w:tc>
          <w:tcPr>
            <w:tcW w:w="4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0"/>
        <w:ind w:left="0" w:right="0" w:hanging="0"/>
        <w:jc w:val="right"/>
        <w:rPr>
          <w:rFonts w:ascii="Times New Roman;Times;serif" w:hAnsi="Times New Roman;Times;serif"/>
          <w:sz w:val="24"/>
        </w:rPr>
      </w:pPr>
      <w:bookmarkStart w:id="1156" w:name="knsa-20260630xex10d1.htm"/>
      <w:bookmarkStart w:id="1157" w:name="ksknsa20260630xex10d1"/>
      <w:bookmarkEnd w:id="1156"/>
      <w:bookmarkEnd w:id="1157"/>
      <w:r>
        <w:rPr>
          <w:rFonts w:ascii="Times New Roman;Times;serif" w:hAnsi="Times New Roman;Times;serif"/>
          <w:sz w:val="24"/>
        </w:rPr>
        <w:t>Exhibit 10.1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3"/>
        </w:rPr>
      </w:pPr>
      <w:r>
        <w:rPr>
          <w:rFonts w:ascii="Times New Roman;Times;serif" w:hAnsi="Times New Roman;Times;serif"/>
          <w:b/>
          <w:sz w:val="23"/>
        </w:rPr>
        <w:t>EMPLOYMENT AGREEMENT</w:t>
      </w:r>
    </w:p>
    <w:p>
      <w:pPr>
        <w:pStyle w:val="TextBody"/>
        <w:bidi w:val="0"/>
        <w:spacing w:lineRule="auto" w:line="331" w:before="0" w:after="160"/>
        <w:ind w:left="0" w:right="0" w:hanging="0"/>
        <w:jc w:val="center"/>
        <w:rPr/>
      </w:pPr>
      <w:r>
        <w:rPr/>
        <w:t>​</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3"/>
        </w:rPr>
        <w:t>This Employment Agreement (this “</w:t>
      </w:r>
      <w:r>
        <w:rPr>
          <w:rFonts w:ascii="Times New Roman;Times;serif" w:hAnsi="Times New Roman;Times;serif"/>
          <w:sz w:val="23"/>
          <w:u w:val="single"/>
        </w:rPr>
        <w:t>Agreement</w:t>
      </w:r>
      <w:r>
        <w:rPr>
          <w:rFonts w:ascii="Aptos" w:hAnsi="Aptos"/>
          <w:sz w:val="22"/>
        </w:rPr>
        <w:t>”</w:t>
      </w:r>
      <w:r>
        <w:rPr>
          <w:rFonts w:ascii="Times New Roman;Times;serif" w:hAnsi="Times New Roman;Times;serif"/>
          <w:sz w:val="23"/>
        </w:rPr>
        <w:t>) is made and entered into as of June 29, 2026 (the “</w:t>
      </w:r>
      <w:r>
        <w:rPr>
          <w:rFonts w:ascii="Times New Roman;Times;serif" w:hAnsi="Times New Roman;Times;serif"/>
          <w:sz w:val="23"/>
          <w:u w:val="single"/>
        </w:rPr>
        <w:t>Effective Date</w:t>
      </w:r>
      <w:r>
        <w:rPr>
          <w:rFonts w:ascii="Aptos" w:hAnsi="Aptos"/>
          <w:sz w:val="22"/>
        </w:rPr>
        <w:t>”</w:t>
      </w:r>
      <w:r>
        <w:rPr>
          <w:rFonts w:ascii="Times New Roman;Times;serif" w:hAnsi="Times New Roman;Times;serif"/>
          <w:sz w:val="23"/>
        </w:rPr>
        <w:t>), by and between Kiniksa Pharmaceuticals Corp., a Delaware corporation (the “</w:t>
      </w:r>
      <w:r>
        <w:rPr>
          <w:rFonts w:ascii="Times New Roman;Times;serif" w:hAnsi="Times New Roman;Times;serif"/>
          <w:sz w:val="23"/>
          <w:u w:val="single"/>
        </w:rPr>
        <w:t>Company</w:t>
      </w:r>
      <w:r>
        <w:rPr>
          <w:rFonts w:ascii="Aptos" w:hAnsi="Aptos"/>
          <w:sz w:val="22"/>
        </w:rPr>
        <w:t>”</w:t>
      </w:r>
      <w:r>
        <w:rPr>
          <w:rFonts w:ascii="Times New Roman;Times;serif" w:hAnsi="Times New Roman;Times;serif"/>
          <w:sz w:val="23"/>
        </w:rPr>
        <w:t>), and Dhiraj Malkani (the “</w:t>
      </w:r>
      <w:r>
        <w:rPr>
          <w:rFonts w:ascii="Times New Roman;Times;serif" w:hAnsi="Times New Roman;Times;serif"/>
          <w:sz w:val="23"/>
          <w:u w:val="single"/>
        </w:rPr>
        <w:t>Employee</w:t>
      </w:r>
      <w:r>
        <w:rPr>
          <w:rFonts w:ascii="Aptos" w:hAnsi="Aptos"/>
          <w:sz w:val="22"/>
        </w:rPr>
        <w:t>”</w:t>
      </w:r>
      <w:r>
        <w:rPr>
          <w:rFonts w:ascii="Times New Roman;Times;serif" w:hAnsi="Times New Roman;Times;serif"/>
          <w:sz w:val="23"/>
        </w:rPr>
        <w:t>).</w:t>
      </w:r>
    </w:p>
    <w:p>
      <w:pPr>
        <w:pStyle w:val="TextBody"/>
        <w:bidi w:val="0"/>
        <w:spacing w:lineRule="auto" w:line="285" w:before="0" w:after="240"/>
        <w:ind w:left="0" w:right="0" w:firstLine="720"/>
        <w:jc w:val="both"/>
        <w:rPr>
          <w:rFonts w:ascii="Times New Roman;Times;serif" w:hAnsi="Times New Roman;Times;serif"/>
          <w:sz w:val="23"/>
        </w:rPr>
      </w:pPr>
      <w:r>
        <w:rPr>
          <w:rFonts w:ascii="Times New Roman;Times;serif" w:hAnsi="Times New Roman;Times;serif"/>
          <w:sz w:val="23"/>
        </w:rPr>
        <w:t>WHEREAS, the operations of the Company and its Affiliates (as defined below) are a complex matter requiring direction and leadership in a variety of arenas;  </w:t>
      </w:r>
    </w:p>
    <w:p>
      <w:pPr>
        <w:pStyle w:val="TextBody"/>
        <w:bidi w:val="0"/>
        <w:spacing w:lineRule="auto" w:line="285" w:before="0" w:after="240"/>
        <w:ind w:left="0" w:right="0" w:firstLine="720"/>
        <w:jc w:val="both"/>
        <w:rPr>
          <w:rFonts w:ascii="Times New Roman;Times;serif" w:hAnsi="Times New Roman;Times;serif"/>
          <w:sz w:val="23"/>
        </w:rPr>
      </w:pPr>
      <w:r>
        <w:rPr>
          <w:rFonts w:ascii="Times New Roman;Times;serif" w:hAnsi="Times New Roman;Times;serif"/>
          <w:sz w:val="23"/>
        </w:rPr>
        <w:t>WHEREAS, the Employee possesses certain experience and expertise that qualify the Employee to provide the direction and leadership required by the Company and its Affiliates; and</w:t>
      </w:r>
    </w:p>
    <w:p>
      <w:pPr>
        <w:pStyle w:val="TextBody"/>
        <w:bidi w:val="0"/>
        <w:spacing w:lineRule="auto" w:line="285" w:before="0" w:after="240"/>
        <w:ind w:left="0" w:right="0" w:firstLine="720"/>
        <w:jc w:val="both"/>
        <w:rPr>
          <w:rFonts w:ascii="Times New Roman;Times;serif" w:hAnsi="Times New Roman;Times;serif"/>
          <w:sz w:val="23"/>
        </w:rPr>
      </w:pPr>
      <w:r>
        <w:rPr>
          <w:rFonts w:ascii="Times New Roman;Times;serif" w:hAnsi="Times New Roman;Times;serif"/>
          <w:sz w:val="23"/>
        </w:rPr>
        <w:t xml:space="preserve">WHEREAS, the Company wishes to employ the Employee on the terms and conditions set forth in this Agreement, and the Employee wishes to be employed under such terms and conditions. </w:t>
      </w:r>
    </w:p>
    <w:p>
      <w:pPr>
        <w:pStyle w:val="TextBody"/>
        <w:bidi w:val="0"/>
        <w:spacing w:lineRule="auto" w:line="285" w:before="0" w:after="240"/>
        <w:ind w:left="0" w:right="0" w:firstLine="720"/>
        <w:jc w:val="both"/>
        <w:rPr>
          <w:rFonts w:ascii="Times New Roman;Times;serif" w:hAnsi="Times New Roman;Times;serif"/>
          <w:sz w:val="23"/>
        </w:rPr>
      </w:pPr>
      <w:r>
        <w:rPr>
          <w:rFonts w:ascii="Times New Roman;Times;serif" w:hAnsi="Times New Roman;Times;serif"/>
          <w:sz w:val="23"/>
        </w:rPr>
        <w:t>NOW, THEREFORE, in consideration of the foregoing premises and the mutual promises, terms, provisions and conditions set forth in this Agreement, the Company and the Employee hereby agree: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w:t>
      </w:r>
      <w:r>
        <w:rPr>
          <w:rFonts w:ascii="Times New Roman;Times;serif" w:hAnsi="Times New Roman;Times;serif"/>
          <w:sz w:val="23"/>
          <w:u w:val="single"/>
        </w:rPr>
        <w:t>Definitions</w:t>
      </w:r>
      <w:r>
        <w:rPr>
          <w:rFonts w:ascii="Times New Roman;Times;serif" w:hAnsi="Times New Roman;Times;serif"/>
          <w:sz w:val="23"/>
        </w:rPr>
        <w:t>.  Words or phrases that are initially capitalized or are within quotation marks shall have the meanings provided in this Section and as provided elsewhere herein. For purposes of this Agreement, the following definitions apply: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(a)</w:t>
      </w:r>
      <w:r>
        <w:rPr>
          <w:rFonts w:ascii="Aptos" w:hAnsi="Aptos"/>
          <w:sz w:val="24"/>
        </w:rPr>
        <w:t>“</w:t>
      </w:r>
      <w:r>
        <w:rPr>
          <w:rFonts w:ascii="Times New Roman;Times;serif" w:hAnsi="Times New Roman;Times;serif"/>
          <w:sz w:val="23"/>
          <w:u w:val="single"/>
        </w:rPr>
        <w:t>Affiliates</w:t>
      </w:r>
      <w:r>
        <w:rPr>
          <w:rFonts w:ascii="Aptos" w:hAnsi="Aptos"/>
          <w:sz w:val="24"/>
        </w:rPr>
        <w:t xml:space="preserve">” </w:t>
      </w:r>
      <w:r>
        <w:rPr>
          <w:rFonts w:ascii="Times New Roman;Times;serif" w:hAnsi="Times New Roman;Times;serif"/>
          <w:sz w:val="23"/>
        </w:rPr>
        <w:t>shall mean all persons and entities directly or indirectly controlling, controlled by or under common control with the Company, where control may be by management authority, contract or equity interest.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(b)</w:t>
      </w:r>
      <w:r>
        <w:rPr>
          <w:rFonts w:ascii="Aptos" w:hAnsi="Aptos"/>
          <w:sz w:val="24"/>
        </w:rPr>
        <w:t>“</w:t>
      </w:r>
      <w:r>
        <w:rPr>
          <w:rFonts w:ascii="Times New Roman;Times;serif" w:hAnsi="Times New Roman;Times;serif"/>
          <w:sz w:val="23"/>
          <w:u w:val="single"/>
        </w:rPr>
        <w:t>Cause</w:t>
      </w:r>
      <w:r>
        <w:rPr>
          <w:rFonts w:ascii="Aptos" w:hAnsi="Aptos"/>
          <w:sz w:val="24"/>
        </w:rPr>
        <w:t xml:space="preserve">” </w:t>
      </w:r>
      <w:r>
        <w:rPr>
          <w:rFonts w:ascii="Times New Roman;Times;serif" w:hAnsi="Times New Roman;Times;serif"/>
          <w:sz w:val="23"/>
        </w:rPr>
        <w:t>shall mean:</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(i)The Employee’s gross negligence or willful misconduct in performance of the Employee’s duties to the Company, where such gross negligence or willful misconduct has resulted in or reasonably could result in material damage to the Company or any of its Affiliates or successors; or</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(ii)The Employee’s commission of any act of fraud, embezzlement or professional dishonesty with respect to the business of the Company or any of its Affiliates; or</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(iii)The Employee’s commission of a felony or crime involving moral turpitude; or</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(iv)The Employee’s material breach of any provision of this Agreement or any other written agreement between Employee and the Company; or</w:t>
      </w:r>
    </w:p>
    <w:p>
      <w:pPr>
        <w:pStyle w:val="TextBody"/>
        <w:bidi w:val="0"/>
        <w:spacing w:lineRule="auto" w:line="285" w:before="0" w:after="0"/>
        <w:ind w:left="0" w:right="720" w:hanging="0"/>
        <w:jc w:val="both"/>
        <w:rPr>
          <w:rFonts w:ascii="Times New Roman;Times;serif" w:hAnsi="Times New Roman;Times;serif"/>
          <w:sz w:val="23"/>
        </w:rPr>
      </w:pPr>
      <w:r>
        <w:rPr>
          <w:rFonts w:ascii="Times New Roman;Times;serif" w:hAnsi="Times New Roman;Times;serif"/>
          <w:sz w:val="23"/>
        </w:rPr>
        <w:t>(v)The Employee’s failure to comply with lawful directives of the Company, which has caused or which reasonably could cause damage to the Company or any of its Affiliates or successors.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(c)</w:t>
      </w:r>
      <w:r>
        <w:rPr>
          <w:rFonts w:ascii="Aptos" w:hAnsi="Aptos"/>
          <w:sz w:val="24"/>
        </w:rPr>
        <w:t xml:space="preserve"> “</w:t>
      </w:r>
      <w:r>
        <w:rPr>
          <w:rFonts w:ascii="Times New Roman;Times;serif" w:hAnsi="Times New Roman;Times;serif"/>
          <w:sz w:val="23"/>
          <w:u w:val="single"/>
        </w:rPr>
        <w:t>Change in Control</w:t>
      </w:r>
      <w:r>
        <w:rPr>
          <w:rFonts w:ascii="Aptos" w:hAnsi="Aptos"/>
          <w:sz w:val="24"/>
        </w:rPr>
        <w:t xml:space="preserve">” </w:t>
      </w:r>
      <w:r>
        <w:rPr>
          <w:rFonts w:ascii="Times New Roman;Times;serif" w:hAnsi="Times New Roman;Times;serif"/>
          <w:sz w:val="23"/>
        </w:rPr>
        <w:t>shall mean:</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 xml:space="preserve">(i)a sale of all or substantially all of the Parent’s assets; or </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(ii)any merger, consolidation or other business combination transaction of the Parent with or into another corporation, entity or person, other than a transaction in which the holders of at least a majority of the shares of voting capital shares of the Parent outstanding immediately prior to such transaction continue to hold (either by such shares remaining outstanding or by their being converted into shares of voting capital shares of the surviving entity) a majority of the total voting power represented by the shares of voting capital shares of the Parent (or the surviving entity) outstanding immediately after such transaction; or</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(iii)a change in the composition of the Parent Board such that the individuals who, as of the Effective Date, constitute the Parent Board (such Parent Board shall be hereinafter referred to as the “Incumbent Board”) cease for any reason to constitute at least a majority of the Parent Board; provided, however, that, for purposes of this Agreement, any individual who becomes a member of the Parent Board subsequent to the Effective Date, whose election, or nomination for election by the Parent’s shareholders, was approved by a vote of at least a majority of those individuals who are members of the Incumbent Board (or deemed to be such pursuant to this proviso) shall be considered as though such individual were a member of the Incumbent Board; or</w:t>
      </w:r>
    </w:p>
    <w:p>
      <w:pPr>
        <w:pStyle w:val="TextBody"/>
        <w:bidi w:val="0"/>
        <w:spacing w:lineRule="auto" w:line="285"/>
        <w:ind w:left="0" w:right="720" w:hanging="0"/>
        <w:jc w:val="both"/>
        <w:rPr>
          <w:rFonts w:ascii="Times New Roman;Times;serif" w:hAnsi="Times New Roman;Times;serif"/>
          <w:sz w:val="23"/>
        </w:rPr>
      </w:pPr>
      <w:r>
        <w:rPr>
          <w:rFonts w:ascii="Times New Roman;Times;serif" w:hAnsi="Times New Roman;Times;serif"/>
          <w:sz w:val="23"/>
        </w:rPr>
        <w:t xml:space="preserve">(iv)the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shares of the Parent.  Notwithstanding the foregoing, a Change in Control shall not be deemed to occur: </w:t>
      </w:r>
    </w:p>
    <w:p>
      <w:pPr>
        <w:pStyle w:val="TextBody"/>
        <w:bidi w:val="0"/>
        <w:spacing w:lineRule="auto" w:line="285" w:before="0" w:after="240"/>
        <w:ind w:left="0" w:right="0" w:firstLine="2880"/>
        <w:jc w:val="both"/>
        <w:rPr>
          <w:rFonts w:ascii="Times New Roman;Times;serif" w:hAnsi="Times New Roman;Times;serif"/>
          <w:sz w:val="23"/>
        </w:rPr>
      </w:pPr>
      <w:r>
        <w:rPr>
          <w:rFonts w:ascii="Times New Roman;Times;serif" w:hAnsi="Times New Roman;Times;serif"/>
          <w:sz w:val="23"/>
        </w:rPr>
        <w:t xml:space="preserve">(A) on account of the acquisition of shares of voting capital shares by any institutional investor or any affiliate thereof or any other person, or persons acting as a group, that acquires the Parent’s shares of voting capital shares in a transaction or series of related transactions that are primarily a private financing transaction for the Parent, or </w:t>
      </w:r>
    </w:p>
    <w:p>
      <w:pPr>
        <w:pStyle w:val="TextBody"/>
        <w:bidi w:val="0"/>
        <w:spacing w:lineRule="auto" w:line="285" w:before="0" w:after="240"/>
        <w:ind w:left="0" w:right="0" w:firstLine="2880"/>
        <w:jc w:val="both"/>
        <w:rPr>
          <w:rFonts w:ascii="Aptos" w:hAnsi="Aptos"/>
          <w:sz w:val="22"/>
        </w:rPr>
      </w:pPr>
      <w:r>
        <w:rPr>
          <w:rFonts w:ascii="Times New Roman;Times;serif" w:hAnsi="Times New Roman;Times;serif"/>
          <w:sz w:val="23"/>
        </w:rPr>
        <w:t>(B) solely because the level of ownership held by any institutional investor or any affiliate thereof or any other person, or persons acting as a group (the “</w:t>
      </w:r>
      <w:r>
        <w:rPr>
          <w:rFonts w:ascii="Times New Roman;Times;serif" w:hAnsi="Times New Roman;Times;serif"/>
          <w:sz w:val="23"/>
          <w:u w:val="single"/>
        </w:rPr>
        <w:t>Subject Person</w:t>
      </w:r>
      <w:r>
        <w:rPr>
          <w:rFonts w:ascii="Aptos" w:hAnsi="Aptos"/>
          <w:sz w:val="22"/>
        </w:rPr>
        <w:t>”</w:t>
      </w:r>
      <w:r>
        <w:rPr>
          <w:rFonts w:ascii="Times New Roman;Times;serif" w:hAnsi="Times New Roman;Times;serif"/>
          <w:sz w:val="23"/>
        </w:rPr>
        <w:t>), exceeds the designated percentage threshold of the outstanding voting capital shares as a result of a repurchase or other acquisition of voting capital shares by the Parent reducing the number of shares outstanding, provided that if a Change in Control would occur (but for the operation of this sentence) as a result of the acquisition voting capital shares by the Parent, and after such share acquisition, the Subject Person becomes the owner of any additional voting capital shares that, assuming the repurchase or other acquisition had not occurred, increases the percentage of the then outstanding voting capital shares owned by such Subject Person over the designated percentage threshold, then a Change in Control shall be deemed to occur.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(d)</w:t>
      </w:r>
      <w:r>
        <w:rPr>
          <w:rFonts w:ascii="Aptos" w:hAnsi="Aptos"/>
          <w:sz w:val="24"/>
        </w:rPr>
        <w:t>“</w:t>
      </w:r>
      <w:r>
        <w:rPr>
          <w:rFonts w:ascii="Times New Roman;Times;serif" w:hAnsi="Times New Roman;Times;serif"/>
          <w:sz w:val="23"/>
          <w:u w:val="single"/>
        </w:rPr>
        <w:t>Code</w:t>
      </w:r>
      <w:r>
        <w:rPr>
          <w:rFonts w:ascii="Aptos" w:hAnsi="Aptos"/>
          <w:sz w:val="24"/>
        </w:rPr>
        <w:t xml:space="preserve">” </w:t>
      </w:r>
      <w:r>
        <w:rPr>
          <w:rFonts w:ascii="Times New Roman;Times;serif" w:hAnsi="Times New Roman;Times;serif"/>
          <w:sz w:val="23"/>
        </w:rPr>
        <w:t>shall mean the Internal Revenue Code of 1986, as amended, and the rules and regulations promulgated thereunder.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(e)</w:t>
      </w:r>
      <w:r>
        <w:rPr>
          <w:rFonts w:ascii="Aptos" w:hAnsi="Aptos"/>
          <w:sz w:val="24"/>
        </w:rPr>
        <w:t>“</w:t>
      </w:r>
      <w:r>
        <w:rPr>
          <w:rFonts w:ascii="Times New Roman;Times;serif" w:hAnsi="Times New Roman;Times;serif"/>
          <w:sz w:val="23"/>
          <w:u w:val="single"/>
        </w:rPr>
        <w:t>Employee Benefit Plan</w:t>
      </w:r>
      <w:r>
        <w:rPr>
          <w:rFonts w:ascii="Aptos" w:hAnsi="Aptos"/>
          <w:sz w:val="24"/>
        </w:rPr>
        <w:t xml:space="preserve">” </w:t>
      </w:r>
      <w:r>
        <w:rPr>
          <w:rFonts w:ascii="Times New Roman;Times;serif" w:hAnsi="Times New Roman;Times;serif"/>
          <w:sz w:val="23"/>
        </w:rPr>
        <w:t xml:space="preserve">shall have the meaning ascribed to such term in Section 3(3) of the Employee Retirement Income Security Act of 1974, as amended.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4"/>
        </w:rPr>
        <w:t>(f)</w:t>
      </w:r>
      <w:r>
        <w:rPr>
          <w:rFonts w:ascii="Aptos" w:hAnsi="Aptos"/>
          <w:sz w:val="24"/>
        </w:rPr>
        <w:t>“</w:t>
      </w:r>
      <w:r>
        <w:rPr>
          <w:rFonts w:ascii="Times New Roman;Times;serif" w:hAnsi="Times New Roman;Times;serif"/>
          <w:sz w:val="23"/>
          <w:u w:val="single"/>
        </w:rPr>
        <w:t>Good Reason</w:t>
      </w:r>
      <w:r>
        <w:rPr>
          <w:rFonts w:ascii="Aptos" w:hAnsi="Aptos"/>
          <w:sz w:val="24"/>
        </w:rPr>
        <w:t xml:space="preserve">” </w:t>
      </w:r>
      <w:r>
        <w:rPr>
          <w:rFonts w:ascii="Times New Roman;Times;serif" w:hAnsi="Times New Roman;Times;serif"/>
          <w:sz w:val="23"/>
        </w:rPr>
        <w:t>shall mean</w:t>
      </w:r>
      <w:r>
        <w:rPr>
          <w:rFonts w:ascii="Times New Roman;Times;serif" w:hAnsi="Times New Roman;Times;serif"/>
          <w:sz w:val="24"/>
        </w:rPr>
        <w:t xml:space="preserve">: </w:t>
      </w:r>
    </w:p>
    <w:p>
      <w:pPr>
        <w:pStyle w:val="TextBody"/>
        <w:bidi w:val="0"/>
        <w:spacing w:lineRule="auto" w:line="285" w:before="0" w:after="240"/>
        <w:ind w:left="0" w:right="720" w:hanging="0"/>
        <w:jc w:val="both"/>
        <w:rPr>
          <w:rFonts w:ascii="Aptos" w:hAnsi="Aptos"/>
          <w:sz w:val="24"/>
        </w:rPr>
      </w:pPr>
      <w:r>
        <w:rPr>
          <w:rFonts w:ascii="Times New Roman;Times;serif" w:hAnsi="Times New Roman;Times;serif"/>
          <w:sz w:val="24"/>
        </w:rPr>
        <w:t>(i)a material reduction in the Employee’s Base Salary and/or Target Bonus (collectively, “</w:t>
      </w:r>
      <w:r>
        <w:rPr>
          <w:rFonts w:ascii="Times New Roman;Times;serif" w:hAnsi="Times New Roman;Times;serif"/>
          <w:sz w:val="24"/>
          <w:u w:val="single"/>
        </w:rPr>
        <w:t>Cash Compensation</w:t>
      </w:r>
      <w:r>
        <w:rPr>
          <w:rFonts w:ascii="Aptos" w:hAnsi="Aptos"/>
          <w:sz w:val="24"/>
        </w:rPr>
        <w:t>”</w:t>
      </w:r>
      <w:r>
        <w:rPr>
          <w:rFonts w:ascii="Times New Roman;Times;serif" w:hAnsi="Times New Roman;Times;serif"/>
          <w:sz w:val="24"/>
        </w:rPr>
        <w:t xml:space="preserve">) without the Employee’s prior written consent unless such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firstLine="2160"/>
        <w:jc w:val="both"/>
        <w:rPr>
          <w:rFonts w:ascii="Times New Roman;Times;serif" w:hAnsi="Times New Roman;Times;serif"/>
          <w:sz w:val="24"/>
        </w:rPr>
      </w:pPr>
      <w:r>
        <w:rPr>
          <w:rFonts w:ascii="Times New Roman;Times;serif" w:hAnsi="Times New Roman;Times;serif"/>
          <w:sz w:val="24"/>
        </w:rPr>
        <w:t>reduction (a) is in connection with reductions impacting the Cash Compensation of a majority of the Company’s office-based (i.e., non-field) employees and (b) is similar in magnitude to the reductions of the Cash Compensation of other office-based employees at a job level similar to the Employee’s job level.</w:t>
      </w:r>
    </w:p>
    <w:p>
      <w:pPr>
        <w:pStyle w:val="TextBody"/>
        <w:bidi w:val="0"/>
        <w:spacing w:lineRule="auto" w:line="285" w:before="0" w:after="0"/>
        <w:ind w:left="0" w:right="720" w:hanging="0"/>
        <w:jc w:val="both"/>
        <w:rPr>
          <w:rFonts w:ascii="Times New Roman;Times;serif" w:hAnsi="Times New Roman;Times;serif"/>
          <w:sz w:val="23"/>
        </w:rPr>
      </w:pPr>
      <w:r>
        <w:rPr>
          <w:rFonts w:ascii="Times New Roman;Times;serif" w:hAnsi="Times New Roman;Times;serif"/>
          <w:sz w:val="23"/>
        </w:rPr>
        <w:t>(ii)the relocation of the Employee’s primary office to a location more than fifty (50) miles from the Employee’s primary office as of the date of this Agreement.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(g)</w:t>
      </w:r>
      <w:r>
        <w:rPr>
          <w:rFonts w:ascii="Aptos" w:hAnsi="Aptos"/>
          <w:sz w:val="24"/>
        </w:rPr>
        <w:t>“</w:t>
      </w:r>
      <w:r>
        <w:rPr>
          <w:rFonts w:ascii="Times New Roman;Times;serif" w:hAnsi="Times New Roman;Times;serif"/>
          <w:sz w:val="23"/>
          <w:u w:val="single"/>
        </w:rPr>
        <w:t>Parent</w:t>
      </w:r>
      <w:r>
        <w:rPr>
          <w:rFonts w:ascii="Aptos" w:hAnsi="Aptos"/>
          <w:sz w:val="24"/>
        </w:rPr>
        <w:t xml:space="preserve">” </w:t>
      </w:r>
      <w:r>
        <w:rPr>
          <w:rFonts w:ascii="Times New Roman;Times;serif" w:hAnsi="Times New Roman;Times;serif"/>
          <w:sz w:val="23"/>
        </w:rPr>
        <w:t>shall mean the Company’s parent entity, Kiniksa Pharmaceuticals International, plc, a public limited company organized under the laws of England and Wales.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(h)</w:t>
      </w:r>
      <w:r>
        <w:rPr>
          <w:rFonts w:ascii="Aptos" w:hAnsi="Aptos"/>
          <w:sz w:val="24"/>
        </w:rPr>
        <w:t>“</w:t>
      </w:r>
      <w:r>
        <w:rPr>
          <w:rFonts w:ascii="Times New Roman;Times;serif" w:hAnsi="Times New Roman;Times;serif"/>
          <w:sz w:val="23"/>
          <w:u w:val="single"/>
        </w:rPr>
        <w:t>Parent Board</w:t>
      </w:r>
      <w:r>
        <w:rPr>
          <w:rFonts w:ascii="Aptos" w:hAnsi="Aptos"/>
          <w:sz w:val="24"/>
        </w:rPr>
        <w:t xml:space="preserve">” </w:t>
      </w:r>
      <w:r>
        <w:rPr>
          <w:rFonts w:ascii="Times New Roman;Times;serif" w:hAnsi="Times New Roman;Times;serif"/>
          <w:sz w:val="23"/>
        </w:rPr>
        <w:t>shall mean the board of directors of the Parent.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3"/>
        </w:rPr>
        <w:t>(i)</w:t>
      </w:r>
      <w:r>
        <w:rPr>
          <w:rFonts w:ascii="Aptos" w:hAnsi="Aptos"/>
          <w:sz w:val="24"/>
        </w:rPr>
        <w:t>“</w:t>
      </w:r>
      <w:r>
        <w:rPr>
          <w:rFonts w:ascii="Times New Roman;Times;serif" w:hAnsi="Times New Roman;Times;serif"/>
          <w:sz w:val="23"/>
          <w:u w:val="single"/>
        </w:rPr>
        <w:t>Person</w:t>
      </w:r>
      <w:r>
        <w:rPr>
          <w:rFonts w:ascii="Aptos" w:hAnsi="Aptos"/>
          <w:sz w:val="24"/>
        </w:rPr>
        <w:t xml:space="preserve">” </w:t>
      </w:r>
      <w:r>
        <w:rPr>
          <w:rFonts w:ascii="Times New Roman;Times;serif" w:hAnsi="Times New Roman;Times;serif"/>
          <w:sz w:val="23"/>
        </w:rPr>
        <w:t>shall mean an individual, a corporation, a limited liability company, an association, a partnership, an estate, a trust and any other entity or organization, other than the Company or any of its Affiliates.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2.</w:t>
      </w:r>
      <w:r>
        <w:rPr>
          <w:rFonts w:ascii="Times New Roman;Times;serif" w:hAnsi="Times New Roman;Times;serif"/>
          <w:sz w:val="23"/>
          <w:u w:val="single"/>
        </w:rPr>
        <w:t>Acceptance and Term</w:t>
      </w:r>
      <w:r>
        <w:rPr>
          <w:rFonts w:ascii="Times New Roman;Times;serif" w:hAnsi="Times New Roman;Times;serif"/>
          <w:sz w:val="23"/>
        </w:rPr>
        <w:t>.  Subject to the terms and conditions set forth in this Agreement, the Company hereby offers, and the Employee hereby accepts, employment and/or continuing employment on an at-will basis.  Subject to earlier termination as hereinafter provided, the Employee’s employment shall continue until terminated pursuant to Section 5 hereof (the “</w:t>
      </w:r>
      <w:r>
        <w:rPr>
          <w:rFonts w:ascii="Times New Roman;Times;serif" w:hAnsi="Times New Roman;Times;serif"/>
          <w:sz w:val="23"/>
          <w:u w:val="single"/>
        </w:rPr>
        <w:t>Term</w:t>
      </w:r>
      <w:r>
        <w:rPr>
          <w:rFonts w:ascii="Aptos" w:hAnsi="Aptos"/>
          <w:sz w:val="24"/>
        </w:rPr>
        <w:t>”</w:t>
      </w:r>
      <w:r>
        <w:rPr>
          <w:rFonts w:ascii="Times New Roman;Times;serif" w:hAnsi="Times New Roman;Times;serif"/>
          <w:sz w:val="23"/>
        </w:rPr>
        <w:t>).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3.</w:t>
      </w:r>
      <w:r>
        <w:rPr>
          <w:rFonts w:ascii="Times New Roman;Times;serif" w:hAnsi="Times New Roman;Times;serif"/>
          <w:sz w:val="23"/>
          <w:u w:val="single"/>
        </w:rPr>
        <w:t>Position, Duties and Responsibilities</w:t>
      </w:r>
      <w:r>
        <w:rPr>
          <w:rFonts w:ascii="Times New Roman;Times;serif" w:hAnsi="Times New Roman;Times;serif"/>
          <w:sz w:val="23"/>
        </w:rPr>
        <w:t>.</w:t>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(a)During the Term, the Employee shall initially serve the Company as its Executive Vice President, Chief Strategy Officer, and shall initially report to the Chief Executive Officer.  During the Term, the Employee shall be employed by the Company on a full-time basis and shall perform the duties and responsibilities of the Employee’s position.  </w:t>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 xml:space="preserve">(b)During the Term, the Employee shall devote the Employee’s full business time and the Employee’s best efforts, business judgment, skill and knowledge exclusively to the advancement of the business and interests of the Company and its Affiliates and to the discharge of the Employee’s duties and responsibilities hereunder.  During the Term, the Employee shall not engage in any other business activity or serve in any industry, trade, professional, governmental or academic position unless the Employee first has obtained consent from the Chief Executive Officer of the Company. </w:t>
      </w:r>
    </w:p>
    <w:p>
      <w:pPr>
        <w:pStyle w:val="TextBody"/>
        <w:bidi w:val="0"/>
        <w:spacing w:lineRule="auto" w:line="285" w:before="0" w:after="0"/>
        <w:ind w:left="0" w:right="0" w:hanging="0"/>
        <w:jc w:val="both"/>
        <w:rPr>
          <w:rFonts w:ascii="Times New Roman;Times;serif" w:hAnsi="Times New Roman;Times;serif"/>
          <w:sz w:val="23"/>
        </w:rPr>
      </w:pPr>
      <w:r>
        <w:rPr>
          <w:rFonts w:ascii="Times New Roman;Times;serif" w:hAnsi="Times New Roman;Times;serif"/>
          <w:sz w:val="23"/>
        </w:rPr>
        <w:t>(c)Immediately upon termination of the Employee’s employment with the Company for any reason, the Employee will be deemed to resign any and all positions held by the Employee, whether as an officer or director of the Company, the Parent or any Affiliate of the Company, or as a member of any committees 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4.</w:t>
      </w:r>
      <w:r>
        <w:rPr>
          <w:rFonts w:ascii="Times New Roman;Times;serif" w:hAnsi="Times New Roman;Times;serif"/>
          <w:sz w:val="23"/>
          <w:u w:val="single"/>
        </w:rPr>
        <w:t>Compensation and Benefits</w:t>
      </w:r>
      <w:r>
        <w:rPr>
          <w:rFonts w:ascii="Times New Roman;Times;serif" w:hAnsi="Times New Roman;Times;serif"/>
          <w:sz w:val="23"/>
        </w:rPr>
        <w:t>.  As compensation for all services performed by the Employee during the Term and subject to the Employee’s performance of the Employee’s duties and obligations to the Company and its Affiliates, pursuant to this Agreement or otherwise, the Company shall provide the Employee with the following compensation and benefits: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(a)</w:t>
      </w:r>
      <w:r>
        <w:rPr>
          <w:rFonts w:ascii="Times New Roman;Times;serif" w:hAnsi="Times New Roman;Times;serif"/>
          <w:sz w:val="23"/>
          <w:u w:val="single"/>
        </w:rPr>
        <w:t>Base Salary</w:t>
      </w:r>
      <w:r>
        <w:rPr>
          <w:rFonts w:ascii="Times New Roman;Times;serif" w:hAnsi="Times New Roman;Times;serif"/>
          <w:sz w:val="23"/>
        </w:rPr>
        <w:t xml:space="preserve">.  The Company shall pay the Employee an annual base salary of $621,000, payable in accordance with the Company’s standard payroll practices and procedures and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subject to change from time-to-time in the Company’s sole discretion (such base salary, as from time-to-time changed, the “</w:t>
      </w:r>
      <w:r>
        <w:rPr>
          <w:rFonts w:ascii="Times New Roman;Times;serif" w:hAnsi="Times New Roman;Times;serif"/>
          <w:sz w:val="23"/>
          <w:u w:val="single"/>
        </w:rPr>
        <w:t>Base Salary</w:t>
      </w:r>
      <w:r>
        <w:rPr>
          <w:rFonts w:ascii="Aptos" w:hAnsi="Aptos"/>
          <w:sz w:val="24"/>
        </w:rPr>
        <w:t>”</w:t>
      </w:r>
      <w:r>
        <w:rPr>
          <w:rFonts w:ascii="Times New Roman;Times;serif" w:hAnsi="Times New Roman;Times;serif"/>
          <w:sz w:val="23"/>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(b)</w:t>
      </w:r>
      <w:r>
        <w:rPr>
          <w:rFonts w:ascii="Times New Roman;Times;serif" w:hAnsi="Times New Roman;Times;serif"/>
          <w:sz w:val="23"/>
          <w:u w:val="single"/>
        </w:rPr>
        <w:t>Discretionary Bonus Compensation</w:t>
      </w:r>
      <w:r>
        <w:rPr>
          <w:rFonts w:ascii="Times New Roman;Times;serif" w:hAnsi="Times New Roman;Times;serif"/>
          <w:sz w:val="23"/>
        </w:rPr>
        <w:t>.  During the Term, the Employee shall be eligible to receive an annual cash bonus (“</w:t>
      </w:r>
      <w:r>
        <w:rPr>
          <w:rFonts w:ascii="Times New Roman;Times;serif" w:hAnsi="Times New Roman;Times;serif"/>
          <w:sz w:val="23"/>
          <w:u w:val="single"/>
        </w:rPr>
        <w:t>Discretionary Annual Bonus</w:t>
      </w:r>
      <w:r>
        <w:rPr>
          <w:rFonts w:ascii="Aptos" w:hAnsi="Aptos"/>
          <w:sz w:val="24"/>
        </w:rPr>
        <w:t>”</w:t>
      </w:r>
      <w:r>
        <w:rPr>
          <w:rFonts w:ascii="Times New Roman;Times;serif" w:hAnsi="Times New Roman;Times;serif"/>
          <w:sz w:val="23"/>
        </w:rPr>
        <w:t>) with an initial target level of 55% of the Employee’s Base Salary (the “</w:t>
      </w:r>
      <w:r>
        <w:rPr>
          <w:rFonts w:ascii="Times New Roman;Times;serif" w:hAnsi="Times New Roman;Times;serif"/>
          <w:sz w:val="23"/>
          <w:u w:val="single"/>
        </w:rPr>
        <w:t>Target Bonus</w:t>
      </w:r>
      <w:r>
        <w:rPr>
          <w:rFonts w:ascii="Aptos" w:hAnsi="Aptos"/>
          <w:sz w:val="24"/>
        </w:rPr>
        <w:t>”</w:t>
      </w:r>
      <w:r>
        <w:rPr>
          <w:rFonts w:ascii="Times New Roman;Times;serif" w:hAnsi="Times New Roman;Times;serif"/>
          <w:sz w:val="23"/>
        </w:rPr>
        <w:t>). The applicable performance goals shall be determined by the Company as soon as practicable at the beginning of each calendar year.  The actual Discretionary Annual Bonus for each calendar year, if any, shall be determined in the sole and absolute discretion of the Company and shall be paid to the Employee no later than March 15</w:t>
      </w:r>
      <w:r>
        <w:rPr>
          <w:rFonts w:ascii="Times New Roman;Times;serif" w:hAnsi="Times New Roman;Times;serif"/>
          <w:sz w:val="17"/>
        </w:rPr>
        <w:t>th</w:t>
      </w:r>
      <w:r>
        <w:rPr>
          <w:rFonts w:ascii="Aptos" w:hAnsi="Aptos"/>
          <w:sz w:val="24"/>
        </w:rPr>
        <w:t xml:space="preserve"> </w:t>
      </w:r>
      <w:r>
        <w:rPr>
          <w:rFonts w:ascii="Times New Roman;Times;serif" w:hAnsi="Times New Roman;Times;serif"/>
          <w:sz w:val="23"/>
        </w:rPr>
        <w:t>of the calendar year immediately following the calendar year in which it was earned.  For the avoidance of doubt, the Company reserves the right to not pay any Discretionary Annual Bonuses even if all performance goals are achieved or exceeded.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3"/>
          <w:u w:val="single"/>
        </w:rPr>
        <w:t>Equity Participation</w:t>
      </w:r>
      <w:r>
        <w:rPr>
          <w:rFonts w:ascii="Times New Roman;Times;serif" w:hAnsi="Times New Roman;Times;serif"/>
          <w:sz w:val="23"/>
        </w:rPr>
        <w:t>. The Employee shall be eligible to receive equity awards under the Parent’s 2018 Incentive Award Plan or any other applicable equity plan, and the award agreements related to such equity plan, at the discretion of and subject to the approval of the Parent Board.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(d)</w:t>
      </w:r>
      <w:r>
        <w:rPr>
          <w:rFonts w:ascii="Times New Roman;Times;serif" w:hAnsi="Times New Roman;Times;serif"/>
          <w:sz w:val="23"/>
          <w:u w:val="single"/>
        </w:rPr>
        <w:t>Vacation</w:t>
      </w:r>
      <w:r>
        <w:rPr>
          <w:rFonts w:ascii="Times New Roman;Times;serif" w:hAnsi="Times New Roman;Times;serif"/>
          <w:sz w:val="23"/>
        </w:rPr>
        <w:t>.  During the Term, the Employee shall be entitled to earn vacation at the rate of four (4) weeks per year, to be taken at such times and intervals as shall be determined by the Employee, subject to the reasonable business needs of the Company.  Vacation shall otherwise be governed by the policies of the Company, as in effect from time-to-time.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(e)</w:t>
      </w:r>
      <w:r>
        <w:rPr>
          <w:rFonts w:ascii="Times New Roman;Times;serif" w:hAnsi="Times New Roman;Times;serif"/>
          <w:sz w:val="23"/>
          <w:u w:val="single"/>
        </w:rPr>
        <w:t>Other Benefits</w:t>
      </w:r>
      <w:r>
        <w:rPr>
          <w:rFonts w:ascii="Times New Roman;Times;serif" w:hAnsi="Times New Roman;Times;serif"/>
          <w:sz w:val="23"/>
        </w:rPr>
        <w:t>.  During the Term, the Employee shall be entitled to participate, to the extent eligible, in any and all Employee Benefit Plans from time-to-time in effect for employees of the Company generally, except to the extent any such Employee Benefit Plan is in a category of benefit otherwise provided to the Employee under this Agreement (e.g., a severance pay plan).  Such participation shall be subject to the terms of the applicable plan documents and generally applicable Company policies.  The Company may alter, modify, add to or discontinue its Employee Benefit Plans at any time as it, in its sole judgment, determines to be appropriate, without recourse by the Employee.  </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3"/>
        </w:rPr>
        <w:t>(f)</w:t>
      </w:r>
      <w:r>
        <w:rPr>
          <w:rFonts w:ascii="Times New Roman;Times;serif" w:hAnsi="Times New Roman;Times;serif"/>
          <w:sz w:val="23"/>
          <w:u w:val="single"/>
        </w:rPr>
        <w:t>Business Expenses</w:t>
      </w:r>
      <w:r>
        <w:rPr>
          <w:rFonts w:ascii="Times New Roman;Times;serif" w:hAnsi="Times New Roman;Times;serif"/>
          <w:sz w:val="23"/>
        </w:rPr>
        <w:t>.  The Company shall pay or reimburse the Employee for all reasonable business expenses incurred or paid by the Employee in the performance of the Employee’s duties and responsibilities hereunder, subject to reasonable substantiation and documentation and the Company’s standard expense reimbursement policies and procedures.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5.</w:t>
      </w:r>
      <w:r>
        <w:rPr>
          <w:rFonts w:ascii="Times New Roman;Times;serif" w:hAnsi="Times New Roman;Times;serif"/>
          <w:sz w:val="23"/>
          <w:u w:val="single"/>
        </w:rPr>
        <w:t>Termination of Employment and Severance Benefits</w:t>
      </w:r>
      <w:r>
        <w:rPr>
          <w:rFonts w:ascii="Times New Roman;Times;serif" w:hAnsi="Times New Roman;Times;serif"/>
          <w:sz w:val="23"/>
        </w:rPr>
        <w:t>.  The Employee’s employment with the Company shall terminate under the following circumstances: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(a)</w:t>
      </w:r>
      <w:r>
        <w:rPr>
          <w:rFonts w:ascii="Times New Roman;Times;serif" w:hAnsi="Times New Roman;Times;serif"/>
          <w:sz w:val="23"/>
          <w:u w:val="single"/>
        </w:rPr>
        <w:t>Death</w:t>
      </w:r>
      <w:r>
        <w:rPr>
          <w:rFonts w:ascii="Times New Roman;Times;serif" w:hAnsi="Times New Roman;Times;serif"/>
          <w:sz w:val="23"/>
        </w:rPr>
        <w:t>.  In the event of the Employee’s death, the Employee’s employment hereunder shall immediately and automatically terminate.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(b)</w:t>
      </w:r>
      <w:r>
        <w:rPr>
          <w:rFonts w:ascii="Times New Roman;Times;serif" w:hAnsi="Times New Roman;Times;serif"/>
          <w:sz w:val="23"/>
          <w:u w:val="single"/>
        </w:rPr>
        <w:t>Disability</w:t>
      </w:r>
      <w:r>
        <w:rPr>
          <w:rFonts w:ascii="Times New Roman;Times;serif" w:hAnsi="Times New Roman;Times;serif"/>
          <w:sz w:val="23"/>
        </w:rPr>
        <w:t>.</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 xml:space="preserve">(i)The Company may terminate the Employee’s employment hereunder, upon notice to the Employee, in the event that the Employee becomes disabled during the Employee’s employment hereunder through any illness, injury, accident or condition of either a physical or psychological nature and, as a result, is unable to perform substantially all of the Employee’s duties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firstLine="2160"/>
        <w:jc w:val="both"/>
        <w:rPr>
          <w:rFonts w:ascii="Times New Roman;Times;serif" w:hAnsi="Times New Roman;Times;serif"/>
          <w:sz w:val="23"/>
        </w:rPr>
      </w:pPr>
      <w:r>
        <w:rPr>
          <w:rFonts w:ascii="Times New Roman;Times;serif" w:hAnsi="Times New Roman;Times;serif"/>
          <w:sz w:val="23"/>
        </w:rPr>
        <w:t>and responsibilities hereunder, notwithstanding the provision of any reasonable accommodation, for ninety (90) consecutive days.</w:t>
      </w:r>
    </w:p>
    <w:p>
      <w:pPr>
        <w:pStyle w:val="TextBody"/>
        <w:bidi w:val="0"/>
        <w:spacing w:lineRule="auto" w:line="285" w:before="0" w:after="240"/>
        <w:ind w:left="0" w:right="720" w:hanging="0"/>
        <w:jc w:val="both"/>
        <w:rPr>
          <w:rFonts w:ascii="Times New Roman;Times;serif" w:hAnsi="Times New Roman;Times;serif"/>
          <w:sz w:val="23"/>
        </w:rPr>
      </w:pPr>
      <w:r>
        <w:rPr>
          <w:rFonts w:ascii="Times New Roman;Times;serif" w:hAnsi="Times New Roman;Times;serif"/>
          <w:sz w:val="23"/>
        </w:rPr>
        <w:t>(ii)The Parent Board may designate another employee to act in the Employee’s place during any period of the Employee’s disability.  Notwithstanding any such designation, the Employee shall continue to receive the Base Salary in accordance with Section 4(a) and benefits in accordance with Section 4(e), to the extent permitted by the then-current terms of the applicable benefit plans, until the Employee becomes eligible for disability income benefits under any disability income plan or until the termination of the Employee’s employment, whichever shall first occur.</w:t>
      </w:r>
    </w:p>
    <w:p>
      <w:pPr>
        <w:pStyle w:val="TextBody"/>
        <w:bidi w:val="0"/>
        <w:spacing w:lineRule="auto" w:line="285" w:before="0" w:after="0"/>
        <w:ind w:left="0" w:right="720" w:hanging="0"/>
        <w:jc w:val="both"/>
        <w:rPr>
          <w:rFonts w:ascii="Times New Roman;Times;serif" w:hAnsi="Times New Roman;Times;serif"/>
          <w:sz w:val="23"/>
        </w:rPr>
      </w:pPr>
      <w:r>
        <w:rPr>
          <w:rFonts w:ascii="Times New Roman;Times;serif" w:hAnsi="Times New Roman;Times;serif"/>
          <w:sz w:val="23"/>
        </w:rPr>
        <w:t>(iii)While receiving disability income payments under any disability income plan, the Employee shall not be entitled to receive any Base Salary under Section 4(a) hereof, but shall continue to participate in Company benefit plans in accordance with Section 4(e) and the terms of such plans, until the termination of the Employee’s employment.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(c)</w:t>
      </w:r>
      <w:r>
        <w:rPr>
          <w:rFonts w:ascii="Times New Roman;Times;serif" w:hAnsi="Times New Roman;Times;serif"/>
          <w:sz w:val="23"/>
          <w:u w:val="single"/>
        </w:rPr>
        <w:t>By the Company for Cause</w:t>
      </w:r>
      <w:r>
        <w:rPr>
          <w:rFonts w:ascii="Times New Roman;Times;serif" w:hAnsi="Times New Roman;Times;serif"/>
          <w:sz w:val="23"/>
        </w:rPr>
        <w:t>.  The Company may terminate the Employee’s employment hereunder for Cause at any time upon written notice to the Employee setting forth in reasonable detail the nature of such Cause.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(d)</w:t>
      </w:r>
      <w:r>
        <w:rPr>
          <w:rFonts w:ascii="Times New Roman;Times;serif" w:hAnsi="Times New Roman;Times;serif"/>
          <w:sz w:val="23"/>
          <w:u w:val="single"/>
        </w:rPr>
        <w:t>By the Company Other than for Cause</w:t>
      </w:r>
      <w:r>
        <w:rPr>
          <w:rFonts w:ascii="Times New Roman;Times;serif" w:hAnsi="Times New Roman;Times;serif"/>
          <w:sz w:val="23"/>
        </w:rPr>
        <w:t>.  The Company may terminate the Employee’s employment hereunder other than for Cause at any time upon written notice to the Employee.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(e)</w:t>
      </w:r>
      <w:r>
        <w:rPr>
          <w:rFonts w:ascii="Times New Roman;Times;serif" w:hAnsi="Times New Roman;Times;serif"/>
          <w:sz w:val="23"/>
          <w:u w:val="single"/>
        </w:rPr>
        <w:t>By the Employee without Good Reason</w:t>
      </w:r>
      <w:r>
        <w:rPr>
          <w:rFonts w:ascii="Times New Roman;Times;serif" w:hAnsi="Times New Roman;Times;serif"/>
          <w:sz w:val="23"/>
        </w:rPr>
        <w:t>.  The Employee may terminate the Employee’s employment hereunder without Good Reason at any time upon forty-five (45) days’ notice to the Company.  In the event of termination of the Employee pursuant to this Section 5(e), the Company may elect to waive the period of notice, or any portion thereof.  </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3"/>
        </w:rPr>
        <w:t>(f)</w:t>
      </w:r>
      <w:r>
        <w:rPr>
          <w:rFonts w:ascii="Times New Roman;Times;serif" w:hAnsi="Times New Roman;Times;serif"/>
          <w:sz w:val="23"/>
          <w:u w:val="single"/>
        </w:rPr>
        <w:t>By the Employee with Good Reason</w:t>
      </w:r>
      <w:r>
        <w:rPr>
          <w:rFonts w:ascii="Times New Roman;Times;serif" w:hAnsi="Times New Roman;Times;serif"/>
          <w:sz w:val="23"/>
        </w:rPr>
        <w:t xml:space="preserve">.  The Employee may terminate the Employee’s employment hereunder with Good Reason, </w:t>
      </w:r>
      <w:r>
        <w:rPr>
          <w:rFonts w:ascii="Times New Roman;Times;serif" w:hAnsi="Times New Roman;Times;serif"/>
          <w:sz w:val="23"/>
          <w:u w:val="single"/>
        </w:rPr>
        <w:t>provided that</w:t>
      </w:r>
      <w:r>
        <w:rPr>
          <w:rFonts w:ascii="Aptos" w:hAnsi="Aptos"/>
          <w:sz w:val="24"/>
        </w:rPr>
        <w:t xml:space="preserve"> </w:t>
      </w:r>
      <w:r>
        <w:rPr>
          <w:rFonts w:ascii="Times New Roman;Times;serif" w:hAnsi="Times New Roman;Times;serif"/>
          <w:sz w:val="23"/>
        </w:rPr>
        <w:t xml:space="preserve">the Employee has: (a) provided the Company, within thirty (30) days of the Employee’s knowledge of the occurrence of the facts and circumstances underlying the Good Reason event, written notice stating with specificity the applicable facts and circumstances underlying such finding of Good Reason; (b) provided the Company with an opportunity to cure the same within fifteen (15) days after the receipt of such notice; (c) the Company shall have failed to so cure within such period and the Employee provides a notice of termination within </w:t>
      </w:r>
      <w:r>
        <w:rPr>
          <w:rFonts w:ascii="Times New Roman;Times;serif" w:hAnsi="Times New Roman;Times;serif"/>
          <w:sz w:val="24"/>
        </w:rPr>
        <w:t>fifteen (15</w:t>
      </w:r>
      <w:r>
        <w:rPr>
          <w:rFonts w:ascii="Times New Roman;Times;serif" w:hAnsi="Times New Roman;Times;serif"/>
          <w:sz w:val="23"/>
        </w:rPr>
        <w:t>) days after the expiration of the cure period.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6.</w:t>
      </w:r>
      <w:r>
        <w:rPr>
          <w:rFonts w:ascii="Times New Roman;Times;serif" w:hAnsi="Times New Roman;Times;serif"/>
          <w:sz w:val="23"/>
          <w:u w:val="single"/>
        </w:rPr>
        <w:t>Severance Payments and Other Matters Related to Separation from Service</w:t>
      </w:r>
      <w:r>
        <w:rPr>
          <w:rFonts w:ascii="Times New Roman;Times;serif" w:hAnsi="Times New Roman;Times;serif"/>
          <w:sz w:val="23"/>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(a)</w:t>
      </w:r>
      <w:r>
        <w:rPr>
          <w:rFonts w:ascii="Times New Roman;Times;serif" w:hAnsi="Times New Roman;Times;serif"/>
          <w:sz w:val="23"/>
          <w:u w:val="single"/>
        </w:rPr>
        <w:t>Final Compensation</w:t>
      </w:r>
      <w:r>
        <w:rPr>
          <w:rFonts w:ascii="Times New Roman;Times;serif" w:hAnsi="Times New Roman;Times;serif"/>
          <w:sz w:val="23"/>
        </w:rPr>
        <w:t>.  Following the termination of the Employee’s employment for any reason, the Company shall pay to the Employee:  (i) any Base Salary earned but not paid during the final payroll period of the Employee’s employment through the date of termination, (ii) pay for any vacation time earned but not used through the date of termination, (iii) any unpaid Discretionary Annual Bonus due to the Employee for the calendar year prior to the year in which the termination occurs, and (iv) any business expenses incurred by the Employee but unreimbursed on the date of termination, provided that such expenses and required substantiation and documentation are submitted within thirty (30) days of termination and that such expenses are reimbursable under Company policy (all of the foregoing, “</w:t>
      </w:r>
      <w:r>
        <w:rPr>
          <w:rFonts w:ascii="Times New Roman;Times;serif" w:hAnsi="Times New Roman;Times;serif"/>
          <w:sz w:val="23"/>
          <w:u w:val="single"/>
        </w:rPr>
        <w:t>Final Compensation</w:t>
      </w:r>
      <w:r>
        <w:rPr>
          <w:rFonts w:ascii="Aptos" w:hAnsi="Aptos"/>
          <w:sz w:val="24"/>
        </w:rPr>
        <w:t>”</w:t>
      </w:r>
      <w:r>
        <w:rPr>
          <w:rFonts w:ascii="Times New Roman;Times;serif" w:hAnsi="Times New Roman;Times;serif"/>
          <w:sz w:val="23"/>
        </w:rPr>
        <w:t xml:space="preserve">).  Any Base Salary and any earned, unused vacation time shall be paid to the Employee at the time required by law, but not later than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Company’s next regular pay date following the date of termination.  Any reimbursable business expenses shall be paid within sixty (60) days following the date that the Employee submits such expenses to the Company.  Other than as expressly provided in Section 6(b), the Company shall have no further obligation to the Employee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(b)</w:t>
      </w:r>
      <w:r>
        <w:rPr>
          <w:rFonts w:ascii="Times New Roman;Times;serif" w:hAnsi="Times New Roman;Times;serif"/>
          <w:sz w:val="23"/>
          <w:u w:val="single"/>
        </w:rPr>
        <w:t>Severance</w:t>
      </w:r>
      <w:r>
        <w:rPr>
          <w:rFonts w:ascii="Times New Roman;Times;serif" w:hAnsi="Times New Roman;Times;serif"/>
          <w:sz w:val="23"/>
        </w:rPr>
        <w:t>.  In the event the Employee’s employment terminates pursuant to Section 5(a), 5(b), 5(d) or 5(f) of this Agreement, in addition to the Company’s payment of the Final Compensation, (i) the vesting of all unvested equity awards of Parent or its Affiliates that vest solely based on the passage of time then held by the Employee (including, without limitation, restricted stock, restricted stock units, stock options or other equity-based awards, whether granted to or held by the Employee either before or after the date of this Agreement) shall accelerate by twelve (12) months (for the avoidance of doubt, any equity awards that vest in whole or in part based on the attainment of performance-vesting conditions shall be governed by the terms of the applicable award agreement rather than this clause (i)); (ii) the Company shall pay the Employee (A) a lump sum equal to the Base Salary divided by twelve (12), then multiplied by the number of months of the Severance Period (as defined below) (such payment, the “</w:t>
      </w:r>
      <w:r>
        <w:rPr>
          <w:rFonts w:ascii="Times New Roman;Times;serif" w:hAnsi="Times New Roman;Times;serif"/>
          <w:sz w:val="23"/>
          <w:u w:val="single"/>
        </w:rPr>
        <w:t>Severance Payment</w:t>
      </w:r>
      <w:r>
        <w:rPr>
          <w:rFonts w:ascii="Aptos" w:hAnsi="Aptos"/>
          <w:sz w:val="24"/>
        </w:rPr>
        <w:t>”</w:t>
      </w:r>
      <w:r>
        <w:rPr>
          <w:rFonts w:ascii="Times New Roman;Times;serif" w:hAnsi="Times New Roman;Times;serif"/>
          <w:sz w:val="23"/>
        </w:rPr>
        <w:t>) and (B) the Post-Termination Bonus (as defined below); and (iii) if the Employee timely elects to receive continued medical, dental or vision coverage under one or more of the Company’s group medical, dental or vision plans pursuant to the Consolidated Omnibus Budget Reconciliation Act of 1985, as amended (“</w:t>
      </w:r>
      <w:r>
        <w:rPr>
          <w:rFonts w:ascii="Times New Roman;Times;serif" w:hAnsi="Times New Roman;Times;serif"/>
          <w:sz w:val="23"/>
          <w:u w:val="single"/>
        </w:rPr>
        <w:t>COBRA</w:t>
      </w:r>
      <w:r>
        <w:rPr>
          <w:rFonts w:ascii="Aptos" w:hAnsi="Aptos"/>
          <w:sz w:val="24"/>
        </w:rPr>
        <w:t>”</w:t>
      </w:r>
      <w:r>
        <w:rPr>
          <w:rFonts w:ascii="Times New Roman;Times;serif" w:hAnsi="Times New Roman;Times;serif"/>
          <w:sz w:val="23"/>
        </w:rPr>
        <w:t>), and otherwise remains eligible for coverage, then the Company shall directly pay, or reimburse the Employee for, one hundred percent (100%) of the COBRA premiums for the Employee and the Employee’s covered dependents under such plans for the Severance Period.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the Employee a taxable monthly payment in an amount equal to the monthly COBRA premium that the Employee would be required to pay to continue the Employee and the Employee’s covered dependents’ group health coverage in effect on the date of termination (which amount shall be based on the premium for the first month of COBRA coverage).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(c)Subject to Sections 6(d) and 7(a) of this Agreement, (x) the Severance Payment shall be paid by the sixtieth (60th) day following the date of termination; provided that, if the sixtieth (60</w:t>
      </w:r>
      <w:r>
        <w:rPr>
          <w:rFonts w:ascii="Times New Roman;Times;serif" w:hAnsi="Times New Roman;Times;serif"/>
          <w:sz w:val="17"/>
        </w:rPr>
        <w:t>th</w:t>
      </w:r>
      <w:r>
        <w:rPr>
          <w:rFonts w:ascii="Times New Roman;Times;serif" w:hAnsi="Times New Roman;Times;serif"/>
          <w:sz w:val="23"/>
        </w:rPr>
        <w:t>) day following the date of termination is a date in the next following calendar year, the Severance Payment shall be paid on the business day coincident with or next following such sixtieth (60</w:t>
      </w:r>
      <w:r>
        <w:rPr>
          <w:rFonts w:ascii="Times New Roman;Times;serif" w:hAnsi="Times New Roman;Times;serif"/>
          <w:sz w:val="17"/>
        </w:rPr>
        <w:t>th</w:t>
      </w:r>
      <w:r>
        <w:rPr>
          <w:rFonts w:ascii="Times New Roman;Times;serif" w:hAnsi="Times New Roman;Times;serif"/>
          <w:sz w:val="23"/>
        </w:rPr>
        <w:t>) day and (y) the Post-Termination Bonus shall be paid at or around the time that annual bonuses are paid to other similarly situated employees of the Company, but in no event later than March 15 of the year following the year in which the Separation from Service (as defined below) occurs; provided that if the termination occurs upon or during the twelve (12) month period following a Change in Control, (i) the Post-Termination Bonus shall be paid by the sixtieth (60th) day following the date of termination; provided that, if the sixtieth (60</w:t>
      </w:r>
      <w:r>
        <w:rPr>
          <w:rFonts w:ascii="Times New Roman;Times;serif" w:hAnsi="Times New Roman;Times;serif"/>
          <w:sz w:val="17"/>
        </w:rPr>
        <w:t>th</w:t>
      </w:r>
      <w:r>
        <w:rPr>
          <w:rFonts w:ascii="Times New Roman;Times;serif" w:hAnsi="Times New Roman;Times;serif"/>
          <w:sz w:val="23"/>
        </w:rPr>
        <w:t>) day following the date of termination is a date in the next following calendar year, the Post-Termination Bonus shall be paid on the business day coincident with or next following such sixtieth (60</w:t>
      </w:r>
      <w:r>
        <w:rPr>
          <w:rFonts w:ascii="Times New Roman;Times;serif" w:hAnsi="Times New Roman;Times;serif"/>
          <w:sz w:val="17"/>
        </w:rPr>
        <w:t>th</w:t>
      </w:r>
      <w:r>
        <w:rPr>
          <w:rFonts w:ascii="Times New Roman;Times;serif" w:hAnsi="Times New Roman;Times;serif"/>
          <w:sz w:val="23"/>
        </w:rPr>
        <w:t>) day and (ii) notwithstanding the provisions of the Parent’s 2018 Incentive Award Plan or any other equity plan, the Employee shall be immediately 100% fully vested in all unvested equity awards of Parent or its Affiliates that vest solely based on the passage of time (including, without limitation, restricted stock, restricted stock units, stock options or other equity-based awards, whether granted to or held by the Employee either before or after the date of this Agreement, and for the avoidance of doubt, with any equity awards that vest in whole or in part based on the attainment of performance-vesting conditions being governed by the terms of the applicable award agreement rather than this clause (ii)). The “</w:t>
      </w:r>
      <w:r>
        <w:rPr>
          <w:rFonts w:ascii="Times New Roman;Times;serif" w:hAnsi="Times New Roman;Times;serif"/>
          <w:sz w:val="23"/>
          <w:u w:val="single"/>
        </w:rPr>
        <w:t>Severance Period</w:t>
      </w:r>
      <w:r>
        <w:rPr>
          <w:rFonts w:ascii="Aptos" w:hAnsi="Aptos"/>
          <w:sz w:val="24"/>
        </w:rPr>
        <w:t xml:space="preserve">” </w:t>
      </w:r>
      <w:r>
        <w:rPr>
          <w:rFonts w:ascii="Times New Roman;Times;serif" w:hAnsi="Times New Roman;Times;serif"/>
          <w:sz w:val="23"/>
        </w:rPr>
        <w:t xml:space="preserve">shall be nine (9) months;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 xml:space="preserve">provided, that if the Employee’s Separation from Service occurs upon or during the twelve (12) months following a Change in Control, then the Severance Period shall be twelve (12) months.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(d)</w:t>
      </w:r>
      <w:r>
        <w:rPr>
          <w:rFonts w:ascii="Times New Roman;Times;serif" w:hAnsi="Times New Roman;Times;serif"/>
          <w:sz w:val="23"/>
          <w:u w:val="single"/>
        </w:rPr>
        <w:t>Post-Termination Bonus</w:t>
      </w:r>
      <w:r>
        <w:rPr>
          <w:rFonts w:ascii="Times New Roman;Times;serif" w:hAnsi="Times New Roman;Times;serif"/>
          <w:sz w:val="23"/>
        </w:rPr>
        <w:t>.  For the purposes of this Agreement, the “</w:t>
      </w:r>
      <w:r>
        <w:rPr>
          <w:rFonts w:ascii="Times New Roman;Times;serif" w:hAnsi="Times New Roman;Times;serif"/>
          <w:sz w:val="23"/>
          <w:u w:val="single"/>
        </w:rPr>
        <w:t>Post-Termination Bonus</w:t>
      </w:r>
      <w:r>
        <w:rPr>
          <w:rFonts w:ascii="Aptos" w:hAnsi="Aptos"/>
          <w:sz w:val="24"/>
        </w:rPr>
        <w:t xml:space="preserve">” </w:t>
      </w:r>
      <w:r>
        <w:rPr>
          <w:rFonts w:ascii="Times New Roman;Times;serif" w:hAnsi="Times New Roman;Times;serif"/>
          <w:sz w:val="23"/>
        </w:rPr>
        <w:t>shall be a pro-rata share of the Target Bonus for the calendar year in which the termination occurs; provided that if the termination occurs upon or during the twelve (12) month period following a Change in Control, the Post-Termination Bonus shall be equal to the Target Bonus for the calendar year in which such termination occurs.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(e)</w:t>
      </w:r>
      <w:r>
        <w:rPr>
          <w:rFonts w:ascii="Times New Roman;Times;serif" w:hAnsi="Times New Roman;Times;serif"/>
          <w:sz w:val="23"/>
          <w:u w:val="single"/>
        </w:rPr>
        <w:t>Release of Claims</w:t>
      </w:r>
      <w:r>
        <w:rPr>
          <w:rFonts w:ascii="Times New Roman;Times;serif" w:hAnsi="Times New Roman;Times;serif"/>
          <w:sz w:val="23"/>
        </w:rPr>
        <w:t>.  The Employee’s right to receive the payments and benefits set forth in Section 6(b) is conditioned on the Employee’s signing and returning to the Company (and not revoking) a general release of claims in the form provided by the Company at the time the Employee’s employment is terminated (the “</w:t>
      </w:r>
      <w:r>
        <w:rPr>
          <w:rFonts w:ascii="Times New Roman;Times;serif" w:hAnsi="Times New Roman;Times;serif"/>
          <w:sz w:val="23"/>
          <w:u w:val="single"/>
        </w:rPr>
        <w:t>Employee Release</w:t>
      </w:r>
      <w:r>
        <w:rPr>
          <w:rFonts w:ascii="Aptos" w:hAnsi="Aptos"/>
          <w:sz w:val="24"/>
        </w:rPr>
        <w:t>”</w:t>
      </w:r>
      <w:r>
        <w:rPr>
          <w:rFonts w:ascii="Times New Roman;Times;serif" w:hAnsi="Times New Roman;Times;serif"/>
          <w:sz w:val="23"/>
        </w:rPr>
        <w:t>).  The Employee must sign and return (and not revoke) the Employee Release, if at all, by the deadline specified therein, which deadline shall in no event be later than the sixtieth (60th) calendar day following the termination date.  The Employee Release shall take effect on the expiration of any revocation period specified therein.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(f)</w:t>
      </w:r>
      <w:r>
        <w:rPr>
          <w:rFonts w:ascii="Times New Roman;Times;serif" w:hAnsi="Times New Roman;Times;serif"/>
          <w:sz w:val="23"/>
          <w:u w:val="single"/>
        </w:rPr>
        <w:t>Effect of Termination</w:t>
      </w:r>
      <w:r>
        <w:rPr>
          <w:rFonts w:ascii="Times New Roman;Times;serif" w:hAnsi="Times New Roman;Times;serif"/>
          <w:sz w:val="23"/>
        </w:rPr>
        <w:t xml:space="preserve">.  Payment by the Company of Final Compensation and the payments and benefits set forth in Section 6(b) shall constitute the sole obligations of the Company in connection with the termination of the Employee’s employment hereunder.  Except for any right of the Employee to continue medical and dental plan participation in accordance with applicable law, benefits shall terminate pursuant to the terms of the applicable benefit plans based on the date of termination of the Employee’s employment without regard to any of the payments set forth in Section 6(b). </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3"/>
        </w:rPr>
        <w:t>(g)</w:t>
      </w:r>
      <w:r>
        <w:rPr>
          <w:rFonts w:ascii="Times New Roman;Times;serif" w:hAnsi="Times New Roman;Times;serif"/>
          <w:sz w:val="23"/>
          <w:u w:val="single"/>
        </w:rPr>
        <w:t>Survival</w:t>
      </w:r>
      <w:r>
        <w:rPr>
          <w:rFonts w:ascii="Times New Roman;Times;serif" w:hAnsi="Times New Roman;Times;serif"/>
          <w:sz w:val="23"/>
        </w:rPr>
        <w:t>.  Provisions of this Agreement shall survive any termination if so provided herein or if necessary or desirable to accomplish the purposes of other surviving provisions, including without limitation the obligations of the Employee under Section 8 hereof.  The obligation of the Company to make, and the right of the Employee to retain, any payments or benefits set forth in Section 6(b) is expressly conditioned upon the Employee’s continued full performance of obligations under Section 8 and the Restrictive Covenants Agreement (as defined below).</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7.</w:t>
      </w:r>
      <w:r>
        <w:rPr>
          <w:rFonts w:ascii="Times New Roman;Times;serif" w:hAnsi="Times New Roman;Times;serif"/>
          <w:sz w:val="23"/>
          <w:u w:val="single"/>
        </w:rPr>
        <w:t>Timing of Payments and Section 409A</w:t>
      </w:r>
      <w:r>
        <w:rPr>
          <w:rFonts w:ascii="Times New Roman;Times;serif" w:hAnsi="Times New Roman;Times;serif"/>
          <w:sz w:val="23"/>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(a)Notwithstanding anything to the contrary in this Agreement, if at the time of the Employee’s termination of employment, the Employee is a Specified Employee (as defined below), such amounts that may be subject to the Specified Employee rules set forth at (a)(2)(B)(i) of Section 409A of the Code (“</w:t>
      </w:r>
      <w:r>
        <w:rPr>
          <w:rFonts w:ascii="Times New Roman;Times;serif" w:hAnsi="Times New Roman;Times;serif"/>
          <w:sz w:val="23"/>
          <w:u w:val="single"/>
        </w:rPr>
        <w:t>Section 409A</w:t>
      </w:r>
      <w:r>
        <w:rPr>
          <w:rFonts w:ascii="Aptos" w:hAnsi="Aptos"/>
          <w:sz w:val="24"/>
        </w:rPr>
        <w:t>”</w:t>
      </w:r>
      <w:r>
        <w:rPr>
          <w:rFonts w:ascii="Times New Roman;Times;serif" w:hAnsi="Times New Roman;Times;serif"/>
          <w:sz w:val="23"/>
        </w:rPr>
        <w:t>) and payable under Section 6 on account of such Separation from Service that would (but for this provision) be payable within six (6) months following the date of termination, shall instead be paid on the next business day following the expiration of such six (6) month period.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(b)For purposes of this Agreement, “</w:t>
      </w:r>
      <w:r>
        <w:rPr>
          <w:rFonts w:ascii="Times New Roman;Times;serif" w:hAnsi="Times New Roman;Times;serif"/>
          <w:sz w:val="23"/>
          <w:u w:val="single"/>
        </w:rPr>
        <w:t>Separation from Service</w:t>
      </w:r>
      <w:r>
        <w:rPr>
          <w:rFonts w:ascii="Aptos" w:hAnsi="Aptos"/>
          <w:sz w:val="24"/>
        </w:rPr>
        <w:t xml:space="preserve">” </w:t>
      </w:r>
      <w:r>
        <w:rPr>
          <w:rFonts w:ascii="Times New Roman;Times;serif" w:hAnsi="Times New Roman;Times;serif"/>
          <w:sz w:val="23"/>
        </w:rPr>
        <w:t>shall be determined in a manner consistent with subsection (a)(2)(A)(i) of Section 409A, and the term “</w:t>
      </w:r>
      <w:r>
        <w:rPr>
          <w:rFonts w:ascii="Times New Roman;Times;serif" w:hAnsi="Times New Roman;Times;serif"/>
          <w:sz w:val="23"/>
          <w:u w:val="single"/>
        </w:rPr>
        <w:t>Specified Employee</w:t>
      </w:r>
      <w:r>
        <w:rPr>
          <w:rFonts w:ascii="Aptos" w:hAnsi="Aptos"/>
          <w:sz w:val="24"/>
        </w:rPr>
        <w:t xml:space="preserve">” </w:t>
      </w:r>
      <w:r>
        <w:rPr>
          <w:rFonts w:ascii="Times New Roman;Times;serif" w:hAnsi="Times New Roman;Times;serif"/>
          <w:sz w:val="23"/>
        </w:rPr>
        <w:t>shall mean an individual determined by the Company to be a specified employee as defined in subsection (a)(2)(B)(i) of Section 409A.</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(c)Each payment made under this Agreement shall be treated as a separate payment and the right to a series of installment payments under this Agreement is to be treated as a right to a series of separate payments.</w:t>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(d)The Employee’s right to reimbursement for business expenses hereunder shall be subject to the following additional rules: (i) the amount of expenses eligible for reimbursement during any calendar year shall not affect the expenses eligible for reimbursement in any other taxable year, (ii) reimbursement shall be made not later than December 31 of the calendar year following the calendar year in which the expense was incurred, and (iii) the right to reimbursement is not subject to liquidation or exchange for any other benefit.</w:t>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(e)In no event shall the Company have any liability relating to any payment or benefit under this Agreement failing to comply with, or be exempt from, the requirements of Section 409A.</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4"/>
        </w:rPr>
        <w:t xml:space="preserve">(f)The Company shall interpret this Agreement in a manner intended to comply with Section 409A.  The parties agree that if in good faith they determine that this Agreement is not in compliance with Section 409A, they will cooperate in good faith to modify its terms to comply with Section 409A while endeavoring to maintain </w:t>
      </w:r>
      <w:r>
        <w:rPr>
          <w:rFonts w:ascii="Times New Roman;Times;serif" w:hAnsi="Times New Roman;Times;serif"/>
          <w:sz w:val="23"/>
        </w:rPr>
        <w:t>the</w:t>
      </w:r>
      <w:r>
        <w:rPr>
          <w:rFonts w:ascii="Aptos" w:hAnsi="Aptos"/>
          <w:sz w:val="24"/>
        </w:rPr>
        <w:t xml:space="preserve"> </w:t>
      </w:r>
      <w:r>
        <w:rPr>
          <w:rFonts w:ascii="Times New Roman;Times;serif" w:hAnsi="Times New Roman;Times;serif"/>
          <w:sz w:val="24"/>
        </w:rPr>
        <w:t>intended benefits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8.</w:t>
      </w:r>
      <w:r>
        <w:rPr>
          <w:rFonts w:ascii="Times New Roman;Times;serif" w:hAnsi="Times New Roman;Times;serif"/>
          <w:sz w:val="23"/>
          <w:u w:val="single"/>
        </w:rPr>
        <w:t>Confidentiality; Cooperation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(a)</w:t>
      </w:r>
      <w:r>
        <w:rPr>
          <w:rFonts w:ascii="Times New Roman;Times;serif" w:hAnsi="Times New Roman;Times;serif"/>
          <w:sz w:val="23"/>
          <w:u w:val="single"/>
        </w:rPr>
        <w:t>Confidentiality and Other Covenants</w:t>
      </w:r>
      <w:r>
        <w:rPr>
          <w:rFonts w:ascii="Times New Roman;Times;serif" w:hAnsi="Times New Roman;Times;serif"/>
          <w:sz w:val="23"/>
        </w:rPr>
        <w:t>. As a condition of the Employee’s employment with the Company, the Employee has executed or will execute an Employee Proprietary Information, Inventions Assignment, Non-Competition and Non-Solicitation Agreement (the “</w:t>
      </w:r>
      <w:r>
        <w:rPr>
          <w:rFonts w:ascii="Times New Roman;Times;serif" w:hAnsi="Times New Roman;Times;serif"/>
          <w:sz w:val="23"/>
          <w:u w:val="single"/>
        </w:rPr>
        <w:t>Restrictive Covenants Agreement</w:t>
      </w:r>
      <w:r>
        <w:rPr>
          <w:rFonts w:ascii="Aptos" w:hAnsi="Aptos"/>
          <w:sz w:val="24"/>
        </w:rPr>
        <w:t>”</w:t>
      </w:r>
      <w:r>
        <w:rPr>
          <w:rFonts w:ascii="Times New Roman;Times;serif" w:hAnsi="Times New Roman;Times;serif"/>
          <w:sz w:val="23"/>
        </w:rPr>
        <w:t>), which the Company and the Employee acknowledge and agree shall be considered a separate contract. In addition, the Employee represents and warrants that the Employee shall be able to and/or will continue to perform the duties of the Employee’s position without utilizing any material confidential and/or proprietary information that the Employee may have obtained in connection with employment with any prior employer, and that the Employee shall not (i) disclose any such information to the Company, or (ii) induce any Company employee to use any such information, in either case in violation of any confidentiality obligation, whether by agreement, by operation of law or otherwise.</w:t>
      </w:r>
    </w:p>
    <w:p>
      <w:pPr>
        <w:pStyle w:val="TextBody"/>
        <w:bidi w:val="0"/>
        <w:spacing w:lineRule="auto" w:line="285"/>
        <w:ind w:left="0" w:right="0" w:hanging="0"/>
        <w:jc w:val="both"/>
        <w:rPr>
          <w:rFonts w:ascii="Aptos" w:hAnsi="Aptos"/>
          <w:sz w:val="24"/>
        </w:rPr>
      </w:pPr>
      <w:r>
        <w:rPr>
          <w:rFonts w:ascii="Times New Roman;Times;serif" w:hAnsi="Times New Roman;Times;serif"/>
          <w:sz w:val="23"/>
        </w:rPr>
        <w:t>(b)</w:t>
      </w:r>
      <w:r>
        <w:rPr>
          <w:rFonts w:ascii="Times New Roman;Times;serif" w:hAnsi="Times New Roman;Times;serif"/>
          <w:sz w:val="23"/>
          <w:u w:val="single"/>
        </w:rPr>
        <w:t>Litigation and Regulatory Cooperation</w:t>
      </w:r>
      <w:r>
        <w:rPr>
          <w:rFonts w:ascii="Times New Roman;Times;serif" w:hAnsi="Times New Roman;Times;serif"/>
          <w:sz w:val="23"/>
        </w:rPr>
        <w:t xml:space="preserve">. During and after the Employee’s employment, the Employee shall reasonably cooperate with the Company in the defense or prosecution of any claims or actions now in existence or which may be brought in the future against or on behalf of the Company which relate to events or occurrences that transpired while the Company employed the Employee; provided that, the Employee will not have an obligation under this paragraph with respect to any claim that the Employee has filed directly against the Company or related persons or entities. The Employee’s reasonable cooperation in connection with such claims or actions shall include, but not be limited to, being available to meet with counsel to prepare for discovery or trial and to act as a witness on behalf of the Company at mutually convenient times. During and after the Employee’s employment, the Employee also shall reasonably cooperate with the Company in connection with any investigation or review of any federal, state or local regulatory authority as any such investigation or review relates to events or occurrences that transpired while the Employee was employed by the Company, provided the Employee will not have any obligation under this paragraph with respect to any claim that the Employee has filed directly against the Company or related persons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3"/>
        </w:rPr>
      </w:pPr>
      <w:r>
        <w:rPr>
          <w:rFonts w:ascii="Times New Roman;Times;serif" w:hAnsi="Times New Roman;Times;serif"/>
          <w:sz w:val="23"/>
        </w:rPr>
        <w:t>or entities. The Company shall reimburse the Employee for any reasonable out-of-pocket expenses incurred in connection with the Employee’s performance of obligations pursuant to this Section 8(b).</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9.</w:t>
      </w:r>
      <w:r>
        <w:rPr>
          <w:rFonts w:ascii="Times New Roman;Times;serif" w:hAnsi="Times New Roman;Times;serif"/>
          <w:sz w:val="23"/>
          <w:u w:val="single"/>
        </w:rPr>
        <w:t xml:space="preserve">Section 280G; Limitations on Payment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(a)If any payment or benefit the Employee shall or may receive from the Company or otherwise (a “</w:t>
      </w:r>
      <w:r>
        <w:rPr>
          <w:rFonts w:ascii="Times New Roman;Times;serif" w:hAnsi="Times New Roman;Times;serif"/>
          <w:sz w:val="23"/>
          <w:u w:val="single"/>
        </w:rPr>
        <w:t>280G Payment</w:t>
      </w:r>
      <w:r>
        <w:rPr>
          <w:rFonts w:ascii="Aptos" w:hAnsi="Aptos"/>
          <w:sz w:val="24"/>
        </w:rPr>
        <w:t>”</w:t>
      </w:r>
      <w:r>
        <w:rPr>
          <w:rFonts w:ascii="Times New Roman;Times;serif" w:hAnsi="Times New Roman;Times;serif"/>
          <w:sz w:val="23"/>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sz w:val="23"/>
          <w:u w:val="single"/>
        </w:rPr>
        <w:t>Excise Tax</w:t>
      </w:r>
      <w:r>
        <w:rPr>
          <w:rFonts w:ascii="Aptos" w:hAnsi="Aptos"/>
          <w:sz w:val="24"/>
        </w:rPr>
        <w:t>”</w:t>
      </w:r>
      <w:r>
        <w:rPr>
          <w:rFonts w:ascii="Times New Roman;Times;serif" w:hAnsi="Times New Roman;Times;serif"/>
          <w:sz w:val="23"/>
        </w:rPr>
        <w:t>), then any such 280G Payment provided pursuant to this Agreement (a “</w:t>
      </w:r>
      <w:r>
        <w:rPr>
          <w:rFonts w:ascii="Times New Roman;Times;serif" w:hAnsi="Times New Roman;Times;serif"/>
          <w:sz w:val="23"/>
          <w:u w:val="single"/>
        </w:rPr>
        <w:t>Payment</w:t>
      </w:r>
      <w:r>
        <w:rPr>
          <w:rFonts w:ascii="Aptos" w:hAnsi="Aptos"/>
          <w:sz w:val="24"/>
        </w:rPr>
        <w:t>”</w:t>
      </w:r>
      <w:r>
        <w:rPr>
          <w:rFonts w:ascii="Times New Roman;Times;serif" w:hAnsi="Times New Roman;Times;serif"/>
          <w:sz w:val="23"/>
        </w:rPr>
        <w:t>) shall be equal to the Reduced Amount.  The “</w:t>
      </w:r>
      <w:r>
        <w:rPr>
          <w:rFonts w:ascii="Times New Roman;Times;serif" w:hAnsi="Times New Roman;Times;serif"/>
          <w:sz w:val="23"/>
          <w:u w:val="single"/>
        </w:rPr>
        <w:t>Reduced Amount</w:t>
      </w:r>
      <w:r>
        <w:rPr>
          <w:rFonts w:ascii="Aptos" w:hAnsi="Aptos"/>
          <w:sz w:val="24"/>
        </w:rPr>
        <w:t xml:space="preserve">” </w:t>
      </w:r>
      <w:r>
        <w:rPr>
          <w:rFonts w:ascii="Times New Roman;Times;serif" w:hAnsi="Times New Roman;Times;serif"/>
          <w:sz w:val="23"/>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Times;serif" w:hAnsi="Times New Roman;Times;serif"/>
          <w:sz w:val="23"/>
          <w:u w:val="single"/>
        </w:rPr>
        <w:t>Reduction Method</w:t>
      </w:r>
      <w:r>
        <w:rPr>
          <w:rFonts w:ascii="Aptos" w:hAnsi="Aptos"/>
          <w:sz w:val="24"/>
        </w:rPr>
        <w:t>”</w:t>
      </w:r>
      <w:r>
        <w:rPr>
          <w:rFonts w:ascii="Times New Roman;Times;serif" w:hAnsi="Times New Roman;Times;serif"/>
          <w:sz w:val="23"/>
        </w:rPr>
        <w:t>) that results in the greatest economic benefit for the Employee.  If more than one method of reduction shall result in the same economic benefit, the items so reduced shall be reduced pro rata (the “</w:t>
      </w:r>
      <w:r>
        <w:rPr>
          <w:rFonts w:ascii="Times New Roman;Times;serif" w:hAnsi="Times New Roman;Times;serif"/>
          <w:sz w:val="23"/>
          <w:u w:val="single"/>
        </w:rPr>
        <w:t>Pro Rata Reduction Method</w:t>
      </w:r>
      <w:r>
        <w:rPr>
          <w:rFonts w:ascii="Aptos" w:hAnsi="Aptos"/>
          <w:sz w:val="24"/>
        </w:rPr>
        <w:t>”</w:t>
      </w:r>
      <w:r>
        <w:rPr>
          <w:rFonts w:ascii="Times New Roman;Times;serif" w:hAnsi="Times New Roman;Times;serif"/>
          <w:sz w:val="23"/>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(b)Notwithstanding any provision of Section 9(a)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the Employee as determined on an after-tax basis; (ii) as a second priority, Payments that are contingent on future events (</w:t>
      </w:r>
      <w:r>
        <w:rPr>
          <w:rFonts w:ascii="Times New Roman;Times;serif" w:hAnsi="Times New Roman;Times;serif"/>
          <w:i/>
          <w:sz w:val="23"/>
        </w:rPr>
        <w:t>e.g.</w:t>
      </w:r>
      <w:r>
        <w:rPr>
          <w:rFonts w:ascii="Times New Roman;Times;serif" w:hAnsi="Times New Roman;Times;serif"/>
          <w:sz w:val="23"/>
        </w:rPr>
        <w:t>,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(c)Unless the Employee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9.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the Employee and the Company within fifteen (15) calendar days after the date on which the Employee’s right to a 280G Payment becomes reasonably likely to occur (if requested at that time by the Employee or the Company) or such other time as requested by the Employee or the Company.</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3"/>
        </w:rPr>
      </w:pPr>
      <w:r>
        <w:rPr>
          <w:rFonts w:ascii="Times New Roman;Times;serif" w:hAnsi="Times New Roman;Times;serif"/>
          <w:sz w:val="23"/>
        </w:rPr>
        <w:t>(d)If the Employee receives a Payment for which the Reduced Amount was determined pursuant to clause (x) of Section 9(a) and the Internal Revenue Service determines thereafter that some portion of the Payment is subject to the Excise Tax, the Employee agrees to promptly return to the Company a sufficient amount of the Payment (after reduction pursuant to clause (x) of Section 9(a)) so that no portion of the remaining Payment is subject to the Excise Tax.  For the avoidance of doubt, if the Reduced Amount was determined pursuant to clause (y) of Section 9(a), the Employee shall have no obligation to return any portion of the Payment pursuant to the preceding sentence.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10.</w:t>
      </w:r>
      <w:r>
        <w:rPr>
          <w:rFonts w:ascii="Times New Roman;Times;serif" w:hAnsi="Times New Roman;Times;serif"/>
          <w:sz w:val="23"/>
          <w:u w:val="single"/>
        </w:rPr>
        <w:t>Indemnification</w:t>
      </w:r>
      <w:r>
        <w:rPr>
          <w:rFonts w:ascii="Times New Roman;Times;serif" w:hAnsi="Times New Roman;Times;serif"/>
          <w:sz w:val="23"/>
        </w:rPr>
        <w:t>.  The Parent shall indemnify the Employee to the extent provided in its then current organizational documents. The Employee agrees to promptly notify the Company of any actual or threatened claim arising out of or as a result of the Employee’s employment with the Company.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11.</w:t>
      </w:r>
      <w:r>
        <w:rPr>
          <w:rFonts w:ascii="Times New Roman;Times;serif" w:hAnsi="Times New Roman;Times;serif"/>
          <w:sz w:val="23"/>
          <w:u w:val="single"/>
        </w:rPr>
        <w:t>Withholding</w:t>
      </w:r>
      <w:r>
        <w:rPr>
          <w:rFonts w:ascii="Times New Roman;Times;serif" w:hAnsi="Times New Roman;Times;serif"/>
          <w:sz w:val="23"/>
        </w:rPr>
        <w:t>.  All payments made by the Company under this Agreement shall be reduced by any tax or other amounts required to be withheld by the Company under applicable law.</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12.</w:t>
      </w:r>
      <w:r>
        <w:rPr>
          <w:rFonts w:ascii="Times New Roman;Times;serif" w:hAnsi="Times New Roman;Times;serif"/>
          <w:sz w:val="23"/>
          <w:u w:val="single"/>
        </w:rPr>
        <w:t>Assignment</w:t>
      </w:r>
      <w:r>
        <w:rPr>
          <w:rFonts w:ascii="Times New Roman;Times;serif" w:hAnsi="Times New Roman;Times;serif"/>
          <w:sz w:val="23"/>
        </w:rPr>
        <w:t>.</w:t>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(a)Neither the Company nor the Employee may make any assignment of this Agreement or any interest herein, by operation of law or otherwise, without the prior written consent of the other; provided, however, that the Company may assign its rights and obligations under this Agreement without the consent of the Employee in the event that (i) the Employee is transferred to a position with any of the Affiliates or (ii) the Company shall hereafter effect a reorganization, consolidate with, or merge into, any Person or transfer all or substantially all of its properties or assets to any Person.  This Agreement shall inure to the benefit of and be binding upon the Company and the Employee, their respective successors, executors, administrators, heirs and permitted assigns.</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3"/>
        </w:rPr>
        <w:t>(b)The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w:t>
      </w:r>
      <w:r>
        <w:rPr>
          <w:rFonts w:ascii="Times New Roman;Times;serif" w:hAnsi="Times New Roman;Times;serif"/>
          <w:sz w:val="23"/>
          <w:u w:val="single"/>
        </w:rPr>
        <w:t>Company</w:t>
      </w:r>
      <w:r>
        <w:rPr>
          <w:rFonts w:ascii="Aptos" w:hAnsi="Aptos"/>
          <w:sz w:val="24"/>
        </w:rPr>
        <w:t xml:space="preserve">” </w:t>
      </w:r>
      <w:r>
        <w:rPr>
          <w:rFonts w:ascii="Times New Roman;Times;serif" w:hAnsi="Times New Roman;Times;serif"/>
          <w:sz w:val="23"/>
        </w:rPr>
        <w:t>shall mean the Company as hereinbefore defined and any successor to its business and/or assets as aforesaid.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13.</w:t>
      </w:r>
      <w:r>
        <w:rPr>
          <w:rFonts w:ascii="Times New Roman;Times;serif" w:hAnsi="Times New Roman;Times;serif"/>
          <w:sz w:val="23"/>
          <w:u w:val="single"/>
        </w:rPr>
        <w:t>Severability</w:t>
      </w:r>
      <w:r>
        <w:rPr>
          <w:rFonts w:ascii="Times New Roman;Times;serif" w:hAnsi="Times New Roman;Times;serif"/>
          <w:sz w:val="23"/>
        </w:rPr>
        <w:t>.  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14.</w:t>
      </w:r>
      <w:r>
        <w:rPr>
          <w:rFonts w:ascii="Times New Roman;Times;serif" w:hAnsi="Times New Roman;Times;serif"/>
          <w:sz w:val="23"/>
          <w:u w:val="single"/>
        </w:rPr>
        <w:t>Waiver</w:t>
      </w:r>
      <w:r>
        <w:rPr>
          <w:rFonts w:ascii="Times New Roman;Times;serif" w:hAnsi="Times New Roman;Times;serif"/>
          <w:sz w:val="23"/>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15.</w:t>
      </w:r>
      <w:r>
        <w:rPr>
          <w:rFonts w:ascii="Times New Roman;Times;serif" w:hAnsi="Times New Roman;Times;serif"/>
          <w:sz w:val="23"/>
          <w:u w:val="single"/>
        </w:rPr>
        <w:t>Notices</w:t>
      </w:r>
      <w:r>
        <w:rPr>
          <w:rFonts w:ascii="Times New Roman;Times;serif" w:hAnsi="Times New Roman;Times;serif"/>
          <w:sz w:val="23"/>
        </w:rPr>
        <w:t xml:space="preserve">.  Any and all notices, requests, demands and other communications provided for by this Agreement shall be in writing and shall be effective when delivered in person, consigned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3"/>
        </w:rPr>
      </w:pPr>
      <w:r>
        <w:rPr>
          <w:rFonts w:ascii="Times New Roman;Times;serif" w:hAnsi="Times New Roman;Times;serif"/>
          <w:sz w:val="23"/>
        </w:rPr>
        <w:t>a reputable national courier service or deposited in the United States mail, postage prepaid, registered or certified, and addressed to the Employee at the Employee’s last known address on the books of the Company or, in the case of the Company, at its principal place of business, attention of the Compensation Committee of the Parent Board with a copy to the attention of the General Counsel or Chief Legal Officer, as applicable, or to such other address as either party may specify by notice to the other actually received. Any notice so addressed shall be deemed to be given or received (a) if delivered by hand, on the date of such delivery, (b) if mailed by courier or by overnight mail, on the first business day following the date of such mailing, and (c) if mailed by registered or certified mail, on the third business day after the date of such mailing.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16.</w:t>
      </w:r>
      <w:r>
        <w:rPr>
          <w:rFonts w:ascii="Times New Roman;Times;serif" w:hAnsi="Times New Roman;Times;serif"/>
          <w:sz w:val="23"/>
          <w:u w:val="single"/>
        </w:rPr>
        <w:t>Entire Agreement</w:t>
      </w:r>
      <w:r>
        <w:rPr>
          <w:rFonts w:ascii="Times New Roman;Times;serif" w:hAnsi="Times New Roman;Times;serif"/>
          <w:sz w:val="23"/>
        </w:rPr>
        <w:t>.  This Agreement, together with the Restrictive Covenants Agreement, constitute the entire understanding and agreement of the Company and the Employee regarding the terms and conditions of the Employee’s employment with the Company. This Agreement, together with the Restrictive Covenants Agreement, supersedes all prior negotiations, discussions, correspondence, communications, understandings, and agreements between the Company and the Employee relating to the subject matter of this Agreement, including without limitation any offer letter given to the Employee. For clarity, the definition of “Cause” in Section 4(e) of the Restrictive Covenants Agreement shall only be applicable to that section, whereas the definition of Cause in Section 1(b) of this Agreement shall be applicable throughout this Agreement. Notwithstanding the foregoing, the Company and the Employee acknowledge that options and other equity awards may be granted to the Employee under and pursuant to the Parent’s 2018 Incentive Award Plan or any additional equity plans of the Parent or its Affiliates, and the award agreements related to such plans (collectively, the “</w:t>
      </w:r>
      <w:r>
        <w:rPr>
          <w:rFonts w:ascii="Times New Roman;Times;serif" w:hAnsi="Times New Roman;Times;serif"/>
          <w:sz w:val="23"/>
          <w:u w:val="single"/>
        </w:rPr>
        <w:t>Awards</w:t>
      </w:r>
      <w:r>
        <w:rPr>
          <w:rFonts w:ascii="Aptos" w:hAnsi="Aptos"/>
          <w:sz w:val="24"/>
        </w:rPr>
        <w:t>”</w:t>
      </w:r>
      <w:r>
        <w:rPr>
          <w:rFonts w:ascii="Times New Roman;Times;serif" w:hAnsi="Times New Roman;Times;serif"/>
          <w:sz w:val="23"/>
        </w:rPr>
        <w:t xml:space="preserve">); and to the extent that the terms of this Agreement (including without limitation, Section 6(b)) accelerate the vesting of any such Awards, then the terms of this Agreement are intended to be in addition to the vesting provisions of such Awards and are not intended to diminish any vesting rights contained in such Awards.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17.</w:t>
      </w:r>
      <w:r>
        <w:rPr>
          <w:rFonts w:ascii="Times New Roman;Times;serif" w:hAnsi="Times New Roman;Times;serif"/>
          <w:sz w:val="23"/>
          <w:u w:val="single"/>
        </w:rPr>
        <w:t>Amendment</w:t>
      </w:r>
      <w:r>
        <w:rPr>
          <w:rFonts w:ascii="Times New Roman;Times;serif" w:hAnsi="Times New Roman;Times;serif"/>
          <w:sz w:val="23"/>
        </w:rPr>
        <w:t>.  This Agreement may be amended or modified only by a written instrument signed by the Employee and by an expressly authorized representative of the Company.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18.</w:t>
      </w:r>
      <w:r>
        <w:rPr>
          <w:rFonts w:ascii="Times New Roman;Times;serif" w:hAnsi="Times New Roman;Times;serif"/>
          <w:sz w:val="23"/>
          <w:u w:val="single"/>
        </w:rPr>
        <w:t>Headings</w:t>
      </w:r>
      <w:r>
        <w:rPr>
          <w:rFonts w:ascii="Times New Roman;Times;serif" w:hAnsi="Times New Roman;Times;serif"/>
          <w:sz w:val="23"/>
        </w:rPr>
        <w:t>.  The headings and captions in this Agreement are for convenience only and in no way define or describe the scope or content of any provision of this Agreement.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3"/>
        </w:rPr>
        <w:t>19.</w:t>
      </w:r>
      <w:r>
        <w:rPr>
          <w:rFonts w:ascii="Times New Roman;Times;serif" w:hAnsi="Times New Roman;Times;serif"/>
          <w:sz w:val="23"/>
          <w:u w:val="single"/>
        </w:rPr>
        <w:t>Counterparts</w:t>
      </w:r>
      <w:r>
        <w:rPr>
          <w:rFonts w:ascii="Times New Roman;Times;serif" w:hAnsi="Times New Roman;Times;serif"/>
          <w:sz w:val="23"/>
        </w:rPr>
        <w:t>.  This Agreement may be executed in two or more counterparts, each of which shall be an original and all of which together shall constitute one and the same instrument.</w:t>
      </w:r>
    </w:p>
    <w:p>
      <w:pPr>
        <w:pStyle w:val="TextBody"/>
        <w:bidi w:val="0"/>
        <w:spacing w:lineRule="auto" w:line="285"/>
        <w:ind w:left="0" w:right="0" w:hanging="0"/>
        <w:jc w:val="both"/>
        <w:rPr>
          <w:rFonts w:ascii="Aptos" w:hAnsi="Aptos"/>
          <w:sz w:val="24"/>
        </w:rPr>
      </w:pPr>
      <w:r>
        <w:rPr>
          <w:rFonts w:ascii="Times New Roman;Times;serif" w:hAnsi="Times New Roman;Times;serif"/>
          <w:sz w:val="23"/>
        </w:rPr>
        <w:t>20.</w:t>
      </w:r>
      <w:r>
        <w:rPr>
          <w:rFonts w:ascii="Times New Roman;Times;serif" w:hAnsi="Times New Roman;Times;serif"/>
          <w:sz w:val="23"/>
          <w:u w:val="single"/>
        </w:rPr>
        <w:t>Governing Law</w:t>
      </w:r>
      <w:r>
        <w:rPr>
          <w:rFonts w:ascii="Times New Roman;Times;serif" w:hAnsi="Times New Roman;Times;serif"/>
          <w:sz w:val="23"/>
        </w:rPr>
        <w:t>.  This is a Massachusetts contract and shall be construed and enforced under and be governed in all respects by the laws of the Commonwealth of Massachusetts, without regard to the conflict of laws principles thereof.  The Company and the Employee agree that any dispute concerning this Agreement shall be heard exclusively by a court of competent jurisdiction within the Commonwealth of Massachusetts.  By signing below, the Employee acknowledges that the Employee is subject to the personal jurisdiction of the Massachusetts courts in any county where the Company has operations or facilities.  The Employee and Company further agree that any such dispute shall be tried by a judge alone, and they hereby waive and forever renounce the right to a trial before a civil jury in any such dispute.</w:t>
      </w:r>
    </w:p>
    <w:p>
      <w:pPr>
        <w:pStyle w:val="TextBody"/>
        <w:bidi w:val="0"/>
        <w:spacing w:lineRule="auto" w:line="285" w:before="0" w:after="0"/>
        <w:ind w:left="0" w:right="0" w:hanging="0"/>
        <w:jc w:val="center"/>
        <w:rPr>
          <w:rFonts w:ascii="Times New Roman;Times;serif" w:hAnsi="Times New Roman;Times;serif"/>
          <w:i/>
          <w:sz w:val="23"/>
        </w:rPr>
      </w:pPr>
      <w:r>
        <w:rPr>
          <w:rFonts w:ascii="Times New Roman;Times;serif" w:hAnsi="Times New Roman;Times;serif"/>
          <w:i/>
          <w:sz w:val="23"/>
        </w:rPr>
        <w:t>[Remainder of Page Intentionally Left Blank]</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lineRule="auto" w:line="285" w:before="0" w:after="480"/>
        <w:ind w:left="0" w:right="0" w:firstLine="720"/>
        <w:jc w:val="both"/>
        <w:rPr>
          <w:rFonts w:ascii="Times New Roman;Times;serif" w:hAnsi="Times New Roman;Times;serif"/>
          <w:sz w:val="23"/>
        </w:rPr>
      </w:pPr>
      <w:r>
        <w:rPr>
          <w:rFonts w:ascii="Times New Roman;Times;serif" w:hAnsi="Times New Roman;Times;serif"/>
          <w:sz w:val="23"/>
        </w:rPr>
        <w:t>IN WITNESS WHEREOF, this Agreement has been executed as a sealed instrument by the Company, by its duly authorized representative, and by the Employee, as of the Effective Date.</w:t>
      </w:r>
    </w:p>
    <w:p>
      <w:pPr>
        <w:pStyle w:val="TextBody"/>
        <w:bidi w:val="0"/>
        <w:spacing w:lineRule="auto" w:line="285" w:before="0" w:after="480"/>
        <w:ind w:left="0" w:right="0" w:hanging="0"/>
        <w:jc w:val="left"/>
        <w:rPr>
          <w:rFonts w:ascii="Times New Roman;Times;serif" w:hAnsi="Times New Roman;Times;serif"/>
          <w:b/>
          <w:sz w:val="23"/>
        </w:rPr>
      </w:pPr>
      <w:r>
        <w:rPr>
          <w:rFonts w:ascii="Times New Roman;Times;serif" w:hAnsi="Times New Roman;Times;serif"/>
          <w:b/>
          <w:sz w:val="23"/>
        </w:rPr>
        <w:t>EMPLOYEEKINIKSA PHARMACEUTICALS CORP.</w:t>
      </w:r>
    </w:p>
    <w:p>
      <w:pPr>
        <w:pStyle w:val="TextBody"/>
        <w:bidi w:val="0"/>
        <w:spacing w:lineRule="auto" w:line="285" w:before="0" w:after="0"/>
        <w:ind w:left="0" w:right="0" w:hanging="0"/>
        <w:jc w:val="both"/>
        <w:rPr>
          <w:rFonts w:ascii="Aptos" w:hAnsi="Aptos"/>
          <w:sz w:val="22"/>
        </w:rPr>
      </w:pPr>
      <w:r>
        <w:rPr>
          <w:rFonts w:ascii="Times New Roman;Times;serif" w:hAnsi="Times New Roman;Times;serif"/>
          <w:sz w:val="23"/>
          <w:u w:val="single"/>
        </w:rPr>
        <w:t>/s/ Dhiraj Malkani</w:t>
      </w:r>
      <w:r>
        <w:rPr>
          <w:rFonts w:ascii="Aptos" w:hAnsi="Aptos"/>
          <w:sz w:val="22"/>
          <w:u w:val="single"/>
        </w:rPr>
        <w:t>​ ​</w:t>
      </w:r>
      <w:r>
        <w:rPr>
          <w:rFonts w:ascii="Times New Roman;Times;serif" w:hAnsi="Times New Roman;Times;serif"/>
          <w:sz w:val="23"/>
        </w:rPr>
        <w:t>By:</w:t>
      </w:r>
      <w:r>
        <w:rPr>
          <w:rFonts w:ascii="Times New Roman;Times;serif" w:hAnsi="Times New Roman;Times;serif"/>
          <w:sz w:val="23"/>
          <w:u w:val="single"/>
        </w:rPr>
        <w:t>/s/ Douglas Barry</w:t>
      </w:r>
      <w:r>
        <w:rPr>
          <w:rFonts w:ascii="Aptos" w:hAnsi="Aptos"/>
          <w:sz w:val="22"/>
          <w:u w:val="single"/>
        </w:rPr>
        <w:t>​ ​</w:t>
      </w:r>
    </w:p>
    <w:p>
      <w:pPr>
        <w:pStyle w:val="TextBody"/>
        <w:pBdr/>
        <w:bidi w:val="0"/>
        <w:spacing w:lineRule="auto" w:line="285" w:before="0" w:after="240"/>
        <w:ind w:left="0" w:right="0" w:hanging="0"/>
        <w:jc w:val="left"/>
        <w:rPr>
          <w:rFonts w:ascii="Aptos" w:hAnsi="Aptos"/>
          <w:sz w:val="22"/>
        </w:rPr>
      </w:pPr>
      <w:r>
        <w:rPr>
          <w:rFonts w:ascii="Times New Roman;Times;serif" w:hAnsi="Times New Roman;Times;serif"/>
          <w:b w:val="false"/>
          <w:i w:val="false"/>
          <w:caps w:val="false"/>
          <w:smallCaps w:val="false"/>
          <w:sz w:val="23"/>
        </w:rPr>
        <w:t>Name:</w:t>
      </w:r>
      <w:r>
        <w:rPr>
          <w:rFonts w:ascii="Times New Roman;Times;serif" w:hAnsi="Times New Roman;Times;serif"/>
          <w:sz w:val="23"/>
        </w:rPr>
        <w:t>Dhiraj MalkaniName:</w:t>
      </w:r>
      <w:r>
        <w:rPr>
          <w:rFonts w:ascii="Times New Roman;Times;serif" w:hAnsi="Times New Roman;Times;serif"/>
          <w:sz w:val="24"/>
        </w:rPr>
        <w:t>Douglas Barry</w:t>
        <w:br/>
      </w:r>
      <w:r>
        <w:rPr>
          <w:rFonts w:ascii="Times New Roman;Times;serif" w:hAnsi="Times New Roman;Times;serif"/>
          <w:sz w:val="23"/>
        </w:rPr>
        <w:t>Title:SVP, Chief Legal Officer and Secretary</w:t>
      </w:r>
      <w:r>
        <w:rPr>
          <w:rFonts w:ascii="Aptos" w:hAnsi="Aptos"/>
          <w:sz w:val="22"/>
        </w:rPr>
        <w:t xml:space="preserv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sans-serif" w:hAnsi="Helvetica;sans-serif"/>
          <w:sz w:val="24"/>
        </w:rPr>
      </w:pPr>
      <w:bookmarkStart w:id="1158" w:name="knsa-20260630xex10d2.htm"/>
      <w:bookmarkStart w:id="1159" w:name="ksknsa20260630xex10d2"/>
      <w:bookmarkEnd w:id="1158"/>
      <w:bookmarkEnd w:id="1159"/>
      <w:r>
        <w:rPr>
          <w:rFonts w:ascii="Helvetica;sans-serif" w:hAnsi="Helvetica;sans-serif"/>
          <w:sz w:val="24"/>
        </w:rPr>
        <w:t>Exhibit 10.2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MASTER CONSULTING AGREEMENT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firstLine="720"/>
        <w:jc w:val="both"/>
        <w:rPr>
          <w:rFonts w:ascii="Aptos" w:hAnsi="Aptos"/>
          <w:sz w:val="22"/>
        </w:rPr>
      </w:pPr>
      <w:r>
        <w:rPr>
          <w:rFonts w:ascii="Helvetica;sans-serif" w:hAnsi="Helvetica;sans-serif"/>
          <w:sz w:val="22"/>
        </w:rPr>
        <w:t>This Master Consulting Agreement (the “</w:t>
      </w:r>
      <w:r>
        <w:rPr>
          <w:rFonts w:ascii="Helvetica;sans-serif" w:hAnsi="Helvetica;sans-serif"/>
          <w:b/>
          <w:sz w:val="22"/>
        </w:rPr>
        <w:t>Agreement</w:t>
      </w:r>
      <w:r>
        <w:rPr>
          <w:rFonts w:ascii="Aptos" w:hAnsi="Aptos"/>
          <w:sz w:val="22"/>
        </w:rPr>
        <w:t>”</w:t>
      </w:r>
      <w:r>
        <w:rPr>
          <w:rFonts w:ascii="Helvetica;sans-serif" w:hAnsi="Helvetica;sans-serif"/>
          <w:sz w:val="22"/>
        </w:rPr>
        <w:t>) is made as of May 13, 2026 and will be effective on May 15, 2026 (the “</w:t>
      </w:r>
      <w:r>
        <w:rPr>
          <w:rFonts w:ascii="Helvetica;sans-serif" w:hAnsi="Helvetica;sans-serif"/>
          <w:b/>
          <w:sz w:val="22"/>
        </w:rPr>
        <w:t>Effective Date</w:t>
      </w:r>
      <w:r>
        <w:rPr>
          <w:rFonts w:ascii="Aptos" w:hAnsi="Aptos"/>
          <w:sz w:val="22"/>
        </w:rPr>
        <w:t>”</w:t>
      </w:r>
      <w:r>
        <w:rPr>
          <w:rFonts w:ascii="Helvetica;sans-serif" w:hAnsi="Helvetica;sans-serif"/>
          <w:sz w:val="22"/>
        </w:rPr>
        <w:t>) by and between Kiniksa Pharmaceuticals, GmbH, a Swiss limited liability company with a business address at Grafenaustrasse 5, 6300 Zug, Switzerland (“</w:t>
      </w:r>
      <w:r>
        <w:rPr>
          <w:rFonts w:ascii="Helvetica;sans-serif" w:hAnsi="Helvetica;sans-serif"/>
          <w:b/>
          <w:sz w:val="22"/>
        </w:rPr>
        <w:t>Kiniksa</w:t>
      </w:r>
      <w:r>
        <w:rPr>
          <w:rFonts w:ascii="Aptos" w:hAnsi="Aptos"/>
          <w:sz w:val="22"/>
        </w:rPr>
        <w:t>”</w:t>
      </w:r>
      <w:r>
        <w:rPr>
          <w:rFonts w:ascii="Helvetica;sans-serif" w:hAnsi="Helvetica;sans-serif"/>
          <w:sz w:val="22"/>
        </w:rPr>
        <w:t>), and Eben Tessari (“</w:t>
      </w:r>
      <w:r>
        <w:rPr>
          <w:rFonts w:ascii="Helvetica;sans-serif" w:hAnsi="Helvetica;sans-serif"/>
          <w:b/>
          <w:sz w:val="22"/>
        </w:rPr>
        <w:t>Consultant</w:t>
      </w:r>
      <w:r>
        <w:rPr>
          <w:rFonts w:ascii="Aptos" w:hAnsi="Aptos"/>
          <w:sz w:val="22"/>
        </w:rPr>
        <w:t>”</w:t>
      </w:r>
      <w:r>
        <w:rPr>
          <w:rFonts w:ascii="Helvetica;sans-serif" w:hAnsi="Helvetica;sans-serif"/>
          <w:sz w:val="22"/>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firstLine="720"/>
        <w:jc w:val="both"/>
        <w:rPr>
          <w:rFonts w:ascii="Aptos" w:hAnsi="Aptos"/>
          <w:sz w:val="22"/>
        </w:rPr>
      </w:pPr>
      <w:r>
        <w:rPr>
          <w:rFonts w:ascii="Helvetica;sans-serif" w:hAnsi="Helvetica;sans-serif"/>
          <w:b/>
          <w:sz w:val="22"/>
        </w:rPr>
        <w:t>WHEREAS</w:t>
      </w:r>
      <w:r>
        <w:rPr>
          <w:rFonts w:ascii="Helvetica;sans-serif" w:hAnsi="Helvetica;sans-serif"/>
          <w:sz w:val="22"/>
        </w:rPr>
        <w:t>, Consultant’s last day of employment with Kiniksa is May 15, 2026; and</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firstLine="720"/>
        <w:jc w:val="both"/>
        <w:rPr>
          <w:rFonts w:ascii="Aptos" w:hAnsi="Aptos"/>
          <w:sz w:val="22"/>
        </w:rPr>
      </w:pPr>
      <w:r>
        <w:rPr>
          <w:rFonts w:ascii="Helvetica;sans-serif" w:hAnsi="Helvetica;sans-serif"/>
          <w:b/>
          <w:sz w:val="22"/>
        </w:rPr>
        <w:t>WHEREAS</w:t>
      </w:r>
      <w:r>
        <w:rPr>
          <w:rFonts w:ascii="Helvetica;sans-serif" w:hAnsi="Helvetica;sans-serif"/>
          <w:sz w:val="22"/>
        </w:rPr>
        <w:t>, Kiniksa wants the continued benefit of Consultant's knowledge and expertise; and</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firstLine="720"/>
        <w:jc w:val="both"/>
        <w:rPr>
          <w:rFonts w:ascii="Aptos" w:hAnsi="Aptos"/>
          <w:sz w:val="22"/>
        </w:rPr>
      </w:pPr>
      <w:r>
        <w:rPr>
          <w:rFonts w:ascii="Helvetica;sans-serif" w:hAnsi="Helvetica;sans-serif"/>
          <w:b/>
          <w:sz w:val="22"/>
        </w:rPr>
        <w:t>WHEREAS</w:t>
      </w:r>
      <w:r>
        <w:rPr>
          <w:rFonts w:ascii="Helvetica;sans-serif" w:hAnsi="Helvetica;sans-serif"/>
          <w:sz w:val="22"/>
        </w:rPr>
        <w:t>, Consultant wants to provide Services (as defined below) to Kiniksa, its designees and affiliates, in connection with its global programs and operations, as provided in and subject to this Agreement;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firstLine="720"/>
        <w:jc w:val="both"/>
        <w:rPr>
          <w:rFonts w:ascii="Aptos" w:hAnsi="Aptos"/>
          <w:sz w:val="22"/>
        </w:rPr>
      </w:pPr>
      <w:r>
        <w:rPr>
          <w:rFonts w:ascii="Helvetica;sans-serif" w:hAnsi="Helvetica;sans-serif"/>
          <w:b/>
          <w:sz w:val="22"/>
        </w:rPr>
        <w:t>NOW THEREFORE</w:t>
      </w:r>
      <w:r>
        <w:rPr>
          <w:rFonts w:ascii="Helvetica;sans-serif" w:hAnsi="Helvetica;sans-serif"/>
          <w:sz w:val="22"/>
        </w:rPr>
        <w:t>, in consideration of the premises and of the following mutual promises, covenants and conditions herein contained, and intending to be legally bound, Kiniksa and Consultant agree as follows:</w:t>
      </w:r>
    </w:p>
    <w:p>
      <w:pPr>
        <w:pStyle w:val="TextBody"/>
        <w:bidi w:val="0"/>
        <w:spacing w:lineRule="auto" w:line="331" w:before="0" w:after="160"/>
        <w:ind w:left="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1.Services</w:t>
      </w:r>
      <w:r>
        <w:rPr>
          <w:rFonts w:ascii="Helvetica;sans-serif" w:hAnsi="Helvetica;sans-serif"/>
          <w:sz w:val="22"/>
        </w:rPr>
        <w:t>.  Kiniksa retains Consultant and Consultant agrees to provide consulting services  (the “</w:t>
      </w:r>
      <w:r>
        <w:rPr>
          <w:rFonts w:ascii="Helvetica;sans-serif" w:hAnsi="Helvetica;sans-serif"/>
          <w:b/>
          <w:sz w:val="22"/>
        </w:rPr>
        <w:t>Services</w:t>
      </w:r>
      <w:r>
        <w:rPr>
          <w:rFonts w:ascii="Aptos" w:hAnsi="Aptos"/>
          <w:sz w:val="24"/>
        </w:rPr>
        <w:t>”</w:t>
      </w:r>
      <w:r>
        <w:rPr>
          <w:rFonts w:ascii="Helvetica;sans-serif" w:hAnsi="Helvetica;sans-serif"/>
          <w:sz w:val="22"/>
        </w:rPr>
        <w:t>) to Kiniksa, its designees and affiliates pursuant to mutually agreed upon specifications, instructions, and guidelines set forth in a work order (each, a “</w:t>
      </w:r>
      <w:r>
        <w:rPr>
          <w:rFonts w:ascii="Helvetica;sans-serif" w:hAnsi="Helvetica;sans-serif"/>
          <w:b/>
          <w:sz w:val="22"/>
        </w:rPr>
        <w:t>Work Order</w:t>
      </w:r>
      <w:r>
        <w:rPr>
          <w:rFonts w:ascii="Aptos" w:hAnsi="Aptos"/>
          <w:sz w:val="24"/>
        </w:rPr>
        <w:t>”</w:t>
      </w:r>
      <w:r>
        <w:rPr>
          <w:rFonts w:ascii="Helvetica;sans-serif" w:hAnsi="Helvetica;sans-serif"/>
          <w:sz w:val="22"/>
        </w:rPr>
        <w:t xml:space="preserve">), a template form of which (or Work Order 1) is attached hereto in </w:t>
      </w:r>
      <w:r>
        <w:rPr>
          <w:rFonts w:ascii="Helvetica;sans-serif" w:hAnsi="Helvetica;sans-serif"/>
          <w:sz w:val="22"/>
          <w:u w:val="single"/>
        </w:rPr>
        <w:t>Exhibit A</w:t>
      </w:r>
      <w:r>
        <w:rPr>
          <w:rFonts w:ascii="Helvetica;sans-serif" w:hAnsi="Helvetica;sans-serif"/>
          <w:sz w:val="22"/>
        </w:rPr>
        <w:t>. To Consultant’s best knowledge, Consultant’s performance under this Agreement will not violate or infringe upon the rights of any third party relating to property, contract or employment. Each Work Order and this Agreement shall collectively, independent from other Work Orders, constitute the entire agreement for such Services.  Any changes to the Services (and any related compensation adjustments) must be agreed upon in writing between Consultant and Kiniksa prior to commencement of the changes. Kiniksa may permit its affiliates to enter into Work Orders under this Agreement. Any such Work Order shall be deemed to be entered into under, and subject to, the terms of this Agreement. The applicable affiliate shall be deemed ”Kiniksa” with respect to such Work Order, and shall have all rights and obligations of Kiniksa under this Agreement with respect to the Work Order. Kiniksa shall remain responsible for the performance of, and liable for any breach by, such affiliate.</w:t>
      </w:r>
    </w:p>
    <w:p>
      <w:pPr>
        <w:pStyle w:val="TextBody"/>
        <w:bidi w:val="0"/>
        <w:spacing w:lineRule="auto" w:line="331" w:before="0" w:after="160"/>
        <w:ind w:left="72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1.1Performance</w:t>
      </w:r>
      <w:r>
        <w:rPr>
          <w:rFonts w:ascii="Helvetica;sans-serif" w:hAnsi="Helvetica;sans-serif"/>
          <w:sz w:val="22"/>
        </w:rPr>
        <w:t>.  Consultant agrees to render the Services to Kiniksa, or to its designees and affiliates, (a) at such times and places as Kiniksa or its designees and affiliates may direct, (b) under the general supervision of Kiniksa or its designees and affiliates, and (c) in a good and workmanlike manner and in accordance with best industry standards and practices for the performance of similar services.  Consultant will comply with all rules, procedures and standards promulgated from time to time by Kiniksa with regard to Consultant’s access to and use of Kiniksa’s property, information, equipment and facilities.  Consultant agrees to furnish Kiniksa with written reports with respect to the Services if and when requested by Kiniksa. Consultant will process all personal data in connection with the Services under this Agreement in compliance with all applicable laws and regulations, and in line with any other relevant agreements and contractual commitments between the parties in such respect.</w:t>
      </w:r>
    </w:p>
    <w:p>
      <w:pPr>
        <w:pStyle w:val="TextBody"/>
        <w:bidi w:val="0"/>
        <w:spacing w:lineRule="auto" w:line="331" w:before="0" w:after="160"/>
        <w:ind w:left="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1.2Third Party Confidential Information</w:t>
      </w:r>
      <w:r>
        <w:rPr>
          <w:rFonts w:ascii="Helvetica;sans-serif" w:hAnsi="Helvetica;sans-serif"/>
          <w:sz w:val="22"/>
        </w:rPr>
        <w:t>.  Consultant agrees not to use any trade secrets or other confidential information of any other person, firm, corporation, institution or other entity in connection with any of the Services.</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1.3No Conflicts</w:t>
      </w:r>
      <w:r>
        <w:rPr>
          <w:rFonts w:ascii="Helvetica;sans-serif" w:hAnsi="Helvetica;sans-serif"/>
          <w:sz w:val="22"/>
        </w:rPr>
        <w:t xml:space="preserve">. Consultant represents and warrants that Consultant is under no contractual or other obligation or restriction which is inconsistent with Consultant’s execution of this Agreement or the performance of the Services.  During the Term (as defined below), Consultant will not enter into any agreement, either written or oral, in conflict with Consultant’s obligations under this Agreement.  Consultant will arrange to provide the Services in such manner and at such times that the Services will not conflict with Consultant’s responsibilities under any other agreement, arrangement or understanding or pursuant to any employment relationship Consultant has at any time with any third party. </w:t>
      </w:r>
    </w:p>
    <w:p>
      <w:pPr>
        <w:pStyle w:val="TextBody"/>
        <w:bidi w:val="0"/>
        <w:spacing w:lineRule="auto" w:line="331" w:before="0" w:after="160"/>
        <w:ind w:left="720" w:right="0" w:hanging="0"/>
        <w:jc w:val="left"/>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1.4Compliance with Applicable Laws.</w:t>
      </w:r>
      <w:r>
        <w:rPr>
          <w:rFonts w:ascii="Aptos" w:hAnsi="Aptos"/>
          <w:sz w:val="24"/>
        </w:rPr>
        <w:t xml:space="preserve"> </w:t>
      </w:r>
      <w:r>
        <w:rPr>
          <w:rFonts w:ascii="Helvetica;sans-serif" w:hAnsi="Helvetica;sans-serif"/>
          <w:sz w:val="22"/>
        </w:rPr>
        <w:t>Consultant shall comply with all federal, state, and local applicable laws and regulations in Consultant’s performance of the Services.</w:t>
      </w:r>
    </w:p>
    <w:p>
      <w:pPr>
        <w:pStyle w:val="TextBody"/>
        <w:bidi w:val="0"/>
        <w:spacing w:lineRule="auto" w:line="331" w:before="0" w:after="160"/>
        <w:ind w:left="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1.5Absence of Debarment</w:t>
      </w:r>
      <w:r>
        <w:rPr>
          <w:rFonts w:ascii="Helvetica;sans-serif" w:hAnsi="Helvetica;sans-serif"/>
          <w:sz w:val="22"/>
        </w:rPr>
        <w:t>.</w:t>
      </w:r>
      <w:r>
        <w:rPr>
          <w:rFonts w:ascii="Aptos" w:hAnsi="Aptos"/>
          <w:sz w:val="24"/>
        </w:rPr>
        <w:t xml:space="preserve">  </w:t>
      </w:r>
      <w:r>
        <w:rPr>
          <w:rFonts w:ascii="Helvetica;sans-serif" w:hAnsi="Helvetica;sans-serif"/>
          <w:sz w:val="22"/>
        </w:rPr>
        <w:t>Consultant represents and warrants that Consultant has not been (a) debarred, convicted, or is not subject to a pending debarment or conviction, pursuant to section 306 of the United States Food Drug and Cosmetic Act, 21 U.S.C. § 335a, (b) listed by any government or regulatory agencies as ineligible to participate in any government healthcare programs or government procurement or non-procurement programs (as that term is defined in 42 U.S.C. 1320a-7b(f)), or excluded, debarred, suspended or otherwise made ineligible to participate in any such program, or (c) convicted of a criminal offense related to the provision of healthcare items or services, or is not subject to any such pending action.  Consultant agrees to inform Kiniksa in writing promptly if Consultant is subject to the foregoing, or if any action, suit, claim, investigation, or proceeding relating to the foregoing is pending, or to the best of Consultant’s knowledge, is threatened.</w:t>
      </w:r>
    </w:p>
    <w:p>
      <w:pPr>
        <w:pStyle w:val="TextBody"/>
        <w:bidi w:val="0"/>
        <w:spacing w:lineRule="auto" w:line="331" w:before="0" w:after="160"/>
        <w:ind w:left="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1.6Non-Referral.</w:t>
      </w:r>
      <w:r>
        <w:rPr>
          <w:rFonts w:ascii="Aptos" w:hAnsi="Aptos"/>
          <w:sz w:val="24"/>
        </w:rPr>
        <w:t xml:space="preserve">  </w:t>
      </w:r>
      <w:r>
        <w:rPr>
          <w:rFonts w:ascii="Helvetica;sans-serif" w:hAnsi="Helvetica;sans-serif"/>
          <w:sz w:val="22"/>
        </w:rPr>
        <w:t>The parties agree that Consultant is under no obligation to solicit, refer, or solicit referrals of patients for any Kiniksa business.  Consultant will not receive any benefit of any kind for making any referrals nor suffer any detriment for not making such referrals.  The parties further agree that no amount paid hereunder is intended to be, nor shall be construed as, an inducement or payment for referral of or recommending referral of patients for any Kiniksa business by Consultant to Kiniksa or by Kiniksa to Consultant.  In addition, the fees charged hereunder do not include any discount, rebate, kickback, or other reduction in charge, and the fees charged hereunder are not intended to be, nor shall they be construed as, an inducement or payment for referral, or recommendation of referral, of business by Consultant to Kiniksa or by Kiniksa to Consultant.  The sole purpose of the fee paid to Consultant hereunder is to pay fair market value for the Services provided by Consultant to Kiniksa hereunder.</w:t>
      </w:r>
    </w:p>
    <w:p>
      <w:pPr>
        <w:pStyle w:val="TextBody"/>
        <w:bidi w:val="0"/>
        <w:spacing w:lineRule="auto" w:line="331" w:before="0" w:after="160"/>
        <w:ind w:left="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1.7Disclosure Requirements</w:t>
      </w:r>
      <w:r>
        <w:rPr>
          <w:rFonts w:ascii="Helvetica;sans-serif" w:hAnsi="Helvetica;sans-serif"/>
          <w:sz w:val="22"/>
        </w:rPr>
        <w:t>.</w:t>
      </w:r>
      <w:r>
        <w:rPr>
          <w:rFonts w:ascii="Aptos" w:hAnsi="Aptos"/>
          <w:sz w:val="24"/>
        </w:rPr>
        <w:t xml:space="preserve">  </w:t>
      </w:r>
      <w:r>
        <w:rPr>
          <w:rFonts w:ascii="Helvetica;sans-serif" w:hAnsi="Helvetica;sans-serif"/>
          <w:sz w:val="22"/>
        </w:rPr>
        <w:t>The parties to this Agreement acknowledge that certain states, the United States government, and/or governments and industry groups outside of the United States and/or the federal government require pharmaceutical companies to disclose information on compensation, gifts or other remuneration provided to physicians and other health care professionals and health care organizations.  Kiniksa may report information about remuneration provided under this Agreement, as required by law or industry group code.  Once reported, such information may be publicly accessible.</w:t>
      </w:r>
      <w:r>
        <w:rPr>
          <w:rFonts w:ascii="Aptos" w:hAnsi="Aptos"/>
          <w:sz w:val="24"/>
        </w:rPr>
        <w:t xml:space="preserve"> </w:t>
      </w:r>
    </w:p>
    <w:p>
      <w:pPr>
        <w:pStyle w:val="TextBody"/>
        <w:bidi w:val="0"/>
        <w:spacing w:lineRule="auto" w:line="331" w:before="0" w:after="160"/>
        <w:ind w:left="720" w:right="0" w:hanging="0"/>
        <w:jc w:val="left"/>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1.8Adverse Event Reporting and Product Complaints.</w:t>
      </w:r>
      <w:r>
        <w:rPr>
          <w:rFonts w:ascii="Aptos" w:hAnsi="Aptos"/>
          <w:sz w:val="24"/>
        </w:rPr>
        <w:t xml:space="preserve">  </w:t>
      </w:r>
      <w:r>
        <w:rPr>
          <w:rFonts w:ascii="Helvetica;sans-serif" w:hAnsi="Helvetica;sans-serif"/>
          <w:sz w:val="22"/>
        </w:rPr>
        <w:t xml:space="preserve">If, during the course of providing Services, Consultant becomes aware of an adverse event or other safety issue that could be related to Kiniksa’s products, Consultant must report such matters to Kiniksa within twenty-four (24) hours of awareness to Kiniksa’s Global Medical Safety team by email at drugsafety@kiniksa.com or phone: 1-833-Kiniksa (1-833-546-4572) in accordance with Kiniksa’s standard reporting policy.  If, during the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Helvetica;sans-serif" w:hAnsi="Helvetica;sans-serif"/>
          <w:sz w:val="22"/>
        </w:rPr>
      </w:pPr>
      <w:r>
        <w:rPr>
          <w:rFonts w:ascii="Helvetica;sans-serif" w:hAnsi="Helvetica;sans-serif"/>
          <w:sz w:val="22"/>
        </w:rPr>
        <w:t>course of providing Services, Consultant becomes aware of a product complaint related to Kiniksa’s products, Consultant must report such matter to Kiniksa by email at ProductComplaints@kiniksa.com.</w:t>
      </w:r>
    </w:p>
    <w:p>
      <w:pPr>
        <w:pStyle w:val="TextBody"/>
        <w:bidi w:val="0"/>
        <w:spacing w:lineRule="auto" w:line="331" w:before="0" w:after="160"/>
        <w:ind w:left="660" w:right="0" w:hanging="0"/>
        <w:jc w:val="both"/>
        <w:rPr/>
      </w:pPr>
      <w:r>
        <w:rPr/>
        <w:t>​</w:t>
      </w:r>
    </w:p>
    <w:p>
      <w:pPr>
        <w:pStyle w:val="TextBody"/>
        <w:bidi w:val="0"/>
        <w:spacing w:lineRule="auto" w:line="285" w:before="0" w:after="240"/>
        <w:ind w:left="0" w:right="0" w:hanging="0"/>
        <w:jc w:val="left"/>
        <w:rPr>
          <w:rFonts w:ascii="Aptos" w:hAnsi="Aptos"/>
          <w:sz w:val="22"/>
        </w:rPr>
      </w:pPr>
      <w:r>
        <w:rPr>
          <w:rFonts w:ascii="Helvetica;sans-serif" w:hAnsi="Helvetica;sans-serif"/>
          <w:b/>
          <w:i w:val="false"/>
          <w:caps w:val="false"/>
          <w:smallCaps w:val="false"/>
          <w:sz w:val="22"/>
        </w:rPr>
        <w:t>2</w:t>
      </w:r>
      <w:r>
        <w:rPr>
          <w:rFonts w:ascii="Helvetica;sans-serif" w:hAnsi="Helvetica;sans-serif"/>
          <w:b w:val="false"/>
          <w:i w:val="false"/>
          <w:caps w:val="false"/>
          <w:smallCaps w:val="false"/>
          <w:sz w:val="22"/>
        </w:rPr>
        <w:t>.</w:t>
      </w:r>
      <w:r>
        <w:rPr>
          <w:rFonts w:ascii="Helvetica;sans-serif" w:hAnsi="Helvetica;sans-serif"/>
          <w:b/>
          <w:sz w:val="22"/>
        </w:rPr>
        <w:t>Compensation</w:t>
      </w:r>
      <w:r>
        <w:rPr>
          <w:rFonts w:ascii="Helvetica;sans-serif" w:hAnsi="Helvetica;sans-serif"/>
          <w:sz w:val="22"/>
        </w:rPr>
        <w:t>.</w:t>
      </w:r>
    </w:p>
    <w:p>
      <w:pPr>
        <w:pStyle w:val="TextBody"/>
        <w:bidi w:val="0"/>
        <w:spacing w:lineRule="auto" w:line="285" w:before="0" w:after="240"/>
        <w:ind w:left="0" w:right="0" w:hanging="0"/>
        <w:jc w:val="left"/>
        <w:rPr>
          <w:rFonts w:ascii="Aptos" w:hAnsi="Aptos"/>
          <w:sz w:val="22"/>
        </w:rPr>
      </w:pPr>
      <w:r>
        <w:rPr>
          <w:rFonts w:ascii="Helvetica;sans-serif" w:hAnsi="Helvetica;sans-serif"/>
          <w:b/>
          <w:i w:val="false"/>
          <w:caps w:val="false"/>
          <w:smallCaps w:val="false"/>
          <w:sz w:val="22"/>
        </w:rPr>
        <w:t>2.1.</w:t>
      </w:r>
      <w:r>
        <w:rPr>
          <w:rFonts w:ascii="Helvetica;sans-serif" w:hAnsi="Helvetica;sans-serif"/>
          <w:b/>
          <w:sz w:val="22"/>
        </w:rPr>
        <w:t xml:space="preserve">Invoices. </w:t>
      </w:r>
      <w:r>
        <w:rPr>
          <w:rFonts w:ascii="Helvetica;sans-serif" w:hAnsi="Helvetica;sans-serif"/>
          <w:sz w:val="22"/>
        </w:rPr>
        <w:t>Consultant shall issue invoices on a monthly basis for Services provided and expenses (without markup) incurred in the previous month. If Consultant fails to submit an invoice to Kiniksa within ninety (90) days following the last day of the previous month during which Services were rendered and expenses incurred, then Consultant waives its right to payment for the Services performed and expenses incurred during such month and Kiniksa is relieved of any obligations to pay for those uninvoiced Services and expenses. Invoices will contain such detail as Kiniksa may reasonably require.</w:t>
      </w:r>
    </w:p>
    <w:p>
      <w:pPr>
        <w:pStyle w:val="TextBody"/>
        <w:bidi w:val="0"/>
        <w:spacing w:lineRule="auto" w:line="285" w:before="0" w:after="240"/>
        <w:ind w:left="0" w:right="0" w:hanging="0"/>
        <w:jc w:val="left"/>
        <w:rPr>
          <w:rFonts w:ascii="Aptos" w:hAnsi="Aptos"/>
          <w:sz w:val="22"/>
        </w:rPr>
      </w:pPr>
      <w:r>
        <w:rPr>
          <w:rFonts w:ascii="Helvetica;sans-serif" w:hAnsi="Helvetica;sans-serif"/>
          <w:b/>
          <w:i w:val="false"/>
          <w:caps w:val="false"/>
          <w:smallCaps w:val="false"/>
          <w:sz w:val="22"/>
        </w:rPr>
        <w:t>2.2.</w:t>
      </w:r>
      <w:r>
        <w:rPr>
          <w:rFonts w:ascii="Helvetica;sans-serif" w:hAnsi="Helvetica;sans-serif"/>
          <w:b/>
          <w:sz w:val="22"/>
        </w:rPr>
        <w:t>Fees.</w:t>
      </w:r>
      <w:r>
        <w:rPr>
          <w:rFonts w:ascii="Aptos" w:hAnsi="Aptos"/>
          <w:sz w:val="22"/>
        </w:rPr>
        <w:t xml:space="preserve"> </w:t>
      </w:r>
      <w:r>
        <w:rPr>
          <w:rFonts w:ascii="Helvetica;sans-serif" w:hAnsi="Helvetica;sans-serif"/>
          <w:sz w:val="22"/>
        </w:rPr>
        <w:t>Subject to Section 2.1, in consideration for the Services rendered by Consultant to Kiniksa, Kiniksa agrees to pay Consultant the fees set forth in each Work Order. Subject to Section 2.1, Kiniksa will reimburse Consultant for reasonable business expenses (without markup) incurred by Consultant in the performance of the Services. The parties represent and warrant that the fees were determined by the parties through good faith and arms' length bargaining, constitute fair market value for the Services, and have not been determined in a manner that takes into account the volume or value of any business between the parties. Consultant is not required to use or recommend Kiniksa products, and the parties represent and warrant that the fees are not intended to reward Consultant for the use or recommendation of Kiniksa products or to induce Consultant to use or recommend Kiniksa products.</w:t>
      </w:r>
    </w:p>
    <w:p>
      <w:pPr>
        <w:pStyle w:val="TextBody"/>
        <w:bidi w:val="0"/>
        <w:spacing w:lineRule="auto" w:line="285" w:before="0" w:after="240"/>
        <w:ind w:left="0" w:right="0" w:hanging="0"/>
        <w:jc w:val="left"/>
        <w:rPr>
          <w:rFonts w:ascii="Aptos" w:hAnsi="Aptos"/>
          <w:sz w:val="22"/>
        </w:rPr>
      </w:pPr>
      <w:r>
        <w:rPr>
          <w:rFonts w:ascii="Helvetica;sans-serif" w:hAnsi="Helvetica;sans-serif"/>
          <w:b/>
          <w:i w:val="false"/>
          <w:caps w:val="false"/>
          <w:smallCaps w:val="false"/>
          <w:sz w:val="22"/>
        </w:rPr>
        <w:t>2.3.</w:t>
      </w:r>
      <w:r>
        <w:rPr>
          <w:rFonts w:ascii="Helvetica;sans-serif" w:hAnsi="Helvetica;sans-serif"/>
          <w:b/>
          <w:sz w:val="22"/>
        </w:rPr>
        <w:t xml:space="preserve">Payment. </w:t>
      </w:r>
      <w:r>
        <w:rPr>
          <w:rFonts w:ascii="Helvetica;sans-serif" w:hAnsi="Helvetica;sans-serif"/>
          <w:sz w:val="22"/>
        </w:rPr>
        <w:t>Unless otherwise specified in a Work Order, undisputed payments will be made by Kiniksa in U.S. Dollars within forty-five (45) days from Kiniksa's receipt of Consultant's invoice.</w:t>
      </w:r>
    </w:p>
    <w:p>
      <w:pPr>
        <w:pStyle w:val="TextBody"/>
        <w:bidi w:val="0"/>
        <w:spacing w:lineRule="auto" w:line="285" w:before="0" w:after="240"/>
        <w:ind w:left="0" w:right="0" w:hanging="0"/>
        <w:jc w:val="left"/>
        <w:rPr>
          <w:rFonts w:ascii="Aptos" w:hAnsi="Aptos"/>
          <w:sz w:val="22"/>
        </w:rPr>
      </w:pPr>
      <w:r>
        <w:rPr>
          <w:rFonts w:ascii="Helvetica;sans-serif" w:hAnsi="Helvetica;sans-serif"/>
          <w:b/>
          <w:i w:val="false"/>
          <w:caps w:val="false"/>
          <w:smallCaps w:val="false"/>
          <w:sz w:val="22"/>
        </w:rPr>
        <w:t>2.4.</w:t>
      </w:r>
      <w:r>
        <w:rPr>
          <w:rFonts w:ascii="Helvetica;sans-serif" w:hAnsi="Helvetica;sans-serif"/>
          <w:b/>
          <w:sz w:val="22"/>
        </w:rPr>
        <w:t>Equity Vesting.  </w:t>
      </w:r>
    </w:p>
    <w:p>
      <w:pPr>
        <w:pStyle w:val="TextBody"/>
        <w:bidi w:val="0"/>
        <w:spacing w:lineRule="auto" w:line="285" w:before="0" w:after="240"/>
        <w:ind w:left="0" w:right="0" w:firstLine="2160"/>
        <w:jc w:val="both"/>
        <w:rPr>
          <w:rFonts w:ascii="Helvetica;sans-serif" w:hAnsi="Helvetica;sans-serif"/>
          <w:sz w:val="22"/>
        </w:rPr>
      </w:pPr>
      <w:r>
        <w:rPr>
          <w:rFonts w:ascii="Helvetica;sans-serif" w:hAnsi="Helvetica;sans-serif"/>
          <w:sz w:val="22"/>
        </w:rPr>
        <w:t>(a)Kiniksa and Consultant hereby acknowledge that Consultant’s performance of Services under this Agreement shall be considered a continuation of Consultant’s performance of services to Kiniksa prior to the Effective Date.</w:t>
      </w:r>
    </w:p>
    <w:p>
      <w:pPr>
        <w:pStyle w:val="TextBody"/>
        <w:bidi w:val="0"/>
        <w:spacing w:lineRule="auto" w:line="285" w:before="0" w:after="240"/>
        <w:ind w:left="0" w:right="0" w:firstLine="2160"/>
        <w:jc w:val="both"/>
        <w:rPr>
          <w:rFonts w:ascii="Aptos" w:hAnsi="Aptos"/>
          <w:sz w:val="22"/>
        </w:rPr>
      </w:pPr>
      <w:r>
        <w:rPr>
          <w:rFonts w:ascii="Helvetica;sans-serif" w:hAnsi="Helvetica;sans-serif"/>
          <w:sz w:val="22"/>
        </w:rPr>
        <w:t>(b)Kiniksa and Consultant further agree that so long as Consultant provides Services pursuant to this Agreement, Consultant shall be considered a “Service Provider” as defined by Kiniksa’s 2018 Equity Incentive Plan (the “</w:t>
      </w:r>
      <w:r>
        <w:rPr>
          <w:rFonts w:ascii="Helvetica;sans-serif" w:hAnsi="Helvetica;sans-serif"/>
          <w:b/>
          <w:sz w:val="22"/>
        </w:rPr>
        <w:t>Plan</w:t>
      </w:r>
      <w:r>
        <w:rPr>
          <w:rFonts w:ascii="Aptos" w:hAnsi="Aptos"/>
          <w:sz w:val="22"/>
        </w:rPr>
        <w:t>”</w:t>
      </w:r>
      <w:r>
        <w:rPr>
          <w:rFonts w:ascii="Helvetica;sans-serif" w:hAnsi="Helvetica;sans-serif"/>
          <w:sz w:val="22"/>
        </w:rPr>
        <w:t xml:space="preserve">) and any of Consultant’s currently outstanding equity awards granted pursuant to the Plan prior to the Effective Date shall continue to vest during the Term per the terms of their respective award agreements. </w:t>
      </w:r>
    </w:p>
    <w:p>
      <w:pPr>
        <w:pStyle w:val="TextBody"/>
        <w:bidi w:val="0"/>
        <w:spacing w:lineRule="auto" w:line="285" w:before="0" w:after="240"/>
        <w:ind w:left="0" w:right="0" w:firstLine="2160"/>
        <w:jc w:val="both"/>
        <w:rPr>
          <w:rFonts w:ascii="Aptos" w:hAnsi="Aptos"/>
          <w:sz w:val="22"/>
        </w:rPr>
      </w:pPr>
      <w:r>
        <w:rPr>
          <w:rFonts w:ascii="Helvetica;sans-serif" w:hAnsi="Helvetica;sans-serif"/>
          <w:sz w:val="22"/>
        </w:rPr>
        <w:t xml:space="preserve">(c)For the avoidance of doubt, and subject to </w:t>
      </w:r>
      <w:r>
        <w:rPr>
          <w:rFonts w:ascii="Helvetica;sans-serif" w:hAnsi="Helvetica;sans-serif"/>
          <w:sz w:val="22"/>
          <w:u w:val="single"/>
        </w:rPr>
        <w:t>Section 2.4(d)</w:t>
      </w:r>
      <w:r>
        <w:rPr>
          <w:rFonts w:ascii="Aptos" w:hAnsi="Aptos"/>
          <w:sz w:val="22"/>
        </w:rPr>
        <w:t xml:space="preserve"> </w:t>
      </w:r>
      <w:r>
        <w:rPr>
          <w:rFonts w:ascii="Helvetica;sans-serif" w:hAnsi="Helvetica;sans-serif"/>
          <w:sz w:val="22"/>
        </w:rPr>
        <w:t xml:space="preserve">below, Consultant’s currently outstanding performance-based equity awards granted pursuant to the Plan prior to the Effective Date shall continue to be eligible to be earned following the Effective Date. </w:t>
      </w:r>
    </w:p>
    <w:p>
      <w:pPr>
        <w:pStyle w:val="TextBody"/>
        <w:bidi w:val="0"/>
        <w:spacing w:lineRule="auto" w:line="285" w:before="0" w:after="240"/>
        <w:ind w:left="0" w:right="0" w:firstLine="2160"/>
        <w:jc w:val="both"/>
        <w:rPr>
          <w:rFonts w:ascii="Aptos" w:hAnsi="Aptos"/>
          <w:sz w:val="22"/>
        </w:rPr>
      </w:pPr>
      <w:r>
        <w:rPr>
          <w:rFonts w:ascii="Helvetica;sans-serif" w:hAnsi="Helvetica;sans-serif"/>
          <w:sz w:val="22"/>
        </w:rPr>
        <w:t xml:space="preserve">(d)Kiniksa and Consultant further acknowledge that the termination of this Agreement pursuant to </w:t>
      </w:r>
      <w:r>
        <w:rPr>
          <w:rFonts w:ascii="Helvetica;sans-serif" w:hAnsi="Helvetica;sans-serif"/>
          <w:sz w:val="22"/>
          <w:u w:val="single"/>
        </w:rPr>
        <w:t>Section 6</w:t>
      </w:r>
      <w:r>
        <w:rPr>
          <w:rFonts w:ascii="Aptos" w:hAnsi="Aptos"/>
          <w:sz w:val="22"/>
        </w:rPr>
        <w:t xml:space="preserve"> </w:t>
      </w:r>
      <w:r>
        <w:rPr>
          <w:rFonts w:ascii="Helvetica;sans-serif" w:hAnsi="Helvetica;sans-serif"/>
          <w:sz w:val="22"/>
        </w:rPr>
        <w:t xml:space="preserve">below shall constitute a Termination of Service as defined by the Plan with respect to the Consultant’s currently outstanding equity awards.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left"/>
        <w:rPr>
          <w:rFonts w:ascii="Aptos" w:hAnsi="Aptos"/>
          <w:sz w:val="22"/>
        </w:rPr>
      </w:pPr>
      <w:r>
        <w:rPr>
          <w:rFonts w:ascii="Helvetica;sans-serif" w:hAnsi="Helvetica;sans-serif"/>
          <w:b/>
          <w:i w:val="false"/>
          <w:caps w:val="false"/>
          <w:smallCaps w:val="false"/>
          <w:sz w:val="22"/>
        </w:rPr>
        <w:t>3.</w:t>
      </w:r>
      <w:r>
        <w:rPr>
          <w:rFonts w:ascii="Helvetica;sans-serif" w:hAnsi="Helvetica;sans-serif"/>
          <w:b/>
          <w:sz w:val="22"/>
        </w:rPr>
        <w:t xml:space="preserve">Materials; Deliverables. </w:t>
      </w:r>
    </w:p>
    <w:p>
      <w:pPr>
        <w:pStyle w:val="TextBody"/>
        <w:bidi w:val="0"/>
        <w:spacing w:lineRule="auto" w:line="331" w:before="0" w:after="160"/>
        <w:ind w:left="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3.1Materials</w:t>
      </w:r>
      <w:r>
        <w:rPr>
          <w:rFonts w:ascii="Helvetica;sans-serif" w:hAnsi="Helvetica;sans-serif"/>
          <w:sz w:val="22"/>
        </w:rPr>
        <w:t>.  All documentation, information, and biological, chemical and other materials controlled by Kiniksa and furnished to Consultant by or on behalf of Kiniksa (“</w:t>
      </w:r>
      <w:r>
        <w:rPr>
          <w:rFonts w:ascii="Helvetica;sans-serif" w:hAnsi="Helvetica;sans-serif"/>
          <w:b/>
          <w:sz w:val="22"/>
        </w:rPr>
        <w:t>Materials</w:t>
      </w:r>
      <w:r>
        <w:rPr>
          <w:rFonts w:ascii="Aptos" w:hAnsi="Aptos"/>
          <w:sz w:val="24"/>
        </w:rPr>
        <w:t>”</w:t>
      </w:r>
      <w:r>
        <w:rPr>
          <w:rFonts w:ascii="Helvetica;sans-serif" w:hAnsi="Helvetica;sans-serif"/>
          <w:sz w:val="22"/>
        </w:rPr>
        <w:t>) and all associated intellectual property rights will remain the exclusive property of Kiniksa.  Consultant will use Materials provided by Kiniksa only as necessary to perform the Services and will treat them in accordance with the requirements of this Section 3.1.  Consultant agrees that it will not use or evaluate those Materials or any portions thereof for any other purpose except as directed or permitted in writing by Kiniksa.  Without Kiniksa's prior express written consent, Consultant agrees that it will not analyze the Materials, or transfer or make the Materials available to third parties.  </w:t>
      </w:r>
    </w:p>
    <w:p>
      <w:pPr>
        <w:pStyle w:val="TextBody"/>
        <w:bidi w:val="0"/>
        <w:spacing w:lineRule="auto" w:line="331" w:before="0" w:after="160"/>
        <w:ind w:left="144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3.2Deliverables</w:t>
      </w:r>
      <w:r>
        <w:rPr>
          <w:rFonts w:ascii="Helvetica;sans-serif" w:hAnsi="Helvetica;sans-serif"/>
          <w:sz w:val="22"/>
        </w:rPr>
        <w:t>.  Consultant shall assign, and hereby assigns, to Kiniksa all rights in and to inventions, discoveries, improvements, ideas, designs, processes, formulations, products, computer programs, works of authorship, databases, mask works, trade secrets, know-how, information, data, documentation, reports, research, creations and other products arising from or made in the performance of the Services (whether or not patentable or subject to copyright or trade secret protection) (collectively, “</w:t>
      </w:r>
      <w:r>
        <w:rPr>
          <w:rFonts w:ascii="Helvetica;sans-serif" w:hAnsi="Helvetica;sans-serif"/>
          <w:b/>
          <w:sz w:val="22"/>
        </w:rPr>
        <w:t>Deliverables</w:t>
      </w:r>
      <w:r>
        <w:rPr>
          <w:rFonts w:ascii="Aptos" w:hAnsi="Aptos"/>
          <w:sz w:val="24"/>
        </w:rPr>
        <w:t>”</w:t>
      </w:r>
      <w:r>
        <w:rPr>
          <w:rFonts w:ascii="Helvetica;sans-serif" w:hAnsi="Helvetica;sans-serif"/>
          <w:sz w:val="22"/>
        </w:rPr>
        <w:t>). Consultant will take all acts and cause to be done all acts as necessary to ensure that all right title and interest in Deliverables is vested in Kiniksa. For purposes of the copyright laws of the United States, Deliverables will constitute “works made for hire,” except to the extent such Deliverables cannot by law be “works made for hire.”  Kiniksa will have the right to use Deliverables for any and all purposes.  During and after the term of this Agreement, Consultant will cooperate fully in obtaining patent and other proprietary protection for any patentable Deliverables, all in the name of Kiniksa and at Kiniksa’s cost and expense.  Such cooperation will include, without limitation, executing and delivering all requested applications, assignments and other documents, and taking such other measures as Kiniksa may reasonably request in order to perfect and enforce Kiniksa’s rights in the Deliverables.  Consultant appoints Kiniksa its attorney-in-fact to execute and deliver any such documents on behalf of Consultant if Consultant fails to do so.  Consultant will, however, retain full ownership rights in and to all templates, programs and other materials developed or obtained or licensed from third parties by Consultant (“</w:t>
      </w:r>
      <w:r>
        <w:rPr>
          <w:rFonts w:ascii="Helvetica;sans-serif" w:hAnsi="Helvetica;sans-serif"/>
          <w:b/>
          <w:sz w:val="22"/>
        </w:rPr>
        <w:t>Consultant Property</w:t>
      </w:r>
      <w:r>
        <w:rPr>
          <w:rFonts w:ascii="Aptos" w:hAnsi="Aptos"/>
          <w:sz w:val="24"/>
        </w:rPr>
        <w:t>”</w:t>
      </w:r>
      <w:r>
        <w:rPr>
          <w:rFonts w:ascii="Helvetica;sans-serif" w:hAnsi="Helvetica;sans-serif"/>
          <w:sz w:val="22"/>
        </w:rPr>
        <w:t>) prior to or independent of the Services, regardless of whether such Consultant Property is used in the performance of the Services.  Consultant hereby grants to Kiniksa a perpetual, non-exclusive, fully paid-up worldwide license to use Consultant Property solely to the extent required for Kiniksa’s use of the Deliverables. To Consultant’s best knowledge, Consultant’s performance under this Agreement and the Deliverables will not violate or infringe the intellectual property rights of, or its obligations of confidentiality and non-use to, any third party.</w:t>
      </w:r>
    </w:p>
    <w:p>
      <w:pPr>
        <w:pStyle w:val="TextBody"/>
        <w:bidi w:val="0"/>
        <w:spacing w:lineRule="auto" w:line="331" w:before="0" w:after="160"/>
        <w:ind w:left="1440" w:right="0" w:hanging="0"/>
        <w:jc w:val="both"/>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 xml:space="preserve">3.3Work at Third Party Facilities. </w:t>
      </w:r>
      <w:r>
        <w:rPr>
          <w:rFonts w:ascii="Helvetica;sans-serif" w:hAnsi="Helvetica;sans-serif"/>
          <w:sz w:val="22"/>
        </w:rPr>
        <w:t xml:space="preserve">Consultant will not use any third party facilities or intellectual property in performing the Services without Kiniksa’s prior written consent. </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Aptos" w:hAnsi="Aptos"/>
          <w:sz w:val="24"/>
        </w:rPr>
      </w:pPr>
      <w:r>
        <w:rPr>
          <w:rFonts w:ascii="Helvetica;sans-serif" w:hAnsi="Helvetica;sans-serif"/>
          <w:b/>
          <w:sz w:val="22"/>
        </w:rPr>
        <w:t>3.4Records; Records Storage.  </w:t>
      </w:r>
      <w:r>
        <w:rPr>
          <w:rFonts w:ascii="Helvetica;sans-serif" w:hAnsi="Helvetica;sans-serif"/>
          <w:sz w:val="22"/>
        </w:rPr>
        <w:t>Consultant will maintain all materials and all other data and documentation obtained or generated by Consultant in the course of preparing for and providing the Services, including all computerized records and files (the “</w:t>
      </w:r>
      <w:r>
        <w:rPr>
          <w:rFonts w:ascii="Helvetica;sans-serif" w:hAnsi="Helvetica;sans-serif"/>
          <w:b/>
          <w:sz w:val="22"/>
        </w:rPr>
        <w:t>Records</w:t>
      </w:r>
      <w:r>
        <w:rPr>
          <w:rFonts w:ascii="Aptos" w:hAnsi="Aptos"/>
          <w:sz w:val="24"/>
        </w:rPr>
        <w:t>”</w:t>
      </w:r>
      <w:r>
        <w:rPr>
          <w:rFonts w:ascii="Helvetica;sans-serif" w:hAnsi="Helvetica;sans-serif"/>
          <w:sz w:val="22"/>
        </w:rPr>
        <w:t>) in a secure area reasonably protected from fire, theft and destruction.  These Records will be “works made for hire” and will remain the exclusive property of Kiniksa. Upon written instruction of Kiniksa, all Records will, at Kiniksa’s option either be (a) delivered to Kiniksa or to its designee, or (b) disposed of, unless such Records are otherwise required to be stored or maintained by Consultant as a matter of law or regulation.  In no event will Consultant dispose of any such Records without first giving Kiniksa sixty (60) days’ prior written notice of Consultant’s intent to do so.  Consultant may, however, retain copies of any Records</w:t>
      </w:r>
      <w:r>
        <w:rPr>
          <w:rFonts w:ascii="Aptos" w:hAnsi="Aptos"/>
          <w:sz w:val="24"/>
        </w:rPr>
        <w:t xml:space="preserve"> </w:t>
      </w:r>
      <w:r>
        <w:rPr>
          <w:rFonts w:ascii="Helvetica;sans-serif" w:hAnsi="Helvetica;sans-serif"/>
          <w:sz w:val="22"/>
        </w:rPr>
        <w:t>as are reasonably necessary for regulatory or insurance</w:t>
      </w:r>
      <w:r>
        <w:rPr>
          <w:rFonts w:ascii="Aptos" w:hAnsi="Aptos"/>
          <w:sz w:val="24"/>
        </w:rPr>
        <w:t xml:space="preserve"> </w:t>
      </w:r>
      <w:r>
        <w:rPr>
          <w:rFonts w:ascii="Helvetica;sans-serif" w:hAnsi="Helvetica;sans-serif"/>
          <w:sz w:val="22"/>
        </w:rPr>
        <w:t>purposes, subject to Consultant’s obligation of confidentiality</w:t>
      </w:r>
      <w:r>
        <w:rPr>
          <w:rFonts w:ascii="Helvetica;sans-serif" w:hAnsi="Helvetica;sans-serif"/>
          <w:b/>
          <w:sz w:val="22"/>
        </w:rPr>
        <w:t xml:space="preserve">. </w:t>
      </w:r>
    </w:p>
    <w:p>
      <w:pPr>
        <w:pStyle w:val="TextBody"/>
        <w:bidi w:val="0"/>
        <w:spacing w:lineRule="auto" w:line="331" w:before="0" w:after="160"/>
        <w:ind w:left="900" w:right="0" w:hanging="0"/>
        <w:jc w:val="both"/>
        <w:rPr/>
      </w:pPr>
      <w:r>
        <w:rPr/>
        <w:t> ​</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4.Confidential Information and Publicity.  </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left"/>
        <w:rPr>
          <w:rFonts w:ascii="Aptos" w:hAnsi="Aptos"/>
          <w:sz w:val="22"/>
        </w:rPr>
      </w:pPr>
      <w:r>
        <w:rPr>
          <w:rFonts w:ascii="Helvetica;sans-serif" w:hAnsi="Helvetica;sans-serif"/>
          <w:b/>
          <w:i w:val="false"/>
          <w:caps w:val="false"/>
          <w:smallCaps w:val="false"/>
          <w:sz w:val="22"/>
        </w:rPr>
        <w:t>4.1</w:t>
      </w:r>
      <w:r>
        <w:rPr>
          <w:rFonts w:ascii="Helvetica;sans-serif" w:hAnsi="Helvetica;sans-serif"/>
          <w:b/>
          <w:sz w:val="22"/>
        </w:rPr>
        <w:t>Definition.</w:t>
      </w:r>
      <w:r>
        <w:rPr>
          <w:rFonts w:ascii="Aptos" w:hAnsi="Aptos"/>
          <w:sz w:val="22"/>
        </w:rPr>
        <w:t xml:space="preserve">  “</w:t>
      </w:r>
      <w:r>
        <w:rPr>
          <w:rFonts w:ascii="Helvetica;sans-serif" w:hAnsi="Helvetica;sans-serif"/>
          <w:b/>
          <w:sz w:val="22"/>
        </w:rPr>
        <w:t>Confidential Information</w:t>
      </w:r>
      <w:r>
        <w:rPr>
          <w:rFonts w:ascii="Aptos" w:hAnsi="Aptos"/>
          <w:sz w:val="22"/>
        </w:rPr>
        <w:t xml:space="preserve">” </w:t>
      </w:r>
      <w:r>
        <w:rPr>
          <w:rFonts w:ascii="Helvetica;sans-serif" w:hAnsi="Helvetica;sans-serif"/>
          <w:sz w:val="22"/>
        </w:rPr>
        <w:t>means all scientific, technical, financial or business information owned, possessed or used by Kiniksa or its affiliates, learned of by Consultant or developed by Consultant in connection with the Services, whether or not labeled “Confidential”, including but not limited to (a) Deliverables, Materials, scientific data and sequence information, (b) marketing plans, business strategies, financial information, forecasts, personnel information and customer lists of Kiniksa and its affiliates, and (c) all information of third parties that Kiniksa has an obligation to keep confidential.  </w:t>
      </w:r>
    </w:p>
    <w:p>
      <w:pPr>
        <w:pStyle w:val="TextBody"/>
        <w:bidi w:val="0"/>
        <w:spacing w:lineRule="auto" w:line="331" w:before="0" w:after="160"/>
        <w:ind w:left="0" w:right="0" w:firstLine="1440"/>
        <w:jc w:val="both"/>
        <w:rPr/>
      </w:pPr>
      <w:r>
        <w:rPr/>
        <w:t>​</w:t>
      </w:r>
    </w:p>
    <w:p>
      <w:pPr>
        <w:pStyle w:val="TextBody"/>
        <w:bidi w:val="0"/>
        <w:spacing w:lineRule="auto" w:line="285" w:before="0" w:after="0"/>
        <w:ind w:left="0" w:right="0" w:hanging="0"/>
        <w:jc w:val="left"/>
        <w:rPr>
          <w:rFonts w:ascii="Aptos" w:hAnsi="Aptos"/>
          <w:sz w:val="22"/>
        </w:rPr>
      </w:pPr>
      <w:r>
        <w:rPr>
          <w:rFonts w:ascii="Helvetica;sans-serif" w:hAnsi="Helvetica;sans-serif"/>
          <w:b/>
          <w:i w:val="false"/>
          <w:caps w:val="false"/>
          <w:smallCaps w:val="false"/>
          <w:sz w:val="22"/>
        </w:rPr>
        <w:t>4.2</w:t>
      </w:r>
      <w:r>
        <w:rPr>
          <w:rFonts w:ascii="Helvetica;sans-serif" w:hAnsi="Helvetica;sans-serif"/>
          <w:b/>
          <w:sz w:val="22"/>
        </w:rPr>
        <w:t>Obligations of Confidentiality</w:t>
      </w:r>
      <w:r>
        <w:rPr>
          <w:rFonts w:ascii="Helvetica;sans-serif" w:hAnsi="Helvetica;sans-serif"/>
          <w:sz w:val="22"/>
        </w:rPr>
        <w:t>.  During the Term and for a period of five (5) years thereafter, Consultant will not directly or indirectly publish, disseminate or otherwise disclose, use for Consultant’s own benefit or for the benefit of a third party, deliver or make available to any third party, any Confidential Information, other than in furtherance of the purposes of this Agreement, and only then with the prior written consent of Kiniksa.  Consultant will exercise all reasonable precautions to physically protect the integrity and confidentiality of the Confidential Information.  </w:t>
      </w:r>
    </w:p>
    <w:p>
      <w:pPr>
        <w:pStyle w:val="TextBody"/>
        <w:bidi w:val="0"/>
        <w:spacing w:lineRule="auto" w:line="331" w:before="0" w:after="160"/>
        <w:ind w:left="0" w:right="0" w:firstLine="1440"/>
        <w:jc w:val="both"/>
        <w:rPr/>
      </w:pPr>
      <w:r>
        <w:rPr/>
        <w:t>​</w:t>
      </w:r>
    </w:p>
    <w:p>
      <w:pPr>
        <w:pStyle w:val="TextBody"/>
        <w:bidi w:val="0"/>
        <w:spacing w:lineRule="auto" w:line="285" w:before="0" w:after="240"/>
        <w:ind w:left="0" w:right="0" w:hanging="0"/>
        <w:jc w:val="left"/>
        <w:rPr>
          <w:rFonts w:ascii="Aptos" w:hAnsi="Aptos"/>
          <w:sz w:val="22"/>
        </w:rPr>
      </w:pPr>
      <w:r>
        <w:rPr>
          <w:rFonts w:ascii="Helvetica;sans-serif" w:hAnsi="Helvetica;sans-serif"/>
          <w:b/>
          <w:i w:val="false"/>
          <w:caps w:val="false"/>
          <w:smallCaps w:val="false"/>
          <w:spacing w:val="-2"/>
          <w:sz w:val="22"/>
        </w:rPr>
        <w:t>4.3</w:t>
      </w:r>
      <w:r>
        <w:rPr>
          <w:rFonts w:ascii="Helvetica;sans-serif" w:hAnsi="Helvetica;sans-serif"/>
          <w:b/>
          <w:spacing w:val="-2"/>
          <w:sz w:val="22"/>
        </w:rPr>
        <w:t>Exceptions.  </w:t>
      </w:r>
      <w:r>
        <w:rPr>
          <w:rFonts w:ascii="Helvetica;sans-serif" w:hAnsi="Helvetica;sans-serif"/>
          <w:spacing w:val="-2"/>
          <w:sz w:val="22"/>
        </w:rPr>
        <w:t>Consultant will have no obligations of confidentiality and non-use with respect to any portion of the Confidential Information which:</w:t>
      </w:r>
    </w:p>
    <w:p>
      <w:pPr>
        <w:pStyle w:val="TextBody"/>
        <w:bidi w:val="0"/>
        <w:spacing w:lineRule="auto" w:line="285" w:before="0" w:after="0"/>
        <w:ind w:left="0" w:right="0" w:firstLine="2160"/>
        <w:jc w:val="both"/>
        <w:rPr>
          <w:rFonts w:ascii="Helvetica;sans-serif" w:hAnsi="Helvetica;sans-serif"/>
          <w:sz w:val="22"/>
        </w:rPr>
      </w:pPr>
      <w:r>
        <w:rPr>
          <w:rFonts w:ascii="Helvetica;sans-serif" w:hAnsi="Helvetica;sans-serif"/>
          <w:sz w:val="22"/>
        </w:rPr>
        <w:t xml:space="preserve">(a)is or later becomes generally available to the public by use, publication or the like, through no fault of Consultant; </w:t>
      </w:r>
    </w:p>
    <w:p>
      <w:pPr>
        <w:pStyle w:val="TextBody"/>
        <w:bidi w:val="0"/>
        <w:spacing w:lineRule="auto" w:line="331" w:before="0" w:after="160"/>
        <w:ind w:left="0" w:right="0" w:firstLine="2160"/>
        <w:jc w:val="both"/>
        <w:rPr/>
      </w:pPr>
      <w:r>
        <w:rPr/>
        <w:t>​</w:t>
      </w:r>
    </w:p>
    <w:p>
      <w:pPr>
        <w:pStyle w:val="TextBody"/>
        <w:bidi w:val="0"/>
        <w:spacing w:lineRule="auto" w:line="285" w:before="0" w:after="0"/>
        <w:ind w:left="0" w:right="0" w:firstLine="2160"/>
        <w:jc w:val="both"/>
        <w:rPr>
          <w:rFonts w:ascii="Helvetica;sans-serif" w:hAnsi="Helvetica;sans-serif"/>
          <w:sz w:val="22"/>
        </w:rPr>
      </w:pPr>
      <w:r>
        <w:rPr>
          <w:rFonts w:ascii="Helvetica;sans-serif" w:hAnsi="Helvetica;sans-serif"/>
          <w:sz w:val="22"/>
        </w:rPr>
        <w:t>(b)is obtained from a third party who had the legal right to disclose it to Consultant; or</w:t>
      </w:r>
    </w:p>
    <w:p>
      <w:pPr>
        <w:pStyle w:val="TextBody"/>
        <w:bidi w:val="0"/>
        <w:spacing w:lineRule="auto" w:line="285" w:before="0" w:after="0"/>
        <w:ind w:left="0" w:right="0" w:firstLine="2160"/>
        <w:jc w:val="both"/>
        <w:rPr>
          <w:rFonts w:ascii="Helvetica;sans-serif" w:hAnsi="Helvetica;sans-serif"/>
          <w:sz w:val="22"/>
        </w:rPr>
      </w:pPr>
      <w:r>
        <w:rPr>
          <w:rFonts w:ascii="Helvetica;sans-serif" w:hAnsi="Helvetica;sans-serif"/>
          <w:sz w:val="22"/>
        </w:rPr>
        <w:t>(c)Consultant already possesses, as evidenced by Consultant’s written records that predate the receipt thereof.</w:t>
      </w:r>
    </w:p>
    <w:p>
      <w:pPr>
        <w:pStyle w:val="TextBody"/>
        <w:bidi w:val="0"/>
        <w:spacing w:lineRule="auto" w:line="331" w:before="0" w:after="160"/>
        <w:ind w:left="0" w:right="0" w:firstLine="1440"/>
        <w:jc w:val="both"/>
        <w:rPr/>
      </w:pPr>
      <w:r>
        <w:rPr/>
        <w:t>​</w:t>
      </w:r>
    </w:p>
    <w:p>
      <w:pPr>
        <w:pStyle w:val="TextBody"/>
        <w:bidi w:val="0"/>
        <w:spacing w:lineRule="auto" w:line="285" w:before="0" w:after="0"/>
        <w:ind w:left="0" w:right="0" w:firstLine="1440"/>
        <w:jc w:val="both"/>
        <w:rPr>
          <w:rFonts w:ascii="Helvetica;sans-serif" w:hAnsi="Helvetica;sans-serif"/>
          <w:sz w:val="22"/>
        </w:rPr>
      </w:pPr>
      <w:r>
        <w:rPr>
          <w:rFonts w:ascii="Helvetica;sans-serif" w:hAnsi="Helvetica;sans-serif"/>
          <w:sz w:val="22"/>
        </w:rPr>
        <w:t>In the event that Consultant is required by law or court order to disclose any Confidential Information, Consultant will give Kiniksa prompt notice thereof so that Kiniksa may seek an appropriate protective order.  Consultant will reasonably cooperate with Kiniksa in its efforts to seek such a protective order.</w:t>
      </w:r>
    </w:p>
    <w:p>
      <w:pPr>
        <w:pStyle w:val="TextBody"/>
        <w:bidi w:val="0"/>
        <w:spacing w:lineRule="auto" w:line="331" w:before="0" w:after="160"/>
        <w:ind w:left="0" w:right="0" w:firstLine="1440"/>
        <w:jc w:val="both"/>
        <w:rPr/>
      </w:pPr>
      <w:r>
        <w:rPr/>
        <w:t>​</w:t>
      </w:r>
    </w:p>
    <w:p>
      <w:pPr>
        <w:pStyle w:val="TextBody"/>
        <w:bidi w:val="0"/>
        <w:spacing w:lineRule="auto" w:line="285" w:before="0" w:after="240"/>
        <w:ind w:left="0" w:right="0" w:hanging="0"/>
        <w:jc w:val="left"/>
        <w:rPr>
          <w:rFonts w:ascii="Aptos" w:hAnsi="Aptos"/>
          <w:sz w:val="22"/>
        </w:rPr>
      </w:pPr>
      <w:r>
        <w:rPr>
          <w:rFonts w:ascii="Helvetica;sans-serif" w:hAnsi="Helvetica;sans-serif"/>
          <w:b/>
          <w:i w:val="false"/>
          <w:caps w:val="false"/>
          <w:smallCaps w:val="false"/>
          <w:spacing w:val="-2"/>
          <w:sz w:val="22"/>
        </w:rPr>
        <w:t>4.4</w:t>
      </w:r>
      <w:r>
        <w:rPr>
          <w:rFonts w:ascii="Helvetica;sans-serif" w:hAnsi="Helvetica;sans-serif"/>
          <w:b/>
          <w:spacing w:val="-2"/>
          <w:sz w:val="22"/>
        </w:rPr>
        <w:t xml:space="preserve">No Publicity. </w:t>
      </w:r>
      <w:r>
        <w:rPr>
          <w:rFonts w:ascii="Helvetica;sans-serif" w:hAnsi="Helvetica;sans-serif"/>
          <w:spacing w:val="-2"/>
          <w:sz w:val="22"/>
        </w:rPr>
        <w:t>Consultant must not use Kiniksa’s name, trade name, trademark or other designation of Kiniksa in connection with any product, service, promotion or advertising without the express prior written consent of Kiniksa.</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before="0" w:after="0"/>
        <w:ind w:left="0" w:right="0" w:hanging="0"/>
        <w:jc w:val="both"/>
        <w:rPr>
          <w:rFonts w:ascii="Helvetica;sans-serif" w:hAnsi="Helvetica;sans-serif"/>
          <w:b/>
          <w:sz w:val="22"/>
        </w:rPr>
      </w:pPr>
      <w:r>
        <w:rPr>
          <w:rFonts w:ascii="Helvetica;sans-serif" w:hAnsi="Helvetica;sans-serif"/>
          <w:b/>
          <w:sz w:val="22"/>
        </w:rPr>
        <w:t>5.Indemnification.</w:t>
      </w:r>
    </w:p>
    <w:p>
      <w:pPr>
        <w:pStyle w:val="TextBody"/>
        <w:bidi w:val="0"/>
        <w:spacing w:lineRule="auto" w:line="331" w:before="0" w:after="160"/>
        <w:ind w:left="0" w:right="0" w:hanging="0"/>
        <w:jc w:val="both"/>
        <w:rPr/>
      </w:pPr>
      <w:r>
        <w:rPr/>
        <w:t>​</w:t>
      </w:r>
    </w:p>
    <w:p>
      <w:pPr>
        <w:pStyle w:val="TextBody"/>
        <w:bidi w:val="0"/>
        <w:spacing w:before="0" w:after="0"/>
        <w:ind w:left="0" w:right="0" w:hanging="0"/>
        <w:jc w:val="both"/>
        <w:rPr>
          <w:rFonts w:ascii="Aptos" w:hAnsi="Aptos"/>
          <w:sz w:val="24"/>
        </w:rPr>
      </w:pPr>
      <w:r>
        <w:rPr>
          <w:rFonts w:ascii="Helvetica;sans-serif" w:hAnsi="Helvetica;sans-serif"/>
          <w:b/>
          <w:sz w:val="22"/>
        </w:rPr>
        <w:t>5.1</w:t>
      </w:r>
      <w:r>
        <w:rPr>
          <w:rFonts w:ascii="Aptos" w:hAnsi="Aptos"/>
          <w:sz w:val="24"/>
        </w:rPr>
        <w:t xml:space="preserve"> </w:t>
      </w:r>
      <w:r>
        <w:rPr>
          <w:rFonts w:ascii="Helvetica;sans-serif" w:hAnsi="Helvetica;sans-serif"/>
          <w:b/>
          <w:sz w:val="22"/>
        </w:rPr>
        <w:t>Indemnification of Kiniksa by Consultant.  </w:t>
      </w:r>
      <w:r>
        <w:rPr>
          <w:rFonts w:ascii="Helvetica;sans-serif" w:hAnsi="Helvetica;sans-serif"/>
          <w:sz w:val="22"/>
        </w:rPr>
        <w:t>Consultant shall defend, indemnify, and hold harmless Kiniksa and its affiliates and their respective officers, directors, agents and employees from and against all liabilities, expenses, and costs (including reasonable attorneys’ fees and court costs) arising out of any claim, complaint, suit, proceeding or cause of action against any of them, in each case by a third party (each, a “</w:t>
      </w:r>
      <w:r>
        <w:rPr>
          <w:rFonts w:ascii="Helvetica;sans-serif" w:hAnsi="Helvetica;sans-serif"/>
          <w:b/>
          <w:sz w:val="22"/>
        </w:rPr>
        <w:t>Claim</w:t>
      </w:r>
      <w:r>
        <w:rPr>
          <w:rFonts w:ascii="Aptos" w:hAnsi="Aptos"/>
          <w:sz w:val="24"/>
        </w:rPr>
        <w:t>”</w:t>
      </w:r>
      <w:r>
        <w:rPr>
          <w:rFonts w:ascii="Helvetica;sans-serif" w:hAnsi="Helvetica;sans-serif"/>
          <w:sz w:val="22"/>
        </w:rPr>
        <w:t>) to the extent arising from or in connection with: (a) any inaccuracy in any representation or warranty made by Consultant in this Agreement, including, without limitation, any related Work Order; (b) any breach or alleged breach of any covenant or obligation of Consultant in this Agreement, including, without limitation, any related Work Order; (c) any willful misconduct or negligent act, error or omission of Consultant or Consultant’s agents or other representatives; or (d) any breach of any applicable law, rule, or regulation by Consultant in connection with this Agreement.</w:t>
      </w:r>
    </w:p>
    <w:p>
      <w:pPr>
        <w:pStyle w:val="TextBody"/>
        <w:bidi w:val="0"/>
        <w:spacing w:lineRule="auto" w:line="331" w:before="0" w:after="160"/>
        <w:ind w:left="0" w:right="0" w:hanging="0"/>
        <w:jc w:val="both"/>
        <w:rPr/>
      </w:pPr>
      <w:r>
        <w:rPr/>
        <w:t>​</w:t>
      </w:r>
    </w:p>
    <w:p>
      <w:pPr>
        <w:pStyle w:val="TextBody"/>
        <w:bidi w:val="0"/>
        <w:spacing w:before="0" w:after="0"/>
        <w:ind w:left="0" w:right="0" w:hanging="0"/>
        <w:jc w:val="both"/>
        <w:rPr>
          <w:rFonts w:ascii="Aptos" w:hAnsi="Aptos"/>
          <w:sz w:val="24"/>
        </w:rPr>
      </w:pPr>
      <w:r>
        <w:rPr>
          <w:rFonts w:ascii="Helvetica;sans-serif" w:hAnsi="Helvetica;sans-serif"/>
          <w:b/>
          <w:sz w:val="22"/>
        </w:rPr>
        <w:t>5.2Indemnification of Consultant by Kiniksa</w:t>
      </w:r>
      <w:r>
        <w:rPr>
          <w:rFonts w:ascii="Helvetica;sans-serif" w:hAnsi="Helvetica;sans-serif"/>
          <w:sz w:val="22"/>
        </w:rPr>
        <w:t>. Kiniksa shall defend, indemnify, and hold harmless Consultant and Consultant’s agents or other representatives, from and against all Claims to the extent arising from or in connection with (i) Kiniksa’s use of the Deliverables or (ii) breach or alleged breach of any covenant or obligation of Kiniksa or its affiliates in this Agreement.</w:t>
      </w:r>
    </w:p>
    <w:p>
      <w:pPr>
        <w:pStyle w:val="TextBody"/>
        <w:bidi w:val="0"/>
        <w:spacing w:lineRule="auto" w:line="331" w:before="0" w:after="160"/>
        <w:ind w:left="0" w:right="0" w:hanging="0"/>
        <w:jc w:val="both"/>
        <w:rPr/>
      </w:pPr>
      <w:r>
        <w:rPr/>
        <w:t>​</w:t>
      </w:r>
    </w:p>
    <w:p>
      <w:pPr>
        <w:pStyle w:val="TextBody"/>
        <w:bidi w:val="0"/>
        <w:spacing w:before="0" w:after="0"/>
        <w:ind w:left="0" w:right="0" w:hanging="0"/>
        <w:jc w:val="both"/>
        <w:rPr>
          <w:rFonts w:ascii="Aptos" w:hAnsi="Aptos"/>
          <w:sz w:val="24"/>
        </w:rPr>
      </w:pPr>
      <w:r>
        <w:rPr>
          <w:rFonts w:ascii="Helvetica;sans-serif" w:hAnsi="Helvetica;sans-serif"/>
          <w:b/>
          <w:sz w:val="22"/>
        </w:rPr>
        <w:t>5.3  Indemnification Procedure</w:t>
      </w:r>
      <w:r>
        <w:rPr>
          <w:rFonts w:ascii="Helvetica;sans-serif" w:hAnsi="Helvetica;sans-serif"/>
          <w:sz w:val="22"/>
        </w:rPr>
        <w:t>.  Any Party seeking indemnification under this Section 5 (the “</w:t>
      </w:r>
      <w:r>
        <w:rPr>
          <w:rFonts w:ascii="Helvetica;sans-serif" w:hAnsi="Helvetica;sans-serif"/>
          <w:b/>
          <w:sz w:val="22"/>
        </w:rPr>
        <w:t>Indemnitee</w:t>
      </w:r>
      <w:r>
        <w:rPr>
          <w:rFonts w:ascii="Aptos" w:hAnsi="Aptos"/>
          <w:sz w:val="24"/>
        </w:rPr>
        <w:t>”</w:t>
      </w:r>
      <w:r>
        <w:rPr>
          <w:rFonts w:ascii="Helvetica;sans-serif" w:hAnsi="Helvetica;sans-serif"/>
          <w:sz w:val="22"/>
        </w:rPr>
        <w:t>) shall promptly notify the indemnifying Party (the “</w:t>
      </w:r>
      <w:r>
        <w:rPr>
          <w:rFonts w:ascii="Helvetica;sans-serif" w:hAnsi="Helvetica;sans-serif"/>
          <w:b/>
          <w:sz w:val="22"/>
        </w:rPr>
        <w:t>Indemnitor</w:t>
      </w:r>
      <w:r>
        <w:rPr>
          <w:rFonts w:ascii="Aptos" w:hAnsi="Aptos"/>
          <w:sz w:val="24"/>
        </w:rPr>
        <w:t>”</w:t>
      </w:r>
      <w:r>
        <w:rPr>
          <w:rFonts w:ascii="Helvetica;sans-serif" w:hAnsi="Helvetica;sans-serif"/>
          <w:sz w:val="22"/>
        </w:rPr>
        <w:t xml:space="preserve">) in writing of any possible Claim, and the Indemnitor shall assume and have exclusive control over the defense thereof with counsel selected by the Indemnitor that is reasonably satisfactory to the Indemnitee; </w:t>
      </w:r>
      <w:r>
        <w:rPr>
          <w:rFonts w:ascii="Helvetica;sans-serif" w:hAnsi="Helvetica;sans-serif"/>
          <w:i/>
          <w:sz w:val="22"/>
        </w:rPr>
        <w:t>provided, however</w:t>
      </w:r>
      <w:r>
        <w:rPr>
          <w:rFonts w:ascii="Helvetica;sans-serif" w:hAnsi="Helvetica;sans-serif"/>
          <w:sz w:val="22"/>
        </w:rPr>
        <w:t>, that the Indemnitee shall have the right to fully participate in any such action or proceeding and to retain its own (additional) counsel at its own expense (provided</w:t>
      </w:r>
      <w:r>
        <w:rPr>
          <w:rFonts w:ascii="Aptos" w:hAnsi="Aptos"/>
          <w:sz w:val="24"/>
        </w:rPr>
        <w:t xml:space="preserve"> </w:t>
      </w:r>
      <w:r>
        <w:rPr>
          <w:rFonts w:ascii="Helvetica;sans-serif" w:hAnsi="Helvetica;sans-serif"/>
          <w:sz w:val="22"/>
        </w:rPr>
        <w:t>that the reasonable fees and expenses of such counsel for the Indemnitee shall be paid by the Indemnitor only if representation of such Indemnitee by the counsel retained by the Indemnitor would be inappropriate under applicable standards of professional conduct due to actual or potential differing interests between such Indemnitee and any other party represented by such counsel in such proceedings).  Neither the Indemnitor nor the Indemnitee shall enter into any settlement agreement with any third party without the prior written consent of the other Party, which consent will not be unreasonably withheld or delayed, unless such settlement:</w:t>
      </w:r>
      <w:bookmarkStart w:id="1160" w:name="a446738"/>
      <w:bookmarkEnd w:id="1160"/>
      <w:r>
        <w:rPr>
          <w:rFonts w:ascii="Aptos" w:hAnsi="Aptos"/>
          <w:sz w:val="24"/>
        </w:rPr>
        <w:t xml:space="preserve"> </w:t>
      </w:r>
      <w:r>
        <w:rPr>
          <w:rFonts w:ascii="Helvetica;sans-serif" w:hAnsi="Helvetica;sans-serif"/>
          <w:sz w:val="22"/>
        </w:rPr>
        <w:t>(i) includes an unconditional release of Indemnitee from all liability arising out of such claim;</w:t>
      </w:r>
      <w:bookmarkStart w:id="1161" w:name="a183750"/>
      <w:bookmarkEnd w:id="1161"/>
      <w:r>
        <w:rPr>
          <w:rFonts w:ascii="Aptos" w:hAnsi="Aptos"/>
          <w:sz w:val="24"/>
        </w:rPr>
        <w:t xml:space="preserve"> </w:t>
      </w:r>
      <w:r>
        <w:rPr>
          <w:rFonts w:ascii="Helvetica;sans-serif" w:hAnsi="Helvetica;sans-serif"/>
          <w:sz w:val="22"/>
        </w:rPr>
        <w:t>(ii) does not contain any admission or statement suggesting any wrongdoing or liability on behalf of Indemnitee; and</w:t>
      </w:r>
      <w:bookmarkStart w:id="1162" w:name="a1030799"/>
      <w:bookmarkEnd w:id="1162"/>
      <w:r>
        <w:rPr>
          <w:rFonts w:ascii="Aptos" w:hAnsi="Aptos"/>
          <w:sz w:val="24"/>
        </w:rPr>
        <w:t xml:space="preserve"> </w:t>
      </w:r>
      <w:r>
        <w:rPr>
          <w:rFonts w:ascii="Helvetica;sans-serif" w:hAnsi="Helvetica;sans-serif"/>
          <w:sz w:val="22"/>
        </w:rPr>
        <w:t>(iii) does not contain any equitable order, judgment or term (other than the fact of payment or the amount of such payment) that in any manner affects, restrains or interferes with the business of Indemnitee.  The failure to deliver notice to the Indemnitor within a reasonable time after the commencement of any action, to the extent prejudicial to its ability to defend such action, will relieve the Indemnitor of its obligations under this Section 5, but the failure to deliver notice to the Indemnitor will not relieve the Indemnitor of any obligation that it may have to any Indemnitee hereunder otherwise than as stated in this sentence.  The Indemnitee shall, at expense of the Indemnitor, reasonably cooperate with the Indemnitor and its legal representatives in the investigation and defense of any Claim covered by this Agreement.</w:t>
      </w:r>
    </w:p>
    <w:p>
      <w:pPr>
        <w:pStyle w:val="TextBody"/>
        <w:bidi w:val="0"/>
        <w:spacing w:lineRule="auto" w:line="331" w:before="0" w:after="160"/>
        <w:ind w:left="0" w:right="0" w:hanging="0"/>
        <w:jc w:val="both"/>
        <w:rPr/>
      </w:pPr>
      <w:r>
        <w:rPr/>
        <w:t>​</w:t>
      </w:r>
    </w:p>
    <w:p>
      <w:pPr>
        <w:pStyle w:val="TextBody"/>
        <w:bidi w:val="0"/>
        <w:spacing w:before="0" w:after="0"/>
        <w:ind w:left="0" w:right="0" w:hanging="0"/>
        <w:jc w:val="left"/>
        <w:rPr>
          <w:rFonts w:ascii="Aptos" w:hAnsi="Aptos"/>
          <w:sz w:val="22"/>
        </w:rPr>
      </w:pPr>
      <w:r>
        <w:rPr>
          <w:rFonts w:ascii="Helvetica;sans-serif" w:hAnsi="Helvetica;sans-serif"/>
          <w:b/>
          <w:i w:val="false"/>
          <w:caps w:val="false"/>
          <w:smallCaps w:val="false"/>
          <w:sz w:val="22"/>
        </w:rPr>
        <w:t>6.</w:t>
      </w:r>
      <w:r>
        <w:rPr>
          <w:rFonts w:ascii="Helvetica;sans-serif" w:hAnsi="Helvetica;sans-serif"/>
          <w:b/>
          <w:sz w:val="22"/>
        </w:rPr>
        <w:t>Term and</w:t>
      </w:r>
      <w:r>
        <w:rPr>
          <w:rFonts w:ascii="Aptos" w:hAnsi="Aptos"/>
          <w:sz w:val="22"/>
        </w:rPr>
        <w:t xml:space="preserve"> </w:t>
      </w:r>
      <w:r>
        <w:rPr>
          <w:rFonts w:ascii="Helvetica;sans-serif" w:hAnsi="Helvetica;sans-serif"/>
          <w:b/>
          <w:sz w:val="22"/>
        </w:rPr>
        <w:t>Termination</w:t>
      </w:r>
      <w:r>
        <w:rPr>
          <w:rFonts w:ascii="Helvetica;sans-serif" w:hAnsi="Helvetica;sans-serif"/>
          <w:sz w:val="22"/>
        </w:rPr>
        <w:t>.  </w:t>
      </w:r>
    </w:p>
    <w:p>
      <w:pPr>
        <w:pStyle w:val="TextBody"/>
        <w:bidi w:val="0"/>
        <w:spacing w:lineRule="auto" w:line="285" w:before="0" w:after="0"/>
        <w:ind w:left="0" w:right="0" w:hanging="0"/>
        <w:jc w:val="left"/>
        <w:rPr>
          <w:rFonts w:ascii="Aptos" w:hAnsi="Aptos"/>
          <w:sz w:val="22"/>
        </w:rPr>
      </w:pPr>
      <w:r>
        <w:rPr>
          <w:rFonts w:ascii="Helvetica;sans-serif" w:hAnsi="Helvetica;sans-serif"/>
          <w:b/>
          <w:i w:val="false"/>
          <w:caps w:val="false"/>
          <w:smallCaps w:val="false"/>
          <w:sz w:val="22"/>
        </w:rPr>
        <w:t>6.1</w:t>
      </w:r>
      <w:r>
        <w:rPr>
          <w:rFonts w:ascii="Helvetica;sans-serif" w:hAnsi="Helvetica;sans-serif"/>
          <w:b/>
          <w:sz w:val="22"/>
        </w:rPr>
        <w:t>Term.  </w:t>
      </w:r>
      <w:r>
        <w:rPr>
          <w:rFonts w:ascii="Helvetica;sans-serif" w:hAnsi="Helvetica;sans-serif"/>
          <w:sz w:val="22"/>
        </w:rPr>
        <w:t xml:space="preserve">This Agreement will commence on the Effective Date and remain in effect for one (1) year and thereafter automatically renew for successive one (1) year periods </w:t>
      </w:r>
      <w:bookmarkStart w:id="1163" w:name="Term"/>
      <w:bookmarkEnd w:id="1163"/>
      <w:r>
        <w:rPr>
          <w:rFonts w:ascii="Helvetica;sans-serif" w:hAnsi="Helvetica;sans-serif"/>
          <w:sz w:val="22"/>
        </w:rPr>
        <w:t>(the “</w:t>
      </w:r>
      <w:r>
        <w:rPr>
          <w:rFonts w:ascii="Helvetica;sans-serif" w:hAnsi="Helvetica;sans-serif"/>
          <w:b/>
          <w:sz w:val="22"/>
        </w:rPr>
        <w:t>Term</w:t>
      </w:r>
      <w:r>
        <w:rPr>
          <w:rFonts w:ascii="Aptos" w:hAnsi="Aptos"/>
          <w:sz w:val="22"/>
        </w:rPr>
        <w:t>”</w:t>
      </w:r>
      <w:r>
        <w:rPr>
          <w:rFonts w:ascii="Helvetica;sans-serif" w:hAnsi="Helvetica;sans-serif"/>
          <w:sz w:val="22"/>
        </w:rPr>
        <w:t>) unless terminated by either party under Section 6.2 of this Agreement.  </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left"/>
        <w:rPr>
          <w:rFonts w:ascii="Aptos" w:hAnsi="Aptos"/>
          <w:sz w:val="22"/>
        </w:rPr>
      </w:pPr>
      <w:r>
        <w:rPr>
          <w:rFonts w:ascii="Helvetica;sans-serif" w:hAnsi="Helvetica;sans-serif"/>
          <w:b/>
          <w:i w:val="false"/>
          <w:caps w:val="false"/>
          <w:smallCaps w:val="false"/>
          <w:sz w:val="22"/>
        </w:rPr>
        <w:t>6.2</w:t>
      </w:r>
      <w:r>
        <w:rPr>
          <w:rFonts w:ascii="Helvetica;sans-serif" w:hAnsi="Helvetica;sans-serif"/>
          <w:b/>
          <w:sz w:val="22"/>
        </w:rPr>
        <w:t>Termination.  </w:t>
      </w:r>
      <w:r>
        <w:rPr>
          <w:rFonts w:ascii="Helvetica;sans-serif" w:hAnsi="Helvetica;sans-serif"/>
          <w:sz w:val="22"/>
        </w:rPr>
        <w:t>Kiniksa or Consultant may terminate this Agreement or any Work Order at any time upon 10-days advance written notice to the other party.</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1440" w:right="0" w:hanging="0"/>
        <w:jc w:val="both"/>
        <w:rPr/>
      </w:pPr>
      <w:r>
        <w:rPr/>
        <w:t>​</w:t>
      </w:r>
    </w:p>
    <w:p>
      <w:pPr>
        <w:pStyle w:val="TextBody"/>
        <w:bidi w:val="0"/>
        <w:spacing w:lineRule="auto" w:line="285" w:before="0" w:after="0"/>
        <w:ind w:left="0" w:right="0" w:hanging="0"/>
        <w:jc w:val="left"/>
        <w:rPr>
          <w:rFonts w:ascii="Aptos" w:hAnsi="Aptos"/>
          <w:sz w:val="22"/>
        </w:rPr>
      </w:pPr>
      <w:r>
        <w:rPr>
          <w:rFonts w:ascii="Helvetica;sans-serif" w:hAnsi="Helvetica;sans-serif"/>
          <w:b/>
          <w:i w:val="false"/>
          <w:caps w:val="false"/>
          <w:smallCaps w:val="false"/>
          <w:sz w:val="22"/>
        </w:rPr>
        <w:t>6.3</w:t>
      </w:r>
      <w:r>
        <w:rPr>
          <w:rFonts w:ascii="Helvetica;sans-serif" w:hAnsi="Helvetica;sans-serif"/>
          <w:b/>
          <w:sz w:val="22"/>
        </w:rPr>
        <w:t>Effect of Expiration/Termination.</w:t>
      </w:r>
      <w:r>
        <w:rPr>
          <w:rFonts w:ascii="Aptos" w:hAnsi="Aptos"/>
          <w:sz w:val="22"/>
        </w:rPr>
        <w:t xml:space="preserve">  </w:t>
      </w:r>
      <w:r>
        <w:rPr>
          <w:rFonts w:ascii="Helvetica;sans-serif" w:hAnsi="Helvetica;sans-serif"/>
          <w:sz w:val="22"/>
        </w:rPr>
        <w:t>Upon expiration or termination of this Agreement or Services under any Work Order, neither Consultant nor Kiniksa will have any further obligations under this Agreement, except that (a) Consultant will terminate all Services in progress in an orderly and non-disruptive manner as soon as practical and in accordance with a schedule agreed to by Kiniksa, unless Kiniksa specifies in the notice of termination that Services in progress should be completed, (b) Consultant will deliver to Kiniksa any Materials in Consultant’s possession or control and all Deliverables made through expiration or termination, (c) Kiniksa will pay Consultant any monies due and owing Consultant, up to the time of the effective date of termination or expiration, for Services actually performed and all authorized expenses actually incurred, (d) Consultant will promptly refund to Kiniksa any monies paid by Kiniksa in advance for Services not rendered, (e) Consultant will immediately return to Kiniksa all Confidential Information and copies thereof provided to Consultant under this Agreement except for one (1) copy which Consultant may retain solely to monitor Consultant’s surviving obligations of confidentiality,  (f) Consultant will immediately return to Kiniksa any and all equipment and supplies provided to Consultant under this Agreement, and (g) the terms, conditions and obligations under Sections 1.5, 1.8, 3, 4, 5, 6.3, and 7 will survive expiration or termination for any reason.</w:t>
      </w:r>
    </w:p>
    <w:p>
      <w:pPr>
        <w:pStyle w:val="TextBody"/>
        <w:bidi w:val="0"/>
        <w:spacing w:lineRule="auto" w:line="331" w:before="0" w:after="160"/>
        <w:ind w:left="0" w:right="0" w:hanging="0"/>
        <w:jc w:val="both"/>
        <w:rPr/>
      </w:pPr>
      <w:r>
        <w:rPr/>
        <w:t>​</w:t>
      </w:r>
    </w:p>
    <w:p>
      <w:pPr>
        <w:pStyle w:val="TextBody"/>
        <w:bidi w:val="0"/>
        <w:spacing w:before="0" w:after="0"/>
        <w:ind w:left="0" w:right="0" w:hanging="0"/>
        <w:jc w:val="both"/>
        <w:rPr>
          <w:rFonts w:ascii="Aptos" w:hAnsi="Aptos"/>
          <w:sz w:val="24"/>
        </w:rPr>
      </w:pPr>
      <w:r>
        <w:rPr>
          <w:rFonts w:ascii="Helvetica;sans-serif" w:hAnsi="Helvetica;sans-serif"/>
          <w:b/>
          <w:sz w:val="22"/>
        </w:rPr>
        <w:t>7.</w:t>
      </w:r>
      <w:r>
        <w:rPr>
          <w:rFonts w:ascii="Aptos" w:hAnsi="Aptos"/>
          <w:sz w:val="24"/>
        </w:rPr>
        <w:t xml:space="preserve">  </w:t>
      </w:r>
      <w:r>
        <w:rPr>
          <w:rFonts w:ascii="Helvetica;sans-serif" w:hAnsi="Helvetica;sans-serif"/>
          <w:b/>
          <w:sz w:val="22"/>
        </w:rPr>
        <w:t>Miscellaneous.</w:t>
      </w:r>
    </w:p>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7.1Independent Contractor</w:t>
      </w:r>
      <w:r>
        <w:rPr>
          <w:rFonts w:ascii="Helvetica;sans-serif" w:hAnsi="Helvetica;sans-serif"/>
          <w:sz w:val="22"/>
        </w:rPr>
        <w:t>.  All Services will be rendered by Consultant as an independent contractor and this Agreement does not create an employer-employee relationship between Kiniksa and Consultant.  Consultant will have no rights to receive any employee benefits, such as bonuses, options, health and accident insurance, sick leave or vacation which are accorded to regular employees of Kiniksa or its affiliates.  Consultant will not in any way represent itself to be an employee, partner joint venturer, or agent of Kiniksa. Consultant shall have no authority to make any statements, representations or commitments of any kind, or to take any action, which shall be binding on Kiniksa.  In performing the Services, the amount of time devoted by Consultant on any given day will be within Consultant’s control, and Kiniksa will rely on Consultant to devote the amount of time necessary to fulfill the requirements of the Agreement in an efficient and timely manner.  </w:t>
      </w:r>
      <w:bookmarkStart w:id="1164" w:name="_Hlk19104286"/>
      <w:bookmarkEnd w:id="1164"/>
      <w:r>
        <w:rPr>
          <w:rFonts w:ascii="Helvetica;sans-serif" w:hAnsi="Helvetica;sans-serif"/>
          <w:sz w:val="22"/>
        </w:rPr>
        <w:t>Consultant is responsible for providing all equipment and supplies required to perform the Services. In the event Kiniksa provides to Consultant any equipment or supplies in connection with the Services, such equipment and supplies shall remain the sole property of Kiniksa, be used solely for performing the Services and, upon Kiniksa’s request, Consultant shall promptly return to Kiniksa all such equipment and supplies. Upon reasonable notice, Consultant shall meet with representatives of Kiniksa or one of its affiliates at a location to be designated by the Parties. Consultant shall not in any way represent itself to be an employee, partner joint venturer, or agent of Kiniksa.  Consultant shall have no authority to make any statements, representations or commitments of any kind, or to take any action, which shall be binding on Kiniksa.</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7.2Taxes.</w:t>
      </w:r>
      <w:r>
        <w:rPr>
          <w:rFonts w:ascii="Aptos" w:hAnsi="Aptos"/>
          <w:sz w:val="24"/>
        </w:rPr>
        <w:t xml:space="preserve">  </w:t>
      </w:r>
      <w:r>
        <w:rPr>
          <w:rFonts w:ascii="Helvetica;sans-serif" w:hAnsi="Helvetica;sans-serif"/>
          <w:sz w:val="22"/>
        </w:rPr>
        <w:t>Consultant will be solely and unconditionally responsible for any and all federal, state, or local taxes, social security</w:t>
      </w:r>
      <w:r>
        <w:rPr>
          <w:rFonts w:ascii="Aptos" w:hAnsi="Aptos"/>
          <w:sz w:val="24"/>
        </w:rPr>
        <w:t xml:space="preserve"> </w:t>
      </w:r>
      <w:r>
        <w:rPr>
          <w:rFonts w:ascii="Helvetica;sans-serif" w:hAnsi="Helvetica;sans-serif"/>
          <w:sz w:val="22"/>
        </w:rPr>
        <w:t xml:space="preserve">withholding, and other self-employment tax obligations with respect to payments made to Consultant under this Agreement. Consultant will provide Kiniksa with Consultant’s taxpayer identification number or social security number, as applicable. </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7.3Use of Name</w:t>
      </w:r>
      <w:r>
        <w:rPr>
          <w:rFonts w:ascii="Helvetica;sans-serif" w:hAnsi="Helvetica;sans-serif"/>
          <w:sz w:val="22"/>
        </w:rPr>
        <w:t xml:space="preserve">.  Consultant consents to the use by Kiniksa of Consultant’s name and likeness in written materials and oral presentations to current or prospective customers, partners, investors or others, provided that such materials or presentations accurately describe the nature of Consultant’s relationship with or contribution to Kiniksa.  Consultant shall not, without the prior written consent of Kiniksa in each instance, use Kiniksa’s name, trademarks, service marks, logos, or any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Helvetica;sans-serif" w:hAnsi="Helvetica;sans-serif"/>
          <w:sz w:val="22"/>
        </w:rPr>
      </w:pPr>
      <w:r>
        <w:rPr>
          <w:rFonts w:ascii="Helvetica;sans-serif" w:hAnsi="Helvetica;sans-serif"/>
          <w:sz w:val="22"/>
        </w:rPr>
        <w:t>derivations thereof (collectively the “Kiniksa Marks”) in any manner, including but not limited to advertising, publicity, marketing materials, client lists, press releases, social media, or other public disclosures.  Any permitted use shall be subject to Kiniksa’s prior review and approval of the specific form, content, and context of such use.</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7.4Assignability and Binding Effect</w:t>
      </w:r>
      <w:r>
        <w:rPr>
          <w:rFonts w:ascii="Helvetica;sans-serif" w:hAnsi="Helvetica;sans-serif"/>
          <w:sz w:val="22"/>
        </w:rPr>
        <w:t>.  The Services to be rendered by Consultant are personal in nature.  Consultant may not assign or transfer this Agreement or any of Consultant’s rights or obligations hereunder except to a corporation of which Consultant is the sole stockholder.  In no event will Consultant assign or delegate responsibility for actual performance of the Services to any other natural person</w:t>
      </w:r>
      <w:bookmarkStart w:id="1165" w:name="_DV_M68"/>
      <w:bookmarkEnd w:id="1165"/>
      <w:r>
        <w:rPr>
          <w:rFonts w:ascii="Helvetica;sans-serif" w:hAnsi="Helvetica;sans-serif"/>
          <w:sz w:val="22"/>
        </w:rPr>
        <w:t>.  This Agreement will be binding upon and inure to the benefit of the parties and their respective legal representatives, heirs, successors and permitted assigns.</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7.5Notices</w:t>
      </w:r>
      <w:r>
        <w:rPr>
          <w:rFonts w:ascii="Helvetica;sans-serif" w:hAnsi="Helvetica;sans-serif"/>
          <w:sz w:val="22"/>
        </w:rPr>
        <w:t>.  All notices required or permitted under this Agreement must be in writing and must be given by addressing the notice to the address for the recipient set forth in this Agreement or at such other address as the recipient may specify in writing under this procedure.  Notices to Kiniksa must include a copy to Kiniksa Pharmaceuticals Corp., 100 Hayden Avenue, Lexington, MA 02421, USA, Attention: Legal Department.  Notices will be deemed to have been given (a) three (3) business days after deposit in the mail with proper postage for first class registered or certified mail prepaid, or (b) one (1) business day after sending by nationally recognized overnight delivery service.</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7.6No Modification.  </w:t>
      </w:r>
      <w:r>
        <w:rPr>
          <w:rFonts w:ascii="Helvetica;sans-serif" w:hAnsi="Helvetica;sans-serif"/>
          <w:sz w:val="22"/>
        </w:rPr>
        <w:t>This Agreement may be changed only by a writing signed by Consultant and an authorized representative of Kiniksa.</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7.7Remedies.</w:t>
      </w:r>
      <w:r>
        <w:rPr>
          <w:rFonts w:ascii="Aptos" w:hAnsi="Aptos"/>
          <w:sz w:val="24"/>
        </w:rPr>
        <w:t xml:space="preserve">  </w:t>
      </w:r>
      <w:r>
        <w:rPr>
          <w:rFonts w:ascii="Helvetica;sans-serif" w:hAnsi="Helvetica;sans-serif"/>
          <w:sz w:val="22"/>
        </w:rPr>
        <w:t>It is understood and agreed that Kiniksa may be irreparably injured by a breach of this Agreement; that money damages would not be an adequate remedy for any such breach; and that Kiniksa will be entitled to seek equitable relief, including injunctive relief and specific performance, without having to post a bond, as a remedy for any such breach, and such remedy will not be Kiniksa’s exclusive remedy for any breach of this Agreement.</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 xml:space="preserve">7.8Severability. </w:t>
      </w:r>
      <w:r>
        <w:rPr>
          <w:rFonts w:ascii="Helvetica;sans-serif" w:hAnsi="Helvetica;sans-serif"/>
          <w:sz w:val="22"/>
        </w:rPr>
        <w:t>Any of the provisions of this Agreement which are determined to be invalid or unenforceable in any jurisdiction will be ineffective to the extent of such invalidity or unenforceability in such jurisdiction, without rendering invalid or unenforceable the remaining provisions hereof and without affecting the validity or enforceability of any of the other terms of this Agreement in such jurisdiction, or the terms of this Agreement in any other jurisdiction.  The parties will substitute for the invalid or unenforceable provision a valid and enforceable provision that conforms as nearly as possible with the original intent of the parties.</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7.9Waivers.  </w:t>
      </w:r>
      <w:r>
        <w:rPr>
          <w:rFonts w:ascii="Helvetica;sans-serif" w:hAnsi="Helvetica;sans-serif"/>
          <w:sz w:val="22"/>
        </w:rPr>
        <w:t>No waiver of any term, provision or condition of this Agreement in any one or more instances will be deemed to be or construed as a further or continuing waiver of any other term, provision or condition of this Agreement.  Any such waiver must be evidenced by an instrument in writing executed by Consultant or, in the case of Kiniksa, by an officer authorized to execute waivers.</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7.10Entire Agreement.</w:t>
      </w:r>
      <w:r>
        <w:rPr>
          <w:rFonts w:ascii="Aptos" w:hAnsi="Aptos"/>
          <w:sz w:val="24"/>
        </w:rPr>
        <w:t xml:space="preserve"> </w:t>
      </w:r>
      <w:r>
        <w:rPr>
          <w:rFonts w:ascii="Helvetica;sans-serif" w:hAnsi="Helvetica;sans-serif"/>
          <w:sz w:val="22"/>
        </w:rPr>
        <w:t>This Agreement, and all Work Orders issued pursuant to this Agreement, constitute the entire agreement of the parties with regard to the subject matter, and, with the exception of any written agreement between the parties relating to the disclosure or exchange of confidential information, supersede all previous written or oral representations, agreements and understandings between the parties on the subject matter.</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7.11Governing Law</w:t>
      </w:r>
      <w:r>
        <w:rPr>
          <w:rFonts w:ascii="Helvetica;sans-serif" w:hAnsi="Helvetica;sans-serif"/>
          <w:sz w:val="22"/>
        </w:rPr>
        <w:t xml:space="preserve">.  This Agreement and all acts and transactions pursuant hereto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Helvetica;sans-serif" w:hAnsi="Helvetica;sans-serif"/>
          <w:sz w:val="22"/>
        </w:rPr>
      </w:pPr>
      <w:r>
        <w:rPr>
          <w:rFonts w:ascii="Helvetica;sans-serif" w:hAnsi="Helvetica;sans-serif"/>
          <w:sz w:val="22"/>
        </w:rPr>
        <w:t>and the rights and obligations of the parties hereto shall be governed, construed and interpreted in accordance with the laws of the State of New York, without giving effect to the principles of conflicts of law.  </w:t>
      </w:r>
    </w:p>
    <w:p>
      <w:pPr>
        <w:pStyle w:val="TextBody"/>
        <w:bidi w:val="0"/>
        <w:spacing w:lineRule="auto" w:line="285" w:before="0" w:after="240"/>
        <w:ind w:left="0" w:right="0" w:hanging="0"/>
        <w:jc w:val="both"/>
        <w:rPr>
          <w:rFonts w:ascii="Aptos" w:hAnsi="Aptos"/>
          <w:sz w:val="24"/>
        </w:rPr>
      </w:pPr>
      <w:r>
        <w:rPr>
          <w:rFonts w:ascii="Helvetica;sans-serif" w:hAnsi="Helvetica;sans-serif"/>
          <w:b/>
          <w:sz w:val="22"/>
        </w:rPr>
        <w:t>7.12Counterparts</w:t>
      </w:r>
      <w:r>
        <w:rPr>
          <w:rFonts w:ascii="Helvetica;sans-serif" w:hAnsi="Helvetica;sans-serif"/>
          <w:sz w:val="22"/>
        </w:rPr>
        <w:t>.  This Agreement and any Work Order may be executed in any number of counterparts, each of which will be deemed an original and all of which together shall constitute one and the same instrument. Signatures delivered via facsimile or electronic means shall be binding and treated as if they were original signatures.</w:t>
      </w:r>
    </w:p>
    <w:p>
      <w:pPr>
        <w:pStyle w:val="TextBody"/>
        <w:bidi w:val="0"/>
        <w:spacing w:lineRule="auto" w:line="285"/>
        <w:ind w:left="0" w:right="0" w:hanging="0"/>
        <w:jc w:val="both"/>
        <w:rPr>
          <w:rFonts w:ascii="Aptos" w:hAnsi="Aptos"/>
          <w:sz w:val="24"/>
        </w:rPr>
      </w:pPr>
      <w:r>
        <w:rPr>
          <w:rFonts w:ascii="Helvetica;sans-serif" w:hAnsi="Helvetica;sans-serif"/>
          <w:b/>
          <w:sz w:val="22"/>
        </w:rPr>
        <w:t>7.13Headings</w:t>
      </w:r>
      <w:r>
        <w:rPr>
          <w:rFonts w:ascii="Helvetica;sans-serif" w:hAnsi="Helvetica;sans-serif"/>
          <w:sz w:val="22"/>
        </w:rPr>
        <w:t>.  The section headings are included solely for convenience of reference and will not control or affect the meaning or interpretation of any of the provisions of this Agreement.</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[Signature Page Follows]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ptos" w:hAnsi="Aptos"/>
          <w:sz w:val="22"/>
        </w:rPr>
      </w:pPr>
      <w:r>
        <w:rPr>
          <w:rFonts w:ascii="Helvetica;sans-serif" w:hAnsi="Helvetica;sans-serif"/>
          <w:b/>
          <w:sz w:val="22"/>
        </w:rPr>
        <w:t>IN WITNESS WHEREOF</w:t>
      </w:r>
      <w:r>
        <w:rPr>
          <w:rFonts w:ascii="Helvetica;sans-serif" w:hAnsi="Helvetica;sans-serif"/>
          <w:sz w:val="22"/>
        </w:rPr>
        <w:t>, duly authorized representatives of the parties have executed this Agreement as of the Effective Date.</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Kiniksa Pharmaceuticals, GmbHCONSULTANT</w:t>
      </w:r>
    </w:p>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Aptos" w:hAnsi="Aptos"/>
          <w:sz w:val="22"/>
        </w:rPr>
      </w:pPr>
      <w:r>
        <w:rPr>
          <w:rFonts w:ascii="Helvetica;sans-serif" w:hAnsi="Helvetica;sans-serif"/>
          <w:sz w:val="22"/>
        </w:rPr>
        <w:t>By:</w:t>
      </w:r>
      <w:r>
        <w:rPr>
          <w:rFonts w:ascii="Aptos" w:hAnsi="Aptos"/>
          <w:sz w:val="22"/>
          <w:u w:val="single"/>
        </w:rPr>
        <w:t>​ ​</w:t>
      </w:r>
      <w:r>
        <w:rPr>
          <w:rFonts w:ascii="Helvetica;sans-serif" w:hAnsi="Helvetica;sans-serif"/>
          <w:sz w:val="22"/>
          <w:u w:val="single"/>
        </w:rPr>
        <w:t>/s/ Daniel Palmqvist</w:t>
      </w:r>
      <w:r>
        <w:rPr>
          <w:rFonts w:ascii="Aptos" w:hAnsi="Aptos"/>
          <w:sz w:val="22"/>
          <w:u w:val="single"/>
        </w:rPr>
        <w:t>​ ​</w:t>
      </w:r>
      <w:r>
        <w:rPr>
          <w:rFonts w:ascii="Helvetica;sans-serif" w:hAnsi="Helvetica;sans-serif"/>
          <w:sz w:val="22"/>
        </w:rPr>
        <w:t>By:</w:t>
      </w:r>
      <w:r>
        <w:rPr>
          <w:rFonts w:ascii="Aptos" w:hAnsi="Aptos"/>
          <w:sz w:val="22"/>
          <w:u w:val="single"/>
        </w:rPr>
        <w:t xml:space="preserve"> </w:t>
      </w:r>
      <w:r>
        <w:rPr>
          <w:rFonts w:ascii="Helvetica;sans-serif" w:hAnsi="Helvetica;sans-serif"/>
          <w:sz w:val="22"/>
          <w:u w:val="single"/>
        </w:rPr>
        <w:t>/s/ Eben Tessari</w:t>
      </w:r>
      <w:r>
        <w:rPr>
          <w:rFonts w:ascii="Aptos" w:hAnsi="Aptos"/>
          <w:sz w:val="22"/>
          <w:u w:val="single"/>
        </w:rPr>
        <w:t>​ ​</w:t>
      </w:r>
    </w:p>
    <w:p>
      <w:pPr>
        <w:pStyle w:val="TextBody"/>
        <w:bidi w:val="0"/>
        <w:spacing w:lineRule="auto" w:line="285" w:before="0" w:after="0"/>
        <w:ind w:left="0" w:right="0" w:hanging="0"/>
        <w:jc w:val="left"/>
        <w:rPr>
          <w:rFonts w:ascii="Aptos" w:hAnsi="Aptos"/>
          <w:sz w:val="22"/>
        </w:rPr>
      </w:pPr>
      <w:r>
        <w:rPr>
          <w:rFonts w:ascii="Helvetica;sans-serif" w:hAnsi="Helvetica;sans-serif"/>
          <w:b w:val="false"/>
          <w:i w:val="false"/>
          <w:caps w:val="false"/>
          <w:smallCaps w:val="false"/>
          <w:sz w:val="22"/>
        </w:rPr>
        <w:t>Name:</w:t>
      </w:r>
      <w:r>
        <w:rPr>
          <w:rFonts w:ascii="Helvetica;sans-serif" w:hAnsi="Helvetica;sans-serif"/>
          <w:sz w:val="22"/>
        </w:rPr>
        <w:t>Daniel PalmqvistName: Eben Tessari</w:t>
      </w:r>
    </w:p>
    <w:p>
      <w:pPr>
        <w:pStyle w:val="TextBody"/>
        <w:bidi w:val="0"/>
        <w:spacing w:lineRule="auto" w:line="285" w:before="0" w:after="0"/>
        <w:ind w:left="0" w:right="0" w:hanging="0"/>
        <w:jc w:val="left"/>
        <w:rPr>
          <w:rFonts w:ascii="Aptos" w:hAnsi="Aptos"/>
          <w:sz w:val="22"/>
        </w:rPr>
      </w:pPr>
      <w:bookmarkStart w:id="1166" w:name="_Hlk84934791"/>
      <w:bookmarkEnd w:id="1166"/>
      <w:r>
        <w:rPr>
          <w:rFonts w:ascii="Helvetica;sans-serif" w:hAnsi="Helvetica;sans-serif"/>
          <w:b w:val="false"/>
          <w:i w:val="false"/>
          <w:caps w:val="false"/>
          <w:smallCaps w:val="false"/>
          <w:sz w:val="22"/>
        </w:rPr>
        <w:t>Title:</w:t>
      </w:r>
      <w:r>
        <w:rPr>
          <w:rFonts w:ascii="Helvetica;sans-serif" w:hAnsi="Helvetica;sans-serif"/>
          <w:sz w:val="22"/>
        </w:rPr>
        <w:t>Managing Director</w:t>
      </w:r>
    </w:p>
    <w:p>
      <w:pPr>
        <w:pStyle w:val="TextBody"/>
        <w:bidi w:val="0"/>
        <w:spacing w:lineRule="auto" w:line="331" w:before="0" w:after="160"/>
        <w:ind w:left="0" w:right="0" w:hanging="0"/>
        <w:jc w:val="left"/>
        <w:rPr>
          <w:spacing w:val="-3"/>
        </w:rPr>
      </w:pPr>
      <w:r>
        <w:rPr>
          <w:spacing w:val="-3"/>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Helvetica;sans-serif" w:hAnsi="Helvetica;sans-serif"/>
          <w:b/>
          <w:spacing w:val="-2"/>
          <w:sz w:val="22"/>
        </w:rPr>
      </w:pPr>
      <w:r>
        <w:rPr>
          <w:rFonts w:ascii="Helvetica;sans-serif" w:hAnsi="Helvetica;sans-serif"/>
          <w:b/>
          <w:spacing w:val="-2"/>
          <w:sz w:val="22"/>
        </w:rPr>
        <w:t>EXHIBIT A</w:t>
      </w:r>
    </w:p>
    <w:p>
      <w:pPr>
        <w:pStyle w:val="TextBody"/>
        <w:bidi w:val="0"/>
        <w:spacing w:lineRule="auto" w:line="285" w:before="0" w:after="240"/>
        <w:ind w:left="0" w:right="0" w:hanging="0"/>
        <w:jc w:val="center"/>
        <w:rPr>
          <w:rFonts w:ascii="Helvetica;sans-serif" w:hAnsi="Helvetica;sans-serif"/>
          <w:b/>
          <w:spacing w:val="-2"/>
          <w:sz w:val="22"/>
        </w:rPr>
      </w:pPr>
      <w:r>
        <w:rPr>
          <w:rFonts w:ascii="Helvetica;sans-serif" w:hAnsi="Helvetica;sans-serif"/>
          <w:b/>
          <w:spacing w:val="-2"/>
          <w:sz w:val="22"/>
        </w:rPr>
        <w:t>Work Order # 1</w:t>
      </w:r>
    </w:p>
    <w:p>
      <w:pPr>
        <w:pStyle w:val="TextBody"/>
        <w:bidi w:val="0"/>
        <w:spacing w:lineRule="auto" w:line="285" w:before="0" w:after="240"/>
        <w:ind w:left="0" w:right="0" w:hanging="0"/>
        <w:jc w:val="both"/>
        <w:rPr>
          <w:rFonts w:ascii="Aptos" w:hAnsi="Aptos"/>
          <w:sz w:val="22"/>
        </w:rPr>
      </w:pPr>
      <w:r>
        <w:rPr>
          <w:rFonts w:ascii="Helvetica;sans-serif" w:hAnsi="Helvetica;sans-serif"/>
          <w:sz w:val="22"/>
        </w:rPr>
        <w:t>This Work Order is made pursuant to the terms of that certain Master Consulting Agreement, dated May 12, 2026 (the “</w:t>
      </w:r>
      <w:r>
        <w:rPr>
          <w:rFonts w:ascii="Helvetica;sans-serif" w:hAnsi="Helvetica;sans-serif"/>
          <w:b/>
          <w:sz w:val="22"/>
        </w:rPr>
        <w:t>Agreement</w:t>
      </w:r>
      <w:r>
        <w:rPr>
          <w:rFonts w:ascii="Aptos" w:hAnsi="Aptos"/>
          <w:sz w:val="22"/>
        </w:rPr>
        <w:t>”</w:t>
      </w:r>
      <w:r>
        <w:rPr>
          <w:rFonts w:ascii="Helvetica;sans-serif" w:hAnsi="Helvetica;sans-serif"/>
          <w:sz w:val="22"/>
        </w:rPr>
        <w:t>), between Kiniksa Pharmaceuticals, GmbH (“</w:t>
      </w:r>
      <w:r>
        <w:rPr>
          <w:rFonts w:ascii="Helvetica;sans-serif" w:hAnsi="Helvetica;sans-serif"/>
          <w:b/>
          <w:sz w:val="22"/>
        </w:rPr>
        <w:t>Kiniksa</w:t>
      </w:r>
      <w:r>
        <w:rPr>
          <w:rFonts w:ascii="Aptos" w:hAnsi="Aptos"/>
          <w:sz w:val="22"/>
        </w:rPr>
        <w:t>”</w:t>
      </w:r>
      <w:r>
        <w:rPr>
          <w:rFonts w:ascii="Helvetica;sans-serif" w:hAnsi="Helvetica;sans-serif"/>
          <w:sz w:val="22"/>
        </w:rPr>
        <w:t>) and Eben Tessari (the “</w:t>
      </w:r>
      <w:r>
        <w:rPr>
          <w:rFonts w:ascii="Helvetica;sans-serif" w:hAnsi="Helvetica;sans-serif"/>
          <w:b/>
          <w:sz w:val="22"/>
        </w:rPr>
        <w:t>Consultant</w:t>
      </w:r>
      <w:r>
        <w:rPr>
          <w:rFonts w:ascii="Aptos" w:hAnsi="Aptos"/>
          <w:sz w:val="22"/>
        </w:rPr>
        <w:t>”</w:t>
      </w:r>
      <w:r>
        <w:rPr>
          <w:rFonts w:ascii="Helvetica;sans-serif" w:hAnsi="Helvetica;sans-serif"/>
          <w:sz w:val="22"/>
        </w:rPr>
        <w:t>). This Work Order is made effective as of May 15, 2026 (“</w:t>
      </w:r>
      <w:r>
        <w:rPr>
          <w:rFonts w:ascii="Helvetica;sans-serif" w:hAnsi="Helvetica;sans-serif"/>
          <w:b/>
          <w:sz w:val="22"/>
        </w:rPr>
        <w:t>Work Order Effective Date</w:t>
      </w:r>
      <w:r>
        <w:rPr>
          <w:rFonts w:ascii="Aptos" w:hAnsi="Aptos"/>
          <w:sz w:val="22"/>
        </w:rPr>
        <w:t>”</w:t>
      </w:r>
      <w:r>
        <w:rPr>
          <w:rFonts w:ascii="Helvetica;sans-serif" w:hAnsi="Helvetica;sans-serif"/>
          <w:sz w:val="22"/>
        </w:rPr>
        <w:t>) and is made a part of and subject to the terms and conditions of the Agreement. All capitalized terms used herein but not otherwise defined shall have the meaning ascribed to them in the Agreement.</w:t>
      </w:r>
    </w:p>
    <w:p>
      <w:pPr>
        <w:pStyle w:val="TextBody"/>
        <w:bidi w:val="0"/>
        <w:spacing w:lineRule="auto" w:line="285" w:before="0" w:after="240"/>
        <w:ind w:left="0" w:right="0" w:hanging="0"/>
        <w:jc w:val="both"/>
        <w:rPr>
          <w:rFonts w:ascii="Helvetica;sans-serif" w:hAnsi="Helvetica;sans-serif"/>
          <w:sz w:val="22"/>
        </w:rPr>
      </w:pPr>
      <w:r>
        <w:rPr>
          <w:rFonts w:ascii="Helvetica;sans-serif" w:hAnsi="Helvetica;sans-serif"/>
          <w:sz w:val="22"/>
        </w:rPr>
        <w:t>The following terms and conditions apply solely to Services under this Work Order and do not apply to any other Work Order.  In the event of any conflict between the terms of this Work Order, including any Appendix, and the Agreement, the terms of this Work Order shall govern only with respect to the type and scope of Services to be provided. Unless otherwise provided in this Work Order, the Agreement shall govern with respect to all other conflicts.</w:t>
      </w:r>
    </w:p>
    <w:tbl>
      <w:tblPr>
        <w:tblW w:w="1218" w:type="dxa"/>
        <w:jc w:val="left"/>
        <w:tblInd w:w="0" w:type="dxa"/>
        <w:tblLayout w:type="fixed"/>
        <w:tblCellMar>
          <w:top w:w="0" w:type="dxa"/>
          <w:left w:w="0" w:type="dxa"/>
          <w:bottom w:w="0" w:type="dxa"/>
          <w:right w:w="0" w:type="dxa"/>
        </w:tblCellMar>
      </w:tblPr>
      <w:tblGrid>
        <w:gridCol w:w="23"/>
        <w:gridCol w:w="20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1.</w:t>
            </w:r>
          </w:p>
        </w:tc>
        <w:tc>
          <w:tcPr>
            <w:tcW w:w="99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Services:</w:t>
            </w:r>
          </w:p>
        </w:tc>
      </w:tr>
    </w:tbl>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Consultant will provide advice and support on matters relating to abiprubart, KPL-387, KPL-1161, KPL-374, KPL-871 and business development opportunities. Consultant will additionally serve as an advisor to the Science and Research Committee, which will include reviewing materials provided to the Science and Research Committee in advance of Committee meetings, attending (in-person or remotely) regularly scheduled Committee meetings and, to the extent Consultant is available, attending (in-person or remotely) ad hoc meetings of Committee members.</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left"/>
        <w:rPr>
          <w:rFonts w:ascii="Aptos" w:hAnsi="Aptos"/>
          <w:sz w:val="22"/>
        </w:rPr>
      </w:pPr>
      <w:r>
        <w:rPr>
          <w:rFonts w:ascii="Helvetica;sans-serif" w:hAnsi="Helvetica;sans-serif"/>
          <w:b/>
          <w:i w:val="false"/>
          <w:caps w:val="false"/>
          <w:smallCaps w:val="false"/>
          <w:spacing w:val="-3"/>
          <w:sz w:val="22"/>
        </w:rPr>
        <w:t>2.</w:t>
      </w:r>
      <w:r>
        <w:rPr>
          <w:rFonts w:ascii="Helvetica;sans-serif" w:hAnsi="Helvetica;sans-serif"/>
          <w:b/>
          <w:spacing w:val="-3"/>
          <w:sz w:val="22"/>
        </w:rPr>
        <w:t>Compensation:</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both"/>
        <w:rPr>
          <w:rFonts w:ascii="Aptos" w:hAnsi="Aptos"/>
          <w:sz w:val="24"/>
        </w:rPr>
      </w:pPr>
      <w:r>
        <w:rPr>
          <w:rFonts w:ascii="Helvetica;sans-serif" w:hAnsi="Helvetica;sans-serif"/>
          <w:sz w:val="22"/>
          <w:u w:val="single"/>
        </w:rPr>
        <w:t>Services Compensation and Expenses</w:t>
      </w:r>
      <w:r>
        <w:rPr>
          <w:rFonts w:ascii="Helvetica;sans-serif" w:hAnsi="Helvetica;sans-serif"/>
          <w:sz w:val="22"/>
        </w:rPr>
        <w:t xml:space="preserve">.  For the services described above, Kiniksa shall pay Consultant at the rate of </w:t>
      </w:r>
      <w:r>
        <w:rPr>
          <w:rFonts w:ascii="Helvetica;sans-serif" w:hAnsi="Helvetica;sans-serif"/>
          <w:b/>
          <w:sz w:val="22"/>
        </w:rPr>
        <w:t xml:space="preserve">$450.00 </w:t>
      </w:r>
      <w:r>
        <w:rPr>
          <w:rFonts w:ascii="Helvetica;sans-serif" w:hAnsi="Helvetica;sans-serif"/>
          <w:sz w:val="22"/>
        </w:rPr>
        <w:t>per hour (the “</w:t>
      </w:r>
      <w:r>
        <w:rPr>
          <w:rFonts w:ascii="Helvetica;sans-serif" w:hAnsi="Helvetica;sans-serif"/>
          <w:b/>
          <w:sz w:val="22"/>
        </w:rPr>
        <w:t>Hourly Rate</w:t>
      </w:r>
      <w:r>
        <w:rPr>
          <w:rFonts w:ascii="Aptos" w:hAnsi="Aptos"/>
          <w:sz w:val="24"/>
        </w:rPr>
        <w:t>”</w:t>
      </w:r>
      <w:r>
        <w:rPr>
          <w:rFonts w:ascii="Helvetica;sans-serif" w:hAnsi="Helvetica;sans-serif"/>
          <w:sz w:val="22"/>
        </w:rPr>
        <w:t xml:space="preserve">) for Services actually completed.  For reimbursement for Services, consulting invoices need to reference a valid Kiniksa purchase order number.  Consultant shall bear Consultant’s own day-to-day expenses, such as expenses for local or U.S. telephone calls, faxes and mail, that Consultant incurs in performing services under this Agreement.  Kiniksa agrees to reimburse Consultant for all expenses that Kiniksa has authorized in advance in writing. </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Compensation shall not exceed $120,000 (USD) without the prior written approval from Kiniksa.</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both"/>
        <w:rPr>
          <w:rFonts w:ascii="Aptos" w:hAnsi="Aptos"/>
          <w:sz w:val="22"/>
        </w:rPr>
      </w:pPr>
      <w:r>
        <w:rPr>
          <w:rFonts w:ascii="Helvetica;sans-serif" w:hAnsi="Helvetica;sans-serif"/>
          <w:sz w:val="22"/>
          <w:u w:val="single"/>
        </w:rPr>
        <w:t>Purchase Orders</w:t>
      </w:r>
      <w:r>
        <w:rPr>
          <w:rFonts w:ascii="Helvetica;sans-serif" w:hAnsi="Helvetica;sans-serif"/>
          <w:sz w:val="22"/>
        </w:rPr>
        <w:t xml:space="preserve">.  After full execution of this Agreement, Kiniksa will issue a purchase order via e-mail that covers all designated costs, expenses and compensation to be paid under this Agreement.  In the event that costs, expenses, compensation or any other amount relating to the Services exceeds the amount of the purchase order, prior written authorization is required in advance for such additional amounts in the form of a revised purchase order.  Kiniksa will send Consultant a Purchase Order number in a separate communication for invoices to reference.  Invoices should reference this Agreement, its Purchase Order number, and should be submitted electronically to Kiniksa at </w:t>
      </w:r>
      <w:r>
        <w:rPr>
          <w:rFonts w:ascii="Helvetica;sans-serif" w:hAnsi="Helvetica;sans-serif"/>
          <w:color w:val="0000FF"/>
          <w:sz w:val="22"/>
          <w:u w:val="single"/>
        </w:rPr>
        <w:t>AccountsPayable@Kiniksa.com</w:t>
      </w:r>
      <w:r>
        <w:rPr>
          <w:rFonts w:ascii="Helvetica;sans-serif" w:hAnsi="Helvetica;sans-serif"/>
          <w:sz w:val="22"/>
        </w:rPr>
        <w:t>.</w:t>
      </w:r>
    </w:p>
    <w:p>
      <w:pPr>
        <w:pStyle w:val="TextBody"/>
        <w:bidi w:val="0"/>
        <w:spacing w:lineRule="auto" w:line="331" w:before="0" w:after="160"/>
        <w:ind w:left="0" w:right="0" w:firstLine="720"/>
        <w:jc w:val="left"/>
        <w:rPr>
          <w:shd w:fill="FFFF00" w:val="clear"/>
        </w:rPr>
      </w:pPr>
      <w:r>
        <w:rPr>
          <w:shd w:fill="FFFF00" w:val="clear"/>
        </w:rPr>
        <w:t>​</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[Signature Page Follows]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Helvetica;sans-serif" w:hAnsi="Helvetica;sans-serif"/>
          <w:b/>
          <w:sz w:val="22"/>
        </w:rPr>
        <w:t>IN WITNESS WHEREOF</w:t>
      </w:r>
      <w:r>
        <w:rPr>
          <w:rFonts w:ascii="Helvetica;sans-serif" w:hAnsi="Helvetica;sans-serif"/>
          <w:sz w:val="22"/>
        </w:rPr>
        <w:t>, the undersigned are duly authorized representatives of their respective Parties and have duly executed this Work Order as of the Work Order Effective Date.</w:t>
      </w:r>
    </w:p>
    <w:p>
      <w:pPr>
        <w:pStyle w:val="TextBody"/>
        <w:bidi w:val="0"/>
        <w:spacing w:lineRule="auto" w:line="331" w:before="0" w:after="160"/>
        <w:ind w:left="0" w:right="0" w:hanging="0"/>
        <w:jc w:val="left"/>
        <w:rPr/>
      </w:pPr>
      <w:r>
        <w:rPr/>
        <w:t>​</w:t>
      </w:r>
    </w:p>
    <w:tbl>
      <w:tblPr>
        <w:tblW w:w="6537" w:type="dxa"/>
        <w:jc w:val="left"/>
        <w:tblInd w:w="0" w:type="dxa"/>
        <w:tblLayout w:type="fixed"/>
        <w:tblCellMar>
          <w:top w:w="0" w:type="dxa"/>
          <w:left w:w="0" w:type="dxa"/>
          <w:bottom w:w="0" w:type="dxa"/>
          <w:right w:w="0" w:type="dxa"/>
        </w:tblCellMar>
      </w:tblPr>
      <w:tblGrid>
        <w:gridCol w:w="1329"/>
        <w:gridCol w:w="2118"/>
        <w:gridCol w:w="109"/>
        <w:gridCol w:w="1247"/>
        <w:gridCol w:w="1734"/>
      </w:tblGrid>
      <w:tr>
        <w:trPr/>
        <w:tc>
          <w:tcPr>
            <w:tcW w:w="1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43915" cy="29210"/>
                      <wp:effectExtent l="0" t="0" r="0" b="0"/>
                      <wp:wrapNone/>
                      <wp:docPr id="345" name="Frame345"/>
                      <a:graphic xmlns:a="http://schemas.openxmlformats.org/drawingml/2006/main">
                        <a:graphicData uri="http://schemas.microsoft.com/office/word/2010/wordprocessingShape">
                          <wps:wsp>
                            <wps:cNvSpPr txBox="1"/>
                            <wps:spPr>
                              <a:xfrm>
                                <a:off x="0" y="0"/>
                                <a:ext cx="8439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44930" cy="175260"/>
                      <wp:effectExtent l="0" t="0" r="0" b="0"/>
                      <wp:wrapNone/>
                      <wp:docPr id="346" name="Frame346"/>
                      <a:graphic xmlns:a="http://schemas.openxmlformats.org/drawingml/2006/main">
                        <a:graphicData uri="http://schemas.microsoft.com/office/word/2010/wordprocessingShape">
                          <wps:wsp>
                            <wps:cNvSpPr txBox="1"/>
                            <wps:spPr>
                              <a:xfrm>
                                <a:off x="0" y="0"/>
                                <a:ext cx="134493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331" w:before="0" w:after="160"/>
              <w:ind w:left="0" w:right="0" w:hanging="0"/>
              <w:jc w:val="left"/>
              <w:rPr/>
            </w:pPr>
            <w:r>
              <w:rPr/>
              <w:t>​</w: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791845" cy="29210"/>
                      <wp:effectExtent l="0" t="0" r="0" b="0"/>
                      <wp:wrapNone/>
                      <wp:docPr id="347" name="Frame347"/>
                      <a:graphic xmlns:a="http://schemas.openxmlformats.org/drawingml/2006/main">
                        <a:graphicData uri="http://schemas.microsoft.com/office/word/2010/wordprocessingShape">
                          <wps:wsp>
                            <wps:cNvSpPr txBox="1"/>
                            <wps:spPr>
                              <a:xfrm>
                                <a:off x="0" y="0"/>
                                <a:ext cx="791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101090" cy="175260"/>
                      <wp:effectExtent l="0" t="0" r="0" b="0"/>
                      <wp:wrapNone/>
                      <wp:docPr id="348" name="Frame348"/>
                      <a:graphic xmlns:a="http://schemas.openxmlformats.org/drawingml/2006/main">
                        <a:graphicData uri="http://schemas.microsoft.com/office/word/2010/wordprocessingShape">
                          <wps:wsp>
                            <wps:cNvSpPr txBox="1"/>
                            <wps:spPr>
                              <a:xfrm>
                                <a:off x="0" y="0"/>
                                <a:ext cx="110109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3447" w:type="dxa"/>
            <w:gridSpan w:val="2"/>
            <w:tcBorders/>
            <w:vAlign w:val="center"/>
          </w:tcPr>
          <w:p>
            <w:pPr>
              <w:pStyle w:val="TableContents"/>
              <w:pBdr/>
              <w:bidi w:val="0"/>
              <w:spacing w:lineRule="auto" w:line="285" w:before="0" w:after="240"/>
              <w:ind w:left="0" w:right="0" w:hanging="0"/>
              <w:jc w:val="both"/>
              <w:rPr>
                <w:rFonts w:ascii="Helvetica;sans-serif" w:hAnsi="Helvetica;sans-serif"/>
                <w:b/>
                <w:spacing w:val="-2"/>
                <w:sz w:val="22"/>
              </w:rPr>
            </w:pPr>
            <w:r>
              <w:rPr>
                <w:rFonts w:ascii="Helvetica;sans-serif" w:hAnsi="Helvetica;sans-serif"/>
                <w:b/>
                <w:spacing w:val="-2"/>
                <w:sz w:val="22"/>
              </w:rPr>
              <w:t>Kiniksa Pharmaceuticals, GmbH</w:t>
            </w:r>
          </w:p>
        </w:tc>
        <w:tc>
          <w:tcPr>
            <w:tcW w:w="109" w:type="dxa"/>
            <w:tcBorders/>
            <w:vAlign w:val="center"/>
          </w:tcPr>
          <w:p>
            <w:pPr>
              <w:pStyle w:val="TableContents"/>
              <w:pBdr/>
              <w:bidi w:val="0"/>
              <w:spacing w:lineRule="auto" w:line="331" w:before="0" w:after="160"/>
              <w:ind w:left="0" w:right="0" w:hanging="0"/>
              <w:jc w:val="both"/>
              <w:rPr>
                <w:spacing w:val="-2"/>
              </w:rPr>
            </w:pPr>
            <w:r>
              <w:rPr>
                <w:spacing w:val="-2"/>
              </w:rPr>
              <w:t>​</w:t>
            </w:r>
          </w:p>
        </w:tc>
        <w:tc>
          <w:tcPr>
            <w:tcW w:w="2981" w:type="dxa"/>
            <w:gridSpan w:val="2"/>
            <w:tcBorders/>
            <w:vAlign w:val="center"/>
          </w:tcPr>
          <w:p>
            <w:pPr>
              <w:pStyle w:val="TableContents"/>
              <w:pBdr/>
              <w:bidi w:val="0"/>
              <w:spacing w:lineRule="auto" w:line="285" w:before="0" w:after="240"/>
              <w:ind w:left="0" w:right="0" w:hanging="0"/>
              <w:jc w:val="both"/>
              <w:rPr>
                <w:rFonts w:ascii="Helvetica;sans-serif" w:hAnsi="Helvetica;sans-serif"/>
                <w:b/>
                <w:spacing w:val="-2"/>
                <w:sz w:val="22"/>
              </w:rPr>
            </w:pPr>
            <w:r>
              <w:rPr>
                <w:rFonts w:ascii="Helvetica;sans-serif" w:hAnsi="Helvetica;sans-serif"/>
                <w:b/>
                <w:spacing w:val="-2"/>
                <w:sz w:val="22"/>
              </w:rPr>
              <w:t>CONSULTANT</w:t>
            </w:r>
          </w:p>
        </w:tc>
      </w:tr>
      <w:tr>
        <w:trPr/>
        <w:tc>
          <w:tcPr>
            <w:tcW w:w="1329" w:type="dxa"/>
            <w:tcBorders/>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By:</w:t>
            </w:r>
          </w:p>
        </w:tc>
        <w:tc>
          <w:tcPr>
            <w:tcW w:w="21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/s/ Daniel Palmqvist</w:t>
            </w:r>
          </w:p>
        </w:tc>
        <w:tc>
          <w:tcPr>
            <w:tcW w:w="109" w:type="dxa"/>
            <w:tcBorders/>
            <w:vAlign w:val="center"/>
          </w:tcPr>
          <w:p>
            <w:pPr>
              <w:pStyle w:val="TableContents"/>
              <w:bidi w:val="0"/>
              <w:spacing w:lineRule="auto" w:line="331" w:before="0" w:after="160"/>
              <w:ind w:left="0" w:right="0" w:hanging="0"/>
              <w:jc w:val="left"/>
              <w:rPr>
                <w:spacing w:val="-2"/>
              </w:rPr>
            </w:pPr>
            <w:r>
              <w:rPr>
                <w:spacing w:val="-2"/>
              </w:rPr>
              <w:t>​</w:t>
            </w:r>
          </w:p>
        </w:tc>
        <w:tc>
          <w:tcPr>
            <w:tcW w:w="1247" w:type="dxa"/>
            <w:tcBorders/>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 xml:space="preserve">By: </w:t>
            </w:r>
          </w:p>
        </w:tc>
        <w:tc>
          <w:tcPr>
            <w:tcW w:w="17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/s/ Eben Tessari</w:t>
            </w:r>
          </w:p>
        </w:tc>
      </w:tr>
      <w:tr>
        <w:trPr/>
        <w:tc>
          <w:tcPr>
            <w:tcW w:w="1329" w:type="dxa"/>
            <w:tcBorders/>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Print Name:</w:t>
            </w:r>
          </w:p>
        </w:tc>
        <w:tc>
          <w:tcPr>
            <w:tcW w:w="2118"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Daniel Palmqvist</w:t>
            </w:r>
          </w:p>
        </w:tc>
        <w:tc>
          <w:tcPr>
            <w:tcW w:w="109" w:type="dxa"/>
            <w:tcBorders/>
            <w:vAlign w:val="center"/>
          </w:tcPr>
          <w:p>
            <w:pPr>
              <w:pStyle w:val="TableContents"/>
              <w:bidi w:val="0"/>
              <w:spacing w:lineRule="auto" w:line="331" w:before="0" w:after="160"/>
              <w:ind w:left="0" w:right="0" w:hanging="0"/>
              <w:jc w:val="left"/>
              <w:rPr>
                <w:spacing w:val="-2"/>
              </w:rPr>
            </w:pPr>
            <w:r>
              <w:rPr>
                <w:spacing w:val="-2"/>
              </w:rPr>
              <w:t>​</w:t>
            </w:r>
          </w:p>
        </w:tc>
        <w:tc>
          <w:tcPr>
            <w:tcW w:w="1247" w:type="dxa"/>
            <w:tcBorders/>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Print Name:</w:t>
            </w:r>
          </w:p>
        </w:tc>
        <w:tc>
          <w:tcPr>
            <w:tcW w:w="1734"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Eben Tessari</w:t>
            </w:r>
          </w:p>
        </w:tc>
      </w:tr>
      <w:tr>
        <w:trPr/>
        <w:tc>
          <w:tcPr>
            <w:tcW w:w="1329" w:type="dxa"/>
            <w:tcBorders/>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 xml:space="preserve">Title: </w:t>
            </w:r>
          </w:p>
        </w:tc>
        <w:tc>
          <w:tcPr>
            <w:tcW w:w="2118"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Managing Director</w:t>
            </w:r>
          </w:p>
        </w:tc>
        <w:tc>
          <w:tcPr>
            <w:tcW w:w="109" w:type="dxa"/>
            <w:tcBorders/>
            <w:vAlign w:val="center"/>
          </w:tcPr>
          <w:p>
            <w:pPr>
              <w:pStyle w:val="TableContents"/>
              <w:bidi w:val="0"/>
              <w:spacing w:lineRule="auto" w:line="331" w:before="0" w:after="160"/>
              <w:ind w:left="0" w:right="0" w:hanging="0"/>
              <w:jc w:val="left"/>
              <w:rPr>
                <w:spacing w:val="-2"/>
              </w:rPr>
            </w:pPr>
            <w:r>
              <w:rPr>
                <w:spacing w:val="-2"/>
              </w:rPr>
              <w:t>​</w:t>
            </w:r>
          </w:p>
        </w:tc>
        <w:tc>
          <w:tcPr>
            <w:tcW w:w="1247" w:type="dxa"/>
            <w:tcBorders/>
            <w:vAlign w:val="center"/>
          </w:tcPr>
          <w:p>
            <w:pPr>
              <w:pStyle w:val="TableContents"/>
              <w:bidi w:val="0"/>
              <w:spacing w:lineRule="auto" w:line="285" w:before="0" w:after="0"/>
              <w:ind w:left="0" w:right="0" w:hanging="0"/>
              <w:jc w:val="left"/>
              <w:rPr>
                <w:rFonts w:ascii="Helvetica;sans-serif" w:hAnsi="Helvetica;sans-serif"/>
                <w:spacing w:val="-2"/>
                <w:sz w:val="22"/>
              </w:rPr>
            </w:pPr>
            <w:r>
              <w:rPr>
                <w:rFonts w:ascii="Helvetica;sans-serif" w:hAnsi="Helvetica;sans-serif"/>
                <w:spacing w:val="-2"/>
                <w:sz w:val="22"/>
              </w:rPr>
              <w:t xml:space="preserve">Title: </w:t>
            </w:r>
          </w:p>
        </w:tc>
        <w:tc>
          <w:tcPr>
            <w:tcW w:w="1734" w:type="dxa"/>
            <w:tcBorders>
              <w:top w:val="single" w:sz="2" w:space="0" w:color="000000"/>
              <w:bottom w:val="single" w:sz="2" w:space="0" w:color="000000"/>
            </w:tcBorders>
            <w:tcMar>
              <w:top w:w="28" w:type="dxa"/>
              <w:bottom w:w="28" w:type="dxa"/>
            </w:tcMar>
            <w:vAlign w:val="center"/>
          </w:tcPr>
          <w:p>
            <w:pPr>
              <w:pStyle w:val="TableContents"/>
              <w:bidi w:val="0"/>
              <w:spacing w:lineRule="auto" w:line="331" w:before="0" w:after="160"/>
              <w:ind w:left="0" w:right="0" w:hanging="0"/>
              <w:jc w:val="left"/>
              <w:rPr>
                <w:spacing w:val="-2"/>
              </w:rPr>
            </w:pPr>
            <w:r>
              <w:rPr>
                <w:spacing w:val="-2"/>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67" w:name="knsa-20260630xex31d1.htm"/>
      <w:bookmarkStart w:id="1168" w:name="ksknsa20260630xex31d1"/>
      <w:bookmarkEnd w:id="1167"/>
      <w:bookmarkEnd w:id="1168"/>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Sanj K. Patel,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Kiniksa Pharmaceuticals International, plc;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673" w:type="dxa"/>
        <w:jc w:val="center"/>
        <w:tblInd w:w="0" w:type="dxa"/>
        <w:tblLayout w:type="fixed"/>
        <w:tblCellMar>
          <w:top w:w="0" w:type="dxa"/>
          <w:left w:w="0" w:type="dxa"/>
          <w:bottom w:w="0" w:type="dxa"/>
          <w:right w:w="0" w:type="dxa"/>
        </w:tblCellMar>
      </w:tblPr>
      <w:tblGrid>
        <w:gridCol w:w="1231"/>
        <w:gridCol w:w="146"/>
        <w:gridCol w:w="5296"/>
      </w:tblGrid>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28, 2026</w:t>
            </w:r>
          </w:p>
        </w:tc>
        <w:tc>
          <w:tcPr>
            <w:tcW w:w="146" w:type="dxa"/>
            <w:tcBorders/>
            <w:vAlign w:val="center"/>
          </w:tcPr>
          <w:p>
            <w:pPr>
              <w:pStyle w:val="TableContents"/>
              <w:bidi w:val="0"/>
              <w:spacing w:before="0" w:after="0"/>
              <w:ind w:left="0" w:right="0" w:hanging="0"/>
              <w:jc w:val="left"/>
              <w:rPr/>
            </w:pPr>
            <w:r>
              <w:rPr/>
              <w:t> </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Sanj K. Patel</w:t>
            </w:r>
          </w:p>
        </w:tc>
      </w:tr>
      <w:tr>
        <w:trPr/>
        <w:tc>
          <w:tcPr>
            <w:tcW w:w="1231" w:type="dxa"/>
            <w:tcBorders/>
            <w:vAlign w:val="center"/>
          </w:tcPr>
          <w:p>
            <w:pPr>
              <w:pStyle w:val="TableContents"/>
              <w:pBdr/>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Sanj K. Patel</w:t>
            </w:r>
          </w:p>
        </w:tc>
      </w:tr>
      <w:tr>
        <w:trPr/>
        <w:tc>
          <w:tcPr>
            <w:tcW w:w="1231" w:type="dxa"/>
            <w:tcBorders/>
            <w:vAlign w:val="center"/>
          </w:tcPr>
          <w:p>
            <w:pPr>
              <w:pStyle w:val="TableContents"/>
              <w:pBdr/>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b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69" w:name="knsa-20260630xex31d2.htm"/>
      <w:bookmarkStart w:id="1170" w:name="ksknsa20260630xex31d2"/>
      <w:bookmarkEnd w:id="1169"/>
      <w:bookmarkEnd w:id="1170"/>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Mark Ragosa,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Kiniksa Pharmaceuticals International, plc;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3647" w:type="dxa"/>
        <w:jc w:val="center"/>
        <w:tblInd w:w="0" w:type="dxa"/>
        <w:tblLayout w:type="fixed"/>
        <w:tblCellMar>
          <w:top w:w="0" w:type="dxa"/>
          <w:left w:w="0" w:type="dxa"/>
          <w:bottom w:w="0" w:type="dxa"/>
          <w:right w:w="0" w:type="dxa"/>
        </w:tblCellMar>
      </w:tblPr>
      <w:tblGrid>
        <w:gridCol w:w="1231"/>
        <w:gridCol w:w="2416"/>
      </w:tblGrid>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28, 2026</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Ragosa</w:t>
            </w:r>
          </w:p>
        </w:tc>
      </w:tr>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Ragosa</w:t>
            </w:r>
          </w:p>
        </w:tc>
      </w:tr>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1171" w:name="knsa-20260630xex32d1.htm"/>
      <w:bookmarkStart w:id="1172" w:name="ksknsa20260630xex32d1"/>
      <w:bookmarkEnd w:id="1171"/>
      <w:bookmarkEnd w:id="1172"/>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Sanj K. Patel, Chief Executive Officer and Chairman of the Board of Directors of Kiniksa Pharmaceuticals International, plc (the “Company”), hereby certify, pursuant to 18 U.S.C. §1350, as adopted pursuant to §906 of the Sarbanes-Oxley Act of 2002, that, to the best of my knowledge:</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The Quarterly Report on Form 10-Q of the Company for the period ended June 30, 2026 (the “Report”) fully complies with the requirements of Section 13(a) or 15(d) of the Securities Exchange Act of 1934, as amended; and</w:t>
      </w:r>
    </w:p>
    <w:p>
      <w:pPr>
        <w:pStyle w:val="TextBody"/>
        <w:pBdr/>
        <w:bidi w:val="0"/>
        <w:spacing w:before="0" w:after="0"/>
        <w:ind w:left="360" w:right="0" w:hanging="36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6527" w:type="dxa"/>
        <w:jc w:val="center"/>
        <w:tblInd w:w="0" w:type="dxa"/>
        <w:tblLayout w:type="fixed"/>
        <w:tblCellMar>
          <w:top w:w="0" w:type="dxa"/>
          <w:left w:w="0" w:type="dxa"/>
          <w:bottom w:w="0" w:type="dxa"/>
          <w:right w:w="0" w:type="dxa"/>
        </w:tblCellMar>
      </w:tblPr>
      <w:tblGrid>
        <w:gridCol w:w="1231"/>
        <w:gridCol w:w="5296"/>
      </w:tblGrid>
      <w:tr>
        <w:trPr/>
        <w:tc>
          <w:tcPr>
            <w:tcW w:w="1231"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28, 2026</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Sanj K. Patel</w:t>
            </w:r>
          </w:p>
        </w:tc>
      </w:tr>
      <w:tr>
        <w:trPr/>
        <w:tc>
          <w:tcPr>
            <w:tcW w:w="1231"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Sanj K. Patel</w:t>
            </w:r>
          </w:p>
        </w:tc>
      </w:tr>
      <w:tr>
        <w:trPr/>
        <w:tc>
          <w:tcPr>
            <w:tcW w:w="1231"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Chairman of the Board of Directors</w:t>
            </w:r>
          </w:p>
        </w:tc>
      </w:tr>
      <w:tr>
        <w:trPr/>
        <w:tc>
          <w:tcPr>
            <w:tcW w:w="1231"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73" w:name="knsa-20260630xex32d2.htm"/>
      <w:bookmarkStart w:id="1174" w:name="ksknsa20260630xex32d2"/>
      <w:bookmarkEnd w:id="1173"/>
      <w:bookmarkEnd w:id="1174"/>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Mark Ragosa, Chief Financial Officer of Kiniksa Pharmaceuticals International, plc (the “Company”), hereby certify, pursuant to 18 U.S.C. §1350, as adopted pursuant to §906 of the Sarbanes-Oxley Act of 2002, that, to the best of my knowledge:</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The Quarterly Report on Form 10-Q of the Company for the period ended June 30, 2026 (the “Report”) fully complies with the requirements of Section 13(a) or 15(d) of the Securities Exchange Act of 1934, as amended; and</w:t>
      </w:r>
    </w:p>
    <w:p>
      <w:pPr>
        <w:pStyle w:val="TextBody"/>
        <w:pBdr/>
        <w:bidi w:val="0"/>
        <w:spacing w:before="0" w:after="0"/>
        <w:ind w:left="360" w:right="0" w:hanging="36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3647" w:type="dxa"/>
        <w:jc w:val="center"/>
        <w:tblInd w:w="0" w:type="dxa"/>
        <w:tblLayout w:type="fixed"/>
        <w:tblCellMar>
          <w:top w:w="0" w:type="dxa"/>
          <w:left w:w="0" w:type="dxa"/>
          <w:bottom w:w="0" w:type="dxa"/>
          <w:right w:w="0" w:type="dxa"/>
        </w:tblCellMar>
      </w:tblPr>
      <w:tblGrid>
        <w:gridCol w:w="1231"/>
        <w:gridCol w:w="2416"/>
      </w:tblGrid>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28, 2026</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Ragosa</w:t>
            </w:r>
          </w:p>
        </w:tc>
      </w:tr>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Ragosa</w:t>
            </w:r>
          </w:p>
        </w:tc>
      </w:tr>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2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Georgia">
    <w:charset w:val="01"/>
    <w:family w:val="auto"/>
    <w:pitch w:val="default"/>
  </w:font>
  <w:font w:name="revert-layer">
    <w:charset w:val="01"/>
    <w:family w:val="auto"/>
    <w:pitch w:val="default"/>
  </w:font>
  <w:font w:name="Apto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0430/000173043026000025/knsa-20260521xex10d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28007</Words>
  <Characters>157122</Characters>
  <CharactersWithSpaces>187299</CharactersWithSpaces>
  <Paragraphs>5714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